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right="23" w:rightChars="11"/>
        <w:jc w:val="both"/>
        <w:rPr>
          <w:rFonts w:hint="eastAsia" w:ascii="方正小标宋_GBK" w:hAnsi="方正小标宋_GBK" w:eastAsia="方正小标宋_GBK" w:cs="方正小标宋_GBK"/>
          <w:sz w:val="44"/>
          <w:szCs w:val="44"/>
        </w:rPr>
      </w:pPr>
    </w:p>
    <w:p>
      <w:pPr>
        <w:spacing w:line="600" w:lineRule="exact"/>
        <w:ind w:right="23" w:rightChars="11"/>
        <w:jc w:val="both"/>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spacing w:line="540" w:lineRule="exact"/>
        <w:ind w:right="23" w:rightChars="11"/>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重庆市潼南区人民政府</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仿宋_GBK" w:hAnsi="方正仿宋_GBK" w:eastAsia="方正仿宋_GBK" w:cs="方正仿宋_GBK"/>
          <w:sz w:val="32"/>
          <w:szCs w:val="32"/>
        </w:rPr>
      </w:pPr>
      <w:r>
        <w:rPr>
          <w:rFonts w:hint="eastAsia" w:ascii="方正小标宋_GBK" w:hAnsi="方正小标宋_GBK" w:eastAsia="方正小标宋_GBK" w:cs="方正小标宋_GBK"/>
          <w:sz w:val="44"/>
          <w:szCs w:val="44"/>
        </w:rPr>
        <w:t>关于废止一批政府规范性文件的决定</w:t>
      </w:r>
    </w:p>
    <w:p>
      <w:pPr>
        <w:tabs>
          <w:tab w:val="left" w:pos="7668"/>
        </w:tabs>
        <w:spacing w:line="600" w:lineRule="exact"/>
        <w:ind w:right="23" w:rightChars="11"/>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潼南府发〔2019〕9号</w:t>
      </w:r>
    </w:p>
    <w:p>
      <w:pPr>
        <w:keepNext w:val="0"/>
        <w:keepLines w:val="0"/>
        <w:pageBreakBefore w:val="0"/>
        <w:widowControl w:val="0"/>
        <w:kinsoku/>
        <w:overflowPunct/>
        <w:topLinePunct w:val="0"/>
        <w:autoSpaceDE/>
        <w:autoSpaceDN w:val="0"/>
        <w:bidi w:val="0"/>
        <w:adjustRightInd/>
        <w:snapToGrid/>
        <w:spacing w:line="600" w:lineRule="exact"/>
        <w:jc w:val="left"/>
        <w:textAlignment w:val="auto"/>
        <w:rPr>
          <w:rFonts w:hint="eastAsia" w:ascii="方正仿宋_GBK" w:hAnsi="宋体" w:eastAsia="方正仿宋_GBK" w:cs="Times New Roman"/>
          <w:bCs/>
          <w:sz w:val="32"/>
          <w:szCs w:val="32"/>
        </w:rPr>
      </w:pPr>
    </w:p>
    <w:p>
      <w:pPr>
        <w:keepNext w:val="0"/>
        <w:keepLines w:val="0"/>
        <w:pageBreakBefore w:val="0"/>
        <w:widowControl w:val="0"/>
        <w:kinsoku/>
        <w:overflowPunct/>
        <w:topLinePunct w:val="0"/>
        <w:autoSpaceDE/>
        <w:autoSpaceDN w:val="0"/>
        <w:bidi w:val="0"/>
        <w:adjustRightInd/>
        <w:snapToGrid/>
        <w:spacing w:line="600" w:lineRule="exact"/>
        <w:jc w:val="left"/>
        <w:textAlignment w:val="auto"/>
        <w:rPr>
          <w:rFonts w:hint="eastAsia" w:ascii="方正仿宋_GBK" w:hAnsi="方正仿宋_GBK" w:eastAsia="方正仿宋_GBK" w:cs="方正仿宋_GBK"/>
          <w:color w:val="000000"/>
          <w:sz w:val="32"/>
          <w:szCs w:val="32"/>
        </w:rPr>
      </w:pPr>
      <w:r>
        <w:rPr>
          <w:rFonts w:hint="eastAsia" w:ascii="方正仿宋_GBK" w:hAnsi="宋体" w:eastAsia="方正仿宋_GBK" w:cs="Times New Roman"/>
          <w:bCs/>
          <w:sz w:val="32"/>
          <w:szCs w:val="32"/>
        </w:rPr>
        <w:t>各镇人民政府、街道办事处，区政府各部门，有关单位：</w:t>
      </w:r>
      <w:r>
        <w:rPr>
          <w:rFonts w:hint="eastAsia" w:ascii="方正仿宋_GBK" w:hAnsi="方正仿宋_GBK" w:eastAsia="方正仿宋_GBK" w:cs="方正仿宋_GBK"/>
          <w:color w:val="000000"/>
          <w:sz w:val="32"/>
          <w:szCs w:val="32"/>
        </w:rPr>
        <w:t xml:space="preserve"> </w:t>
      </w:r>
    </w:p>
    <w:p>
      <w:pPr>
        <w:keepNext w:val="0"/>
        <w:keepLines w:val="0"/>
        <w:pageBreakBefore w:val="0"/>
        <w:widowControl w:val="0"/>
        <w:kinsoku/>
        <w:overflowPunct/>
        <w:topLinePunct w:val="0"/>
        <w:autoSpaceDE/>
        <w:bidi w:val="0"/>
        <w:adjustRightInd/>
        <w:snapToGrid/>
        <w:spacing w:line="600" w:lineRule="exact"/>
        <w:ind w:firstLine="640"/>
        <w:textAlignment w:val="auto"/>
        <w:rPr>
          <w:rFonts w:hint="eastAsia" w:ascii="方正仿宋_GBK" w:hAnsi="方正仿宋_GBK" w:eastAsia="方正仿宋_GBK" w:cs="方正仿宋_GBK"/>
          <w:color w:val="000000"/>
          <w:sz w:val="32"/>
          <w:szCs w:val="32"/>
        </w:rPr>
      </w:pPr>
      <w:r>
        <w:rPr>
          <w:rFonts w:hint="eastAsia" w:ascii="Times New Roman" w:hAnsi="Times New Roman" w:eastAsia="方正仿宋_GBK" w:cs="Times New Roman"/>
          <w:sz w:val="32"/>
        </w:rPr>
        <w:t>经2019年6月26日</w:t>
      </w:r>
      <w:r>
        <w:rPr>
          <w:rFonts w:ascii="Times New Roman" w:hAnsi="Times New Roman" w:eastAsia="方正仿宋_GBK" w:cs="Times New Roman"/>
          <w:color w:val="000000"/>
          <w:sz w:val="32"/>
          <w:szCs w:val="32"/>
        </w:rPr>
        <w:t>区第十七届</w:t>
      </w:r>
      <w:r>
        <w:rPr>
          <w:rFonts w:hint="eastAsia" w:ascii="Times New Roman" w:hAnsi="Times New Roman" w:eastAsia="方正仿宋_GBK" w:cs="Times New Roman"/>
          <w:color w:val="000000"/>
          <w:sz w:val="32"/>
          <w:szCs w:val="32"/>
        </w:rPr>
        <w:t>人民</w:t>
      </w:r>
      <w:r>
        <w:rPr>
          <w:rFonts w:ascii="Times New Roman" w:hAnsi="Times New Roman" w:eastAsia="方正仿宋_GBK" w:cs="Times New Roman"/>
          <w:color w:val="000000"/>
          <w:sz w:val="32"/>
          <w:szCs w:val="32"/>
        </w:rPr>
        <w:t>政府第</w:t>
      </w:r>
      <w:r>
        <w:rPr>
          <w:rFonts w:hint="eastAsia" w:ascii="Times New Roman" w:hAnsi="Times New Roman" w:eastAsia="方正仿宋_GBK" w:cs="Times New Roman"/>
          <w:color w:val="000000"/>
          <w:sz w:val="32"/>
          <w:szCs w:val="32"/>
        </w:rPr>
        <w:t>60</w:t>
      </w:r>
      <w:r>
        <w:rPr>
          <w:rFonts w:ascii="Times New Roman" w:hAnsi="Times New Roman" w:eastAsia="方正仿宋_GBK" w:cs="Times New Roman"/>
          <w:color w:val="000000"/>
          <w:sz w:val="32"/>
          <w:szCs w:val="32"/>
        </w:rPr>
        <w:t>次常务会议</w:t>
      </w:r>
      <w:r>
        <w:rPr>
          <w:rFonts w:hint="eastAsia" w:ascii="Times New Roman" w:hAnsi="Times New Roman" w:eastAsia="方正仿宋_GBK" w:cs="Times New Roman"/>
          <w:color w:val="000000"/>
          <w:sz w:val="32"/>
          <w:szCs w:val="32"/>
        </w:rPr>
        <w:t>审议通过</w:t>
      </w:r>
      <w:r>
        <w:rPr>
          <w:rFonts w:hint="eastAsia" w:ascii="Times New Roman" w:hAnsi="Times New Roman" w:eastAsia="方正仿宋_GBK" w:cs="Times New Roman"/>
          <w:sz w:val="32"/>
        </w:rPr>
        <w:t>，决定对20件政府规范性文件予以废止，不再作为行政管理的依据</w:t>
      </w:r>
      <w:r>
        <w:rPr>
          <w:rFonts w:hint="eastAsia" w:ascii="方正仿宋_GBK" w:hAnsi="方正仿宋_GBK" w:eastAsia="方正仿宋_GBK" w:cs="方正仿宋_GBK"/>
          <w:color w:val="000000"/>
          <w:sz w:val="32"/>
          <w:szCs w:val="32"/>
        </w:rPr>
        <w:t>。</w:t>
      </w:r>
    </w:p>
    <w:p>
      <w:pPr>
        <w:keepNext w:val="0"/>
        <w:keepLines w:val="0"/>
        <w:pageBreakBefore w:val="0"/>
        <w:widowControl w:val="0"/>
        <w:kinsoku/>
        <w:overflowPunct/>
        <w:topLinePunct w:val="0"/>
        <w:autoSpaceDE/>
        <w:bidi w:val="0"/>
        <w:adjustRightInd/>
        <w:snapToGrid/>
        <w:spacing w:line="600" w:lineRule="exact"/>
        <w:ind w:firstLine="64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本决定自公布之日起施行。</w:t>
      </w:r>
    </w:p>
    <w:p>
      <w:pPr>
        <w:keepNext w:val="0"/>
        <w:keepLines w:val="0"/>
        <w:pageBreakBefore w:val="0"/>
        <w:widowControl w:val="0"/>
        <w:kinsoku/>
        <w:overflowPunct/>
        <w:topLinePunct w:val="0"/>
        <w:autoSpaceDE/>
        <w:bidi w:val="0"/>
        <w:adjustRightInd/>
        <w:snapToGrid/>
        <w:spacing w:line="600" w:lineRule="exact"/>
        <w:ind w:firstLine="641"/>
        <w:textAlignment w:val="auto"/>
        <w:rPr>
          <w:rFonts w:hint="eastAsia" w:ascii="方正仿宋_GBK" w:hAnsi="方正仿宋_GBK" w:eastAsia="方正仿宋_GBK" w:cs="方正仿宋_GBK"/>
          <w:color w:val="000000"/>
          <w:sz w:val="32"/>
          <w:szCs w:val="32"/>
        </w:rPr>
      </w:pPr>
    </w:p>
    <w:p>
      <w:pPr>
        <w:keepNext w:val="0"/>
        <w:keepLines w:val="0"/>
        <w:pageBreakBefore w:val="0"/>
        <w:widowControl w:val="0"/>
        <w:kinsoku/>
        <w:overflowPunct/>
        <w:topLinePunct w:val="0"/>
        <w:autoSpaceDE/>
        <w:bidi w:val="0"/>
        <w:adjustRightInd/>
        <w:snapToGrid/>
        <w:spacing w:line="600" w:lineRule="exact"/>
        <w:ind w:firstLine="640"/>
        <w:textAlignment w:val="auto"/>
        <w:rPr>
          <w:rFonts w:hint="eastAsia" w:ascii="方正仿宋_GBK" w:hAnsi="宋体" w:eastAsia="方正仿宋_GBK" w:cs="Times New Roman"/>
          <w:bCs/>
          <w:sz w:val="32"/>
          <w:szCs w:val="32"/>
        </w:rPr>
      </w:pPr>
      <w:r>
        <w:rPr>
          <w:rFonts w:hint="eastAsia" w:ascii="方正仿宋_GBK" w:hAnsi="宋体" w:eastAsia="方正仿宋_GBK" w:cs="Times New Roman"/>
          <w:bCs/>
          <w:sz w:val="32"/>
          <w:szCs w:val="32"/>
        </w:rPr>
        <w:t>附件：潼南区废止规范性文件目录</w:t>
      </w:r>
    </w:p>
    <w:p>
      <w:pPr>
        <w:keepNext w:val="0"/>
        <w:keepLines w:val="0"/>
        <w:pageBreakBefore w:val="0"/>
        <w:widowControl w:val="0"/>
        <w:kinsoku/>
        <w:overflowPunct/>
        <w:topLinePunct w:val="0"/>
        <w:autoSpaceDE/>
        <w:bidi w:val="0"/>
        <w:adjustRightInd/>
        <w:snapToGrid/>
        <w:spacing w:line="600" w:lineRule="exact"/>
        <w:ind w:firstLine="640"/>
        <w:textAlignment w:val="auto"/>
        <w:rPr>
          <w:rFonts w:hint="eastAsia" w:ascii="方正仿宋_GBK" w:hAnsi="宋体" w:eastAsia="方正仿宋_GBK" w:cs="Times New Roman"/>
          <w:bCs/>
          <w:sz w:val="32"/>
          <w:szCs w:val="32"/>
        </w:rPr>
      </w:pPr>
    </w:p>
    <w:p>
      <w:pPr>
        <w:keepNext w:val="0"/>
        <w:keepLines w:val="0"/>
        <w:pageBreakBefore w:val="0"/>
        <w:widowControl w:val="0"/>
        <w:kinsoku/>
        <w:wordWrap w:val="0"/>
        <w:overflowPunct/>
        <w:topLinePunct w:val="0"/>
        <w:autoSpaceDE/>
        <w:bidi w:val="0"/>
        <w:adjustRightInd/>
        <w:snapToGrid/>
        <w:spacing w:line="600" w:lineRule="exact"/>
        <w:ind w:firstLine="640"/>
        <w:jc w:val="right"/>
        <w:textAlignment w:val="auto"/>
        <w:rPr>
          <w:rFonts w:hint="default" w:ascii="方正仿宋_GBK" w:hAnsi="宋体" w:eastAsia="方正仿宋_GBK" w:cs="Times New Roman"/>
          <w:bCs/>
          <w:sz w:val="32"/>
          <w:szCs w:val="32"/>
          <w:lang w:val="en-US" w:eastAsia="zh-CN"/>
        </w:rPr>
      </w:pPr>
      <w:r>
        <w:rPr>
          <w:rFonts w:hint="eastAsia" w:ascii="方正仿宋_GBK" w:hAnsi="宋体" w:eastAsia="方正仿宋_GBK" w:cs="Times New Roman"/>
          <w:bCs/>
          <w:sz w:val="32"/>
          <w:szCs w:val="32"/>
        </w:rPr>
        <w:t xml:space="preserve">                    重庆市潼南区人民政府</w:t>
      </w:r>
      <w:r>
        <w:rPr>
          <w:rFonts w:hint="eastAsia" w:ascii="方正仿宋_GBK" w:hAnsi="宋体" w:eastAsia="方正仿宋_GBK" w:cs="Times New Roman"/>
          <w:bCs/>
          <w:sz w:val="32"/>
          <w:szCs w:val="32"/>
          <w:lang w:val="en-US" w:eastAsia="zh-CN"/>
        </w:rPr>
        <w:t xml:space="preserve">  </w:t>
      </w:r>
    </w:p>
    <w:p>
      <w:pPr>
        <w:keepNext w:val="0"/>
        <w:keepLines w:val="0"/>
        <w:pageBreakBefore w:val="0"/>
        <w:widowControl w:val="0"/>
        <w:tabs>
          <w:tab w:val="left" w:pos="7560"/>
        </w:tabs>
        <w:kinsoku/>
        <w:overflowPunct/>
        <w:topLinePunct w:val="0"/>
        <w:autoSpaceDE/>
        <w:bidi w:val="0"/>
        <w:adjustRightInd/>
        <w:snapToGrid/>
        <w:spacing w:line="600" w:lineRule="exact"/>
        <w:ind w:firstLine="640"/>
        <w:jc w:val="center"/>
        <w:textAlignment w:val="auto"/>
        <w:rPr>
          <w:rFonts w:hint="eastAsia" w:ascii="方正仿宋_GBK" w:hAnsi="宋体" w:eastAsia="方正仿宋_GBK" w:cs="Times New Roman"/>
          <w:bCs/>
          <w:sz w:val="32"/>
          <w:szCs w:val="32"/>
        </w:rPr>
      </w:pPr>
      <w:r>
        <w:rPr>
          <w:rFonts w:hint="eastAsia" w:ascii="方正仿宋_GBK" w:hAnsi="宋体" w:eastAsia="方正仿宋_GBK" w:cs="Times New Roman"/>
          <w:bCs/>
          <w:sz w:val="32"/>
          <w:szCs w:val="32"/>
        </w:rPr>
        <w:t xml:space="preserve">                   </w:t>
      </w:r>
      <w:r>
        <w:rPr>
          <w:rFonts w:hint="eastAsia" w:ascii="方正中等线_GBK" w:hAnsi="方正中等线_GBK" w:eastAsia="方正中等线_GBK" w:cs="方正中等线_GBK"/>
          <w:bCs/>
          <w:sz w:val="32"/>
          <w:szCs w:val="32"/>
        </w:rPr>
        <w:t xml:space="preserve"> </w:t>
      </w:r>
      <w:r>
        <w:rPr>
          <w:rFonts w:ascii="Times New Roman" w:hAnsi="Times New Roman" w:eastAsia="方正中等线_GBK" w:cs="Times New Roman"/>
          <w:bCs/>
          <w:sz w:val="32"/>
          <w:szCs w:val="32"/>
        </w:rPr>
        <w:t xml:space="preserve"> </w:t>
      </w:r>
      <w:r>
        <w:rPr>
          <w:rFonts w:hint="eastAsia" w:ascii="Times New Roman" w:hAnsi="Times New Roman" w:eastAsia="方正中等线_GBK" w:cs="Times New Roman"/>
          <w:bCs/>
          <w:sz w:val="32"/>
          <w:szCs w:val="32"/>
          <w:lang w:val="en-US" w:eastAsia="zh-CN"/>
        </w:rPr>
        <w:t xml:space="preserve">       </w:t>
      </w:r>
      <w:r>
        <w:rPr>
          <w:rFonts w:ascii="Times New Roman" w:hAnsi="Times New Roman" w:eastAsia="方正中等线_GBK" w:cs="Times New Roman"/>
          <w:bCs/>
          <w:sz w:val="32"/>
          <w:szCs w:val="32"/>
        </w:rPr>
        <w:t>2019</w:t>
      </w:r>
      <w:r>
        <w:rPr>
          <w:rFonts w:hint="eastAsia" w:ascii="方正仿宋_GBK" w:hAnsi="宋体" w:eastAsia="方正仿宋_GBK" w:cs="Times New Roman"/>
          <w:bCs/>
          <w:sz w:val="32"/>
          <w:szCs w:val="32"/>
        </w:rPr>
        <w:t>年</w:t>
      </w:r>
      <w:r>
        <w:rPr>
          <w:rFonts w:hint="eastAsia" w:ascii="Times New Roman" w:hAnsi="Times New Roman" w:eastAsia="方正中等线_GBK" w:cs="Times New Roman"/>
          <w:bCs/>
          <w:sz w:val="32"/>
          <w:szCs w:val="32"/>
        </w:rPr>
        <w:t>7</w:t>
      </w:r>
      <w:r>
        <w:rPr>
          <w:rFonts w:hint="eastAsia" w:ascii="方正仿宋_GBK" w:hAnsi="宋体" w:eastAsia="方正仿宋_GBK" w:cs="Times New Roman"/>
          <w:bCs/>
          <w:sz w:val="32"/>
          <w:szCs w:val="32"/>
        </w:rPr>
        <w:t>月</w:t>
      </w:r>
      <w:r>
        <w:rPr>
          <w:rFonts w:hint="eastAsia" w:ascii="Times New Roman" w:hAnsi="Times New Roman" w:eastAsia="方正中等线_GBK" w:cs="Times New Roman"/>
          <w:bCs/>
          <w:sz w:val="32"/>
          <w:szCs w:val="32"/>
        </w:rPr>
        <w:t>15</w:t>
      </w:r>
      <w:r>
        <w:rPr>
          <w:rFonts w:hint="eastAsia" w:ascii="方正仿宋_GBK" w:hAnsi="宋体" w:eastAsia="方正仿宋_GBK" w:cs="Times New Roman"/>
          <w:bCs/>
          <w:sz w:val="32"/>
          <w:szCs w:val="32"/>
        </w:rPr>
        <w:t>日</w:t>
      </w:r>
    </w:p>
    <w:p>
      <w:pPr>
        <w:spacing w:line="600" w:lineRule="exact"/>
        <w:rPr>
          <w:rFonts w:hint="eastAsia" w:ascii="方正黑体_GBK" w:hAnsi="宋体" w:eastAsia="方正黑体_GBK" w:cs="宋体"/>
          <w:kern w:val="0"/>
          <w:sz w:val="32"/>
          <w:szCs w:val="32"/>
        </w:rPr>
      </w:pPr>
    </w:p>
    <w:p>
      <w:pPr>
        <w:spacing w:line="600" w:lineRule="exact"/>
        <w:rPr>
          <w:rFonts w:hint="eastAsia" w:ascii="方正黑体_GBK" w:hAnsi="宋体" w:eastAsia="方正黑体_GBK" w:cs="宋体"/>
          <w:kern w:val="0"/>
          <w:sz w:val="32"/>
          <w:szCs w:val="32"/>
        </w:rPr>
      </w:pPr>
    </w:p>
    <w:p>
      <w:pPr>
        <w:spacing w:line="600" w:lineRule="exact"/>
        <w:rPr>
          <w:rFonts w:hint="eastAsia" w:ascii="方正黑体_GBK" w:hAnsi="宋体" w:eastAsia="方正黑体_GBK" w:cs="宋体"/>
          <w:kern w:val="0"/>
          <w:sz w:val="32"/>
          <w:szCs w:val="32"/>
        </w:rPr>
      </w:pPr>
    </w:p>
    <w:p>
      <w:pPr>
        <w:spacing w:line="600" w:lineRule="exact"/>
        <w:rPr>
          <w:rFonts w:hint="eastAsia" w:ascii="方正黑体_GBK" w:hAnsi="宋体" w:eastAsia="方正黑体_GBK" w:cs="宋体"/>
          <w:kern w:val="0"/>
          <w:sz w:val="32"/>
          <w:szCs w:val="32"/>
        </w:rPr>
      </w:pPr>
    </w:p>
    <w:p>
      <w:pPr>
        <w:spacing w:line="600" w:lineRule="exact"/>
        <w:rPr>
          <w:rFonts w:hint="eastAsia" w:ascii="方正黑体_GBK" w:hAnsi="宋体" w:eastAsia="方正黑体_GBK" w:cs="宋体"/>
          <w:kern w:val="0"/>
          <w:sz w:val="32"/>
          <w:szCs w:val="32"/>
        </w:rPr>
      </w:pPr>
      <w:r>
        <w:rPr>
          <w:rFonts w:hint="eastAsia" w:ascii="方正黑体_GBK" w:hAnsi="宋体" w:eastAsia="方正黑体_GBK" w:cs="宋体"/>
          <w:kern w:val="0"/>
          <w:sz w:val="32"/>
          <w:szCs w:val="32"/>
        </w:rPr>
        <w:t>附件</w:t>
      </w:r>
    </w:p>
    <w:p>
      <w:pPr>
        <w:spacing w:line="600" w:lineRule="exact"/>
        <w:rPr>
          <w:rFonts w:hint="eastAsia" w:ascii="方正黑体_GBK" w:hAnsi="宋体" w:eastAsia="方正黑体_GBK" w:cs="宋体"/>
          <w:kern w:val="0"/>
          <w:sz w:val="32"/>
          <w:szCs w:val="32"/>
        </w:rPr>
      </w:pPr>
    </w:p>
    <w:p>
      <w:pPr>
        <w:spacing w:line="60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潼南区废止规范性文件目录</w:t>
      </w:r>
    </w:p>
    <w:p>
      <w:pPr>
        <w:spacing w:line="600" w:lineRule="exact"/>
        <w:jc w:val="center"/>
        <w:rPr>
          <w:rFonts w:hint="eastAsia" w:ascii="方正小标宋_GBK" w:hAnsi="方正小标宋_GBK" w:eastAsia="方正小标宋_GBK" w:cs="方正小标宋_GBK"/>
          <w:sz w:val="44"/>
          <w:szCs w:val="44"/>
        </w:rPr>
      </w:pPr>
    </w:p>
    <w:tbl>
      <w:tblPr>
        <w:tblStyle w:val="7"/>
        <w:tblW w:w="5000" w:type="pct"/>
        <w:jc w:val="center"/>
        <w:tblLayout w:type="autofit"/>
        <w:tblCellMar>
          <w:top w:w="15" w:type="dxa"/>
          <w:left w:w="15" w:type="dxa"/>
          <w:bottom w:w="15" w:type="dxa"/>
          <w:right w:w="15" w:type="dxa"/>
        </w:tblCellMar>
      </w:tblPr>
      <w:tblGrid>
        <w:gridCol w:w="554"/>
        <w:gridCol w:w="3287"/>
        <w:gridCol w:w="2721"/>
        <w:gridCol w:w="1092"/>
        <w:gridCol w:w="1220"/>
      </w:tblGrid>
      <w:tr>
        <w:tblPrEx>
          <w:tblCellMar>
            <w:top w:w="15" w:type="dxa"/>
            <w:left w:w="15" w:type="dxa"/>
            <w:bottom w:w="15" w:type="dxa"/>
            <w:right w:w="15" w:type="dxa"/>
          </w:tblCellMar>
        </w:tblPrEx>
        <w:trPr>
          <w:trHeight w:val="735"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jc w:val="center"/>
              <w:textAlignment w:val="center"/>
              <w:rPr>
                <w:rFonts w:hint="eastAsia" w:ascii="方正黑体_GBK" w:hAnsi="宋体" w:eastAsia="方正黑体_GBK" w:cs="宋体"/>
                <w:color w:val="000000"/>
                <w:sz w:val="21"/>
                <w:szCs w:val="21"/>
              </w:rPr>
            </w:pPr>
            <w:r>
              <w:rPr>
                <w:rFonts w:hint="eastAsia" w:ascii="方正黑体_GBK" w:hAnsi="宋体" w:eastAsia="方正黑体_GBK" w:cs="宋体"/>
                <w:color w:val="000000"/>
                <w:kern w:val="0"/>
                <w:sz w:val="21"/>
                <w:szCs w:val="21"/>
                <w:lang w:bidi="ar"/>
              </w:rPr>
              <w:t>序号</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jc w:val="center"/>
              <w:textAlignment w:val="center"/>
              <w:rPr>
                <w:rFonts w:hint="eastAsia" w:ascii="方正黑体_GBK" w:hAnsi="宋体" w:eastAsia="方正黑体_GBK" w:cs="宋体"/>
                <w:color w:val="000000"/>
                <w:sz w:val="21"/>
                <w:szCs w:val="21"/>
              </w:rPr>
            </w:pPr>
            <w:r>
              <w:rPr>
                <w:rFonts w:hint="eastAsia" w:ascii="方正黑体_GBK" w:hAnsi="宋体" w:eastAsia="方正黑体_GBK" w:cs="宋体"/>
                <w:color w:val="000000"/>
                <w:kern w:val="0"/>
                <w:sz w:val="21"/>
                <w:szCs w:val="21"/>
                <w:lang w:bidi="ar"/>
              </w:rPr>
              <w:t>文件名称</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jc w:val="center"/>
              <w:textAlignment w:val="center"/>
              <w:rPr>
                <w:rFonts w:hint="eastAsia" w:ascii="方正黑体_GBK" w:hAnsi="宋体" w:eastAsia="方正黑体_GBK" w:cs="宋体"/>
                <w:color w:val="000000"/>
                <w:sz w:val="21"/>
                <w:szCs w:val="21"/>
              </w:rPr>
            </w:pPr>
            <w:r>
              <w:rPr>
                <w:rFonts w:hint="eastAsia" w:ascii="方正黑体_GBK" w:hAnsi="宋体" w:eastAsia="方正黑体_GBK" w:cs="宋体"/>
                <w:color w:val="000000"/>
                <w:kern w:val="0"/>
                <w:sz w:val="21"/>
                <w:szCs w:val="21"/>
                <w:lang w:bidi="ar"/>
              </w:rPr>
              <w:t>文件号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jc w:val="center"/>
              <w:textAlignment w:val="center"/>
              <w:rPr>
                <w:rFonts w:hint="eastAsia" w:ascii="方正黑体_GBK" w:hAnsi="宋体" w:eastAsia="方正黑体_GBK" w:cs="宋体"/>
                <w:color w:val="000000"/>
                <w:sz w:val="21"/>
                <w:szCs w:val="21"/>
              </w:rPr>
            </w:pPr>
            <w:r>
              <w:rPr>
                <w:rFonts w:hint="eastAsia" w:ascii="方正黑体_GBK" w:hAnsi="宋体" w:eastAsia="方正黑体_GBK" w:cs="宋体"/>
                <w:color w:val="000000"/>
                <w:kern w:val="0"/>
                <w:sz w:val="21"/>
                <w:szCs w:val="21"/>
                <w:lang w:bidi="ar"/>
              </w:rPr>
              <w:t>废止理由</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jc w:val="center"/>
              <w:textAlignment w:val="center"/>
              <w:rPr>
                <w:rFonts w:hint="eastAsia" w:ascii="方正黑体_GBK" w:hAnsi="宋体" w:eastAsia="方正黑体_GBK" w:cs="宋体"/>
                <w:color w:val="000000"/>
                <w:sz w:val="21"/>
                <w:szCs w:val="21"/>
              </w:rPr>
            </w:pPr>
            <w:r>
              <w:rPr>
                <w:rFonts w:hint="eastAsia" w:ascii="方正黑体_GBK" w:hAnsi="宋体" w:eastAsia="方正黑体_GBK" w:cs="宋体"/>
                <w:color w:val="000000"/>
                <w:kern w:val="0"/>
                <w:sz w:val="21"/>
                <w:szCs w:val="21"/>
                <w:lang w:bidi="ar"/>
              </w:rPr>
              <w:t>备注</w:t>
            </w:r>
          </w:p>
        </w:tc>
      </w:tr>
      <w:tr>
        <w:tblPrEx>
          <w:tblCellMar>
            <w:top w:w="15" w:type="dxa"/>
            <w:left w:w="15" w:type="dxa"/>
            <w:bottom w:w="15" w:type="dxa"/>
            <w:right w:w="15" w:type="dxa"/>
          </w:tblCellMar>
        </w:tblPrEx>
        <w:trPr>
          <w:trHeight w:val="63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潼南县人民政府办公室关于印发潼南县国有资产管理办法的通知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潼南府办〔2014〕91号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被同级新的规范性文件代替</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62"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2</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重庆市潼南区人民政府关于加强燃放烟花爆竹安全管理的通告</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潼南府〔2015〕378号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被新的上位法规、规章涵盖</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3</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重庆市潼南区人民政府关于印发潼南区新型职业农民认定管理办法（试行）的通知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潼南府〔2016〕97号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超过文件有效期</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6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4</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pacing w:val="-12"/>
                <w:sz w:val="24"/>
                <w:szCs w:val="24"/>
              </w:rPr>
            </w:pPr>
            <w:r>
              <w:rPr>
                <w:rFonts w:hint="default" w:ascii="Times New Roman" w:hAnsi="Times New Roman" w:eastAsia="方正仿宋_GBK" w:cs="Times New Roman"/>
                <w:sz w:val="24"/>
                <w:szCs w:val="24"/>
              </w:rPr>
              <w:t>重庆市潼南区人民政府办公室关于印发潼南区食品摊贩监督管理暂行办法的通知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潼南府办〔2016〕73号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被新的上位法规、规章涵盖</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5</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重庆市潼南区人民政府办公室关于印发重庆市潼南区科学技术进步奖励办法的通知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潼南府办〔2017〕62号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与上位依据冲突</w:t>
            </w:r>
          </w:p>
          <w:p>
            <w:pPr>
              <w:adjustRightInd w:val="0"/>
              <w:snapToGrid w:val="0"/>
              <w:spacing w:line="240" w:lineRule="exact"/>
              <w:jc w:val="center"/>
              <w:rPr>
                <w:rFonts w:hint="default" w:ascii="Times New Roman" w:hAnsi="Times New Roman" w:eastAsia="方正仿宋_GBK" w:cs="Times New Roman"/>
                <w:color w:val="000000"/>
                <w:sz w:val="24"/>
                <w:szCs w:val="24"/>
              </w:rPr>
            </w:pP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6</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重庆市潼南区人民政府关于开展砂石管理专项整治行动的通知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潼南府〔2017〕86号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7</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重庆市潼南区人民政府办公室关于印发潼南区深化医药卫生体制改革2017年重点工作任务的通知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潼南府办〔2017〕126号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8</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重庆市潼南区人民政府办公室关于印发潼南区2017年耕地地力保护补贴实施方案的通知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超过文件有效期</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9</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重庆市潼南区人民政府办公室关于对成长型微型企业提质发展和运营绩效良好微型企业孵化园给予一次性奖励的通知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潼南府办发〔2017〕20号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10</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重庆市潼南区人民政府办公室关于做好2018年城乡居民合作医疗保险参保筹资工作的通知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潼南府办发〔2017〕23号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不符合现行政策规定，阶段性工作完成，无继续适用的必要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11</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重庆市潼南区人民政府办公室关于进一步加强活禽经营市场管理的通知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潼南府办发〔2017〕26号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center"/>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12</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重庆市潼南区人民政府办公室关于印发潼南区进一步改革完善药品生产流通使用政策实施方案的通知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潼南府办发〔2017〕28号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机构改革，职能职责变化，且与上位依据冲突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4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13</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pacing w:val="-12"/>
                <w:sz w:val="24"/>
                <w:szCs w:val="24"/>
              </w:rPr>
            </w:pPr>
            <w:r>
              <w:rPr>
                <w:rFonts w:hint="default" w:ascii="Times New Roman" w:hAnsi="Times New Roman" w:eastAsia="方正仿宋_GBK" w:cs="Times New Roman"/>
                <w:sz w:val="24"/>
                <w:szCs w:val="24"/>
              </w:rPr>
              <w:t>重庆市潼南区人民政府办公室关于印发潼南区鼓励黄标车提前淘汰奖励补贴实施细则的通知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潼南府办发〔2017〕35号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阶段性工作完成，无继续适用的必要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600"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14</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重庆市潼南区人民政府办公室关于印发潼南区加强道路建设工程质量监督管理实施意见（试行）的通知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潼南府办发〔2017〕36号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超过文件有效期，与上位依据冲突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364"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15</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重庆市潼南区人民政府办公室关于印发重庆市潼南区优化企业投资审批和管理服务工作实施细则的通知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潼南府办发〔2018〕42号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sz w:val="24"/>
                <w:szCs w:val="24"/>
              </w:rPr>
              <w:t>与同级规范性文件不协调</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4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16</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spacing w:val="-6"/>
                <w:kern w:val="0"/>
                <w:sz w:val="24"/>
                <w:szCs w:val="24"/>
                <w:lang w:bidi="ar"/>
              </w:rPr>
            </w:pPr>
            <w:r>
              <w:rPr>
                <w:rFonts w:hint="default" w:ascii="Times New Roman" w:hAnsi="Times New Roman" w:eastAsia="方正仿宋_GBK" w:cs="Times New Roman"/>
                <w:sz w:val="24"/>
                <w:szCs w:val="24"/>
              </w:rPr>
              <w:t>重庆市潼南区人民政府办公室关于印发推进重大建设项目批准和实施领域及公共资源配置领域政府信息公开实施方案的通知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潼南府办发〔2018〕45号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机构改革，职能职责变化，且与上位依据冲突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7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17</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重庆市潼南区人民政府办公室关于印发潼南区健康扶贫医疗救助工作方案的通知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潼南府办发〔2018〕51号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机构改革，职能职责变化，且与上位依据冲突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7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18</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重庆市潼南区人民政府办公室关于印发重庆市潼南区推进社会公益事业建设领域政府信息公开工作实施方案的通知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潼南府办发〔2018〕58号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机构改革，职能职责变化，且与上位依据冲突</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7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19</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重庆市潼南区人民政府关于加强农产品品牌建设工作的实施意见</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潼南府发〔2018〕6号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被同级新的规范性文件代替</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r>
        <w:tblPrEx>
          <w:tblCellMar>
            <w:top w:w="15" w:type="dxa"/>
            <w:left w:w="15" w:type="dxa"/>
            <w:bottom w:w="15" w:type="dxa"/>
            <w:right w:w="15" w:type="dxa"/>
          </w:tblCellMar>
        </w:tblPrEx>
        <w:trPr>
          <w:trHeight w:val="478" w:hRule="atLeast"/>
          <w:jc w:val="center"/>
        </w:trPr>
        <w:tc>
          <w:tcPr>
            <w:tcW w:w="31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20</w:t>
            </w:r>
          </w:p>
        </w:tc>
        <w:tc>
          <w:tcPr>
            <w:tcW w:w="1851"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kern w:val="0"/>
                <w:sz w:val="24"/>
                <w:szCs w:val="24"/>
              </w:rPr>
              <w:t>重庆市潼南区人民政府办公室关于印发重庆市潼南区天然林资源保护二期工程管理细则（试行）的通知</w:t>
            </w:r>
          </w:p>
        </w:tc>
        <w:tc>
          <w:tcPr>
            <w:tcW w:w="1532"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潼南府办〔2017〕59号</w:t>
            </w:r>
          </w:p>
        </w:tc>
        <w:tc>
          <w:tcPr>
            <w:tcW w:w="615" w:type="pc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spacing w:line="240" w:lineRule="exact"/>
              <w:jc w:val="center"/>
              <w:rPr>
                <w:rFonts w:hint="default" w:ascii="Times New Roman" w:hAnsi="Times New Roman" w:eastAsia="方正仿宋_GBK" w:cs="Times New Roman"/>
                <w:color w:val="000000"/>
                <w:kern w:val="0"/>
                <w:sz w:val="24"/>
                <w:szCs w:val="24"/>
                <w:lang w:bidi="ar"/>
              </w:rPr>
            </w:pPr>
            <w:r>
              <w:rPr>
                <w:rFonts w:hint="default" w:ascii="Times New Roman" w:hAnsi="Times New Roman" w:eastAsia="方正仿宋_GBK" w:cs="Times New Roman"/>
                <w:sz w:val="24"/>
                <w:szCs w:val="24"/>
              </w:rPr>
              <w:t>超过文件有效期</w:t>
            </w:r>
          </w:p>
        </w:tc>
        <w:tc>
          <w:tcPr>
            <w:tcW w:w="687" w:type="pct"/>
            <w:tcBorders>
              <w:top w:val="single" w:color="000000" w:sz="4" w:space="0"/>
              <w:left w:val="single" w:color="000000" w:sz="4" w:space="0"/>
              <w:bottom w:val="single" w:color="000000" w:sz="4" w:space="0"/>
              <w:right w:val="single" w:color="000000" w:sz="4" w:space="0"/>
            </w:tcBorders>
            <w:noWrap w:val="0"/>
            <w:vAlign w:val="top"/>
          </w:tcPr>
          <w:p>
            <w:pPr>
              <w:spacing w:line="240" w:lineRule="exact"/>
              <w:rPr>
                <w:rFonts w:hint="default" w:ascii="Times New Roman" w:hAnsi="Times New Roman" w:eastAsia="方正仿宋_GBK" w:cs="Times New Roman"/>
                <w:color w:val="000000"/>
                <w:sz w:val="24"/>
                <w:szCs w:val="24"/>
              </w:rPr>
            </w:pPr>
          </w:p>
        </w:tc>
      </w:tr>
    </w:tbl>
    <w:p>
      <w:pPr>
        <w:tabs>
          <w:tab w:val="left" w:pos="1896"/>
        </w:tabs>
        <w:bidi w:val="0"/>
        <w:jc w:val="left"/>
        <w:rPr>
          <w:rFonts w:hint="eastAsia"/>
          <w:lang w:val="en-US" w:eastAsia="zh-CN"/>
        </w:rPr>
      </w:pPr>
    </w:p>
    <w:sectPr>
      <w:headerReference r:id="rId3" w:type="default"/>
      <w:footerReference r:id="rId4" w:type="default"/>
      <w:pgSz w:w="11906" w:h="16838"/>
      <w:pgMar w:top="1962" w:right="1474" w:bottom="1848" w:left="1588"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中等线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3786" w:leftChars="1803" w:firstLine="7398" w:firstLineChars="2312"/>
      <w:jc w:val="right"/>
      <w:rPr>
        <w:rFonts w:hint="eastAsia" w:ascii="宋体" w:hAnsi="宋体" w:eastAsia="宋体" w:cs="宋体"/>
        <w:b/>
        <w:bCs/>
        <w:color w:val="005192"/>
        <w:sz w:val="28"/>
        <w:szCs w:val="44"/>
        <w:lang w:val="en-US" w:eastAsia="zh-CN"/>
      </w:rPr>
    </w:pPr>
    <w:bookmarkStart w:id="0" w:name="_GoBack"/>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6985</wp:posOffset>
              </wp:positionH>
              <wp:positionV relativeFrom="paragraph">
                <wp:posOffset>203200</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55pt;margin-top:16pt;height:0.15pt;width:442.25pt;z-index:251660288;mso-width-relative:page;mso-height-relative:page;" filled="f" stroked="t" coordsize="21600,21600" o:gfxdata="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peCnb1AAA&#10;AAc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bookmarkEnd w:id="0"/>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87465D"/>
    <w:rsid w:val="05F07036"/>
    <w:rsid w:val="06E00104"/>
    <w:rsid w:val="080F63D8"/>
    <w:rsid w:val="09341458"/>
    <w:rsid w:val="098254C2"/>
    <w:rsid w:val="0A766EDE"/>
    <w:rsid w:val="0AD64BE8"/>
    <w:rsid w:val="0B0912D7"/>
    <w:rsid w:val="0E025194"/>
    <w:rsid w:val="152D2DCA"/>
    <w:rsid w:val="187168EA"/>
    <w:rsid w:val="196673CA"/>
    <w:rsid w:val="1B2F4AEE"/>
    <w:rsid w:val="1CF734C9"/>
    <w:rsid w:val="1DEC284C"/>
    <w:rsid w:val="1E6523AC"/>
    <w:rsid w:val="22440422"/>
    <w:rsid w:val="22BB4BBB"/>
    <w:rsid w:val="23D86B1E"/>
    <w:rsid w:val="2AEB3417"/>
    <w:rsid w:val="31A15F24"/>
    <w:rsid w:val="324A1681"/>
    <w:rsid w:val="34F73064"/>
    <w:rsid w:val="36FB1DF0"/>
    <w:rsid w:val="395347B5"/>
    <w:rsid w:val="39A232A0"/>
    <w:rsid w:val="39E745AA"/>
    <w:rsid w:val="3B5A6BBB"/>
    <w:rsid w:val="3EDA13A6"/>
    <w:rsid w:val="417B75E9"/>
    <w:rsid w:val="42F058B7"/>
    <w:rsid w:val="436109F6"/>
    <w:rsid w:val="441A38D4"/>
    <w:rsid w:val="4504239D"/>
    <w:rsid w:val="4BC77339"/>
    <w:rsid w:val="4C9236C5"/>
    <w:rsid w:val="4E250A85"/>
    <w:rsid w:val="4FFD4925"/>
    <w:rsid w:val="505C172E"/>
    <w:rsid w:val="506405EA"/>
    <w:rsid w:val="52F46F0B"/>
    <w:rsid w:val="532B6A10"/>
    <w:rsid w:val="53D8014D"/>
    <w:rsid w:val="55E064E0"/>
    <w:rsid w:val="572C6D10"/>
    <w:rsid w:val="5C7F193C"/>
    <w:rsid w:val="5DC34279"/>
    <w:rsid w:val="5FCD688E"/>
    <w:rsid w:val="5FF9BDAA"/>
    <w:rsid w:val="5FFE5333"/>
    <w:rsid w:val="608816D1"/>
    <w:rsid w:val="60EF4E7F"/>
    <w:rsid w:val="648B0A32"/>
    <w:rsid w:val="665233C1"/>
    <w:rsid w:val="69AC0D42"/>
    <w:rsid w:val="6AD9688B"/>
    <w:rsid w:val="6D0E3F22"/>
    <w:rsid w:val="744E4660"/>
    <w:rsid w:val="753355A2"/>
    <w:rsid w:val="759F1C61"/>
    <w:rsid w:val="769F2DE8"/>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qFormat/>
    <w:uiPriority w:val="0"/>
  </w:style>
  <w:style w:type="paragraph" w:customStyle="1" w:styleId="11">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4</TotalTime>
  <ScaleCrop>false</ScaleCrop>
  <LinksUpToDate>false</LinksUpToDate>
  <CharactersWithSpaces>0</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SFJ1</cp:lastModifiedBy>
  <cp:lastPrinted>2022-05-12T00:46:00Z</cp:lastPrinted>
  <dcterms:modified xsi:type="dcterms:W3CDTF">2022-06-10T02:10:59Z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48C61CB29D3F4D9384F5922CF0F7FFB4</vt:lpwstr>
  </property>
</Properties>
</file>