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_GBK" w:hAnsi="方正小标宋_GBK" w:eastAsia="方正小标宋_GBK" w:cs="方正小标宋_GBK"/>
          <w:sz w:val="44"/>
          <w:szCs w:val="44"/>
        </w:rPr>
      </w:pPr>
      <w:bookmarkStart w:id="7" w:name="_GoBack"/>
      <w:bookmarkEnd w:id="7"/>
    </w:p>
    <w:p>
      <w:pPr>
        <w:spacing w:line="560" w:lineRule="exact"/>
        <w:jc w:val="center"/>
        <w:rPr>
          <w:rFonts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eastAsia="方正小标宋_GBK"/>
          <w:sz w:val="44"/>
          <w:szCs w:val="44"/>
        </w:rPr>
      </w:pPr>
      <w:r>
        <w:rPr>
          <w:rFonts w:hint="eastAsia" w:eastAsia="方正小标宋_GBK"/>
          <w:sz w:val="44"/>
          <w:szCs w:val="44"/>
        </w:rPr>
        <w:t>重庆市潼南区人民政府办公室</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eastAsia="方正小标宋_GBK"/>
          <w:sz w:val="44"/>
          <w:szCs w:val="44"/>
        </w:rPr>
      </w:pPr>
      <w:r>
        <w:rPr>
          <w:rFonts w:hint="eastAsia" w:eastAsia="方正小标宋_GBK"/>
          <w:sz w:val="44"/>
          <w:szCs w:val="44"/>
        </w:rPr>
        <w:t>关于印发《重庆市潼南区声环境功能区</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eastAsia="方正小标宋_GBK"/>
          <w:sz w:val="44"/>
          <w:szCs w:val="44"/>
        </w:rPr>
      </w:pPr>
      <w:r>
        <w:rPr>
          <w:rFonts w:hint="eastAsia" w:eastAsia="方正小标宋_GBK"/>
          <w:sz w:val="44"/>
          <w:szCs w:val="44"/>
        </w:rPr>
        <w:t>划分调整方案》的通知</w:t>
      </w:r>
    </w:p>
    <w:p>
      <w:pPr>
        <w:spacing w:line="600" w:lineRule="exact"/>
        <w:jc w:val="center"/>
        <w:rPr>
          <w:rFonts w:eastAsia="方正仿宋_GBK"/>
          <w:sz w:val="32"/>
          <w:szCs w:val="32"/>
        </w:rPr>
      </w:pPr>
      <w:r>
        <w:rPr>
          <w:rFonts w:hint="eastAsia" w:eastAsia="方正仿宋_GBK"/>
          <w:sz w:val="32"/>
          <w:szCs w:val="32"/>
        </w:rPr>
        <w:t>潼南府办发〔</w:t>
      </w:r>
      <w:r>
        <w:rPr>
          <w:rFonts w:eastAsia="方正仿宋_GBK"/>
          <w:sz w:val="32"/>
          <w:szCs w:val="32"/>
        </w:rPr>
        <w:t>2023</w:t>
      </w:r>
      <w:r>
        <w:rPr>
          <w:rFonts w:hint="eastAsia" w:eastAsia="方正仿宋_GBK"/>
          <w:sz w:val="32"/>
          <w:szCs w:val="32"/>
        </w:rPr>
        <w:t>〕28号</w:t>
      </w:r>
    </w:p>
    <w:p>
      <w:pPr>
        <w:spacing w:line="560" w:lineRule="exact"/>
        <w:jc w:val="center"/>
        <w:rPr>
          <w:rFonts w:eastAsia="方正小标宋_GBK"/>
          <w:sz w:val="36"/>
          <w:szCs w:val="36"/>
        </w:rPr>
      </w:pPr>
    </w:p>
    <w:p>
      <w:pPr>
        <w:keepNext w:val="0"/>
        <w:keepLines w:val="0"/>
        <w:pageBreakBefore w:val="0"/>
        <w:widowControl w:val="0"/>
        <w:kinsoku/>
        <w:wordWrap/>
        <w:overflowPunct/>
        <w:topLinePunct w:val="0"/>
        <w:autoSpaceDE/>
        <w:autoSpaceDN/>
        <w:bidi w:val="0"/>
        <w:spacing w:line="600" w:lineRule="exact"/>
        <w:textAlignment w:val="auto"/>
        <w:rPr>
          <w:rFonts w:eastAsia="方正仿宋_GBK"/>
          <w:sz w:val="30"/>
          <w:szCs w:val="30"/>
        </w:rPr>
      </w:pPr>
      <w:r>
        <w:rPr>
          <w:rFonts w:hint="eastAsia" w:eastAsia="方正仿宋_GBK"/>
          <w:sz w:val="32"/>
          <w:szCs w:val="32"/>
        </w:rPr>
        <w:t>各镇人民政府、街道办事处，区政府有关部门，有关单位：</w:t>
      </w:r>
    </w:p>
    <w:p>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eastAsia="方正仿宋_GBK"/>
          <w:sz w:val="32"/>
          <w:szCs w:val="32"/>
        </w:rPr>
      </w:pPr>
      <w:r>
        <w:rPr>
          <w:rFonts w:hint="eastAsia" w:eastAsia="方正仿宋_GBK"/>
          <w:sz w:val="32"/>
          <w:szCs w:val="32"/>
        </w:rPr>
        <w:t>《重庆市潼南区声环境功能区划分调整方案》已经区第十八届人民政府第34次常务会议同意，现印发给你们，请认真贯彻执行。</w:t>
      </w:r>
    </w:p>
    <w:p>
      <w:pPr>
        <w:keepNext w:val="0"/>
        <w:keepLines w:val="0"/>
        <w:pageBreakBefore w:val="0"/>
        <w:widowControl w:val="0"/>
        <w:kinsoku/>
        <w:wordWrap/>
        <w:overflowPunct/>
        <w:topLinePunct w:val="0"/>
        <w:autoSpaceDE/>
        <w:autoSpaceDN/>
        <w:bidi w:val="0"/>
        <w:spacing w:line="600" w:lineRule="exact"/>
        <w:textAlignment w:val="auto"/>
        <w:rPr>
          <w:rFonts w:eastAsia="方正仿宋_GBK"/>
          <w:sz w:val="30"/>
          <w:szCs w:val="30"/>
        </w:rPr>
      </w:pPr>
    </w:p>
    <w:p>
      <w:pPr>
        <w:keepNext w:val="0"/>
        <w:keepLines w:val="0"/>
        <w:pageBreakBefore w:val="0"/>
        <w:widowControl w:val="0"/>
        <w:kinsoku/>
        <w:wordWrap/>
        <w:overflowPunct/>
        <w:topLinePunct w:val="0"/>
        <w:autoSpaceDE/>
        <w:autoSpaceDN/>
        <w:bidi w:val="0"/>
        <w:spacing w:line="600" w:lineRule="exact"/>
        <w:ind w:firstLine="4160" w:firstLineChars="1300"/>
        <w:textAlignment w:val="auto"/>
        <w:rPr>
          <w:rFonts w:eastAsia="方正仿宋_GBK"/>
          <w:sz w:val="32"/>
          <w:szCs w:val="32"/>
        </w:rPr>
      </w:pPr>
      <w:r>
        <w:rPr>
          <w:rFonts w:hint="eastAsia" w:eastAsia="方正仿宋_GBK"/>
          <w:sz w:val="32"/>
          <w:szCs w:val="32"/>
        </w:rPr>
        <w:t>重庆市潼南区人民政府办公室</w:t>
      </w:r>
    </w:p>
    <w:p>
      <w:pPr>
        <w:keepNext w:val="0"/>
        <w:keepLines w:val="0"/>
        <w:pageBreakBefore w:val="0"/>
        <w:widowControl w:val="0"/>
        <w:kinsoku/>
        <w:wordWrap/>
        <w:overflowPunct/>
        <w:topLinePunct w:val="0"/>
        <w:autoSpaceDE/>
        <w:autoSpaceDN/>
        <w:bidi w:val="0"/>
        <w:spacing w:line="600" w:lineRule="exact"/>
        <w:ind w:firstLine="4960" w:firstLineChars="1550"/>
        <w:textAlignment w:val="auto"/>
        <w:rPr>
          <w:rFonts w:hint="eastAsia" w:eastAsia="方正仿宋_GBK"/>
          <w:sz w:val="32"/>
          <w:szCs w:val="32"/>
        </w:rPr>
      </w:pPr>
      <w:r>
        <w:rPr>
          <w:rFonts w:eastAsia="方正仿宋_GBK"/>
          <w:sz w:val="32"/>
          <w:szCs w:val="32"/>
        </w:rPr>
        <w:t>2023</w:t>
      </w:r>
      <w:r>
        <w:rPr>
          <w:rFonts w:hint="eastAsia" w:eastAsia="方正仿宋_GBK"/>
          <w:sz w:val="32"/>
          <w:szCs w:val="32"/>
        </w:rPr>
        <w:t>年7月</w:t>
      </w:r>
      <w:bookmarkStart w:id="0" w:name="_Toc101966201"/>
      <w:bookmarkStart w:id="1" w:name="_Toc95922297"/>
      <w:r>
        <w:rPr>
          <w:rFonts w:hint="eastAsia" w:eastAsia="方正仿宋_GBK"/>
          <w:sz w:val="32"/>
          <w:szCs w:val="32"/>
        </w:rPr>
        <w:t>31日</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（此件公开发布）</w:t>
      </w:r>
      <w:bookmarkEnd w:id="0"/>
      <w:bookmarkEnd w:id="1"/>
    </w:p>
    <w:p>
      <w:pPr>
        <w:keepNext w:val="0"/>
        <w:keepLines w:val="0"/>
        <w:pageBreakBefore w:val="0"/>
        <w:widowControl w:val="0"/>
        <w:kinsoku/>
        <w:wordWrap/>
        <w:overflowPunct/>
        <w:topLinePunct w:val="0"/>
        <w:autoSpaceDE/>
        <w:autoSpaceDN/>
        <w:bidi w:val="0"/>
        <w:spacing w:line="600" w:lineRule="exact"/>
        <w:ind w:firstLine="880" w:firstLineChars="200"/>
        <w:textAlignment w:val="auto"/>
        <w:rPr>
          <w:rFonts w:hint="eastAsia" w:eastAsia="方正小标宋_GBK"/>
          <w:sz w:val="44"/>
          <w:szCs w:val="44"/>
        </w:rPr>
      </w:pPr>
    </w:p>
    <w:p>
      <w:pPr>
        <w:keepNext w:val="0"/>
        <w:keepLines w:val="0"/>
        <w:pageBreakBefore w:val="0"/>
        <w:widowControl w:val="0"/>
        <w:kinsoku/>
        <w:wordWrap/>
        <w:overflowPunct/>
        <w:topLinePunct w:val="0"/>
        <w:autoSpaceDE/>
        <w:autoSpaceDN/>
        <w:bidi w:val="0"/>
        <w:spacing w:line="600" w:lineRule="exact"/>
        <w:ind w:firstLine="880" w:firstLineChars="200"/>
        <w:textAlignment w:val="auto"/>
        <w:rPr>
          <w:rFonts w:hint="eastAsia" w:eastAsia="方正小标宋_GBK"/>
          <w:sz w:val="44"/>
          <w:szCs w:val="44"/>
        </w:rPr>
      </w:pPr>
    </w:p>
    <w:p>
      <w:pPr>
        <w:keepNext w:val="0"/>
        <w:keepLines w:val="0"/>
        <w:pageBreakBefore w:val="0"/>
        <w:widowControl w:val="0"/>
        <w:kinsoku/>
        <w:wordWrap/>
        <w:overflowPunct/>
        <w:topLinePunct w:val="0"/>
        <w:autoSpaceDE/>
        <w:autoSpaceDN/>
        <w:bidi w:val="0"/>
        <w:spacing w:line="600" w:lineRule="exact"/>
        <w:ind w:firstLine="880" w:firstLineChars="200"/>
        <w:textAlignment w:val="auto"/>
        <w:rPr>
          <w:rFonts w:hint="eastAsia" w:eastAsia="方正小标宋_GBK"/>
          <w:sz w:val="44"/>
          <w:szCs w:val="44"/>
        </w:rPr>
      </w:pPr>
    </w:p>
    <w:p>
      <w:pPr>
        <w:keepNext w:val="0"/>
        <w:keepLines w:val="0"/>
        <w:pageBreakBefore w:val="0"/>
        <w:widowControl w:val="0"/>
        <w:kinsoku/>
        <w:wordWrap/>
        <w:overflowPunct/>
        <w:topLinePunct w:val="0"/>
        <w:autoSpaceDE/>
        <w:autoSpaceDN/>
        <w:bidi w:val="0"/>
        <w:spacing w:line="600" w:lineRule="exact"/>
        <w:ind w:firstLine="880" w:firstLineChars="200"/>
        <w:textAlignment w:val="auto"/>
        <w:rPr>
          <w:rFonts w:hint="eastAsia" w:eastAsia="方正小标宋_GBK"/>
          <w:sz w:val="44"/>
          <w:szCs w:val="44"/>
        </w:rPr>
      </w:pPr>
    </w:p>
    <w:p>
      <w:pPr>
        <w:keepNext w:val="0"/>
        <w:keepLines w:val="0"/>
        <w:pageBreakBefore w:val="0"/>
        <w:widowControl w:val="0"/>
        <w:kinsoku/>
        <w:wordWrap/>
        <w:overflowPunct/>
        <w:topLinePunct w:val="0"/>
        <w:autoSpaceDE/>
        <w:autoSpaceDN/>
        <w:bidi w:val="0"/>
        <w:spacing w:line="600" w:lineRule="exact"/>
        <w:ind w:firstLine="880" w:firstLineChars="200"/>
        <w:textAlignment w:val="auto"/>
        <w:rPr>
          <w:rFonts w:hint="eastAsia" w:eastAsia="方正小标宋_GBK"/>
          <w:sz w:val="44"/>
          <w:szCs w:val="44"/>
        </w:rPr>
      </w:pPr>
    </w:p>
    <w:p>
      <w:pPr>
        <w:keepNext w:val="0"/>
        <w:keepLines w:val="0"/>
        <w:pageBreakBefore w:val="0"/>
        <w:widowControl w:val="0"/>
        <w:kinsoku/>
        <w:wordWrap/>
        <w:overflowPunct/>
        <w:topLinePunct w:val="0"/>
        <w:autoSpaceDE/>
        <w:autoSpaceDN/>
        <w:bidi w:val="0"/>
        <w:spacing w:line="600" w:lineRule="exact"/>
        <w:ind w:firstLine="880" w:firstLineChars="200"/>
        <w:textAlignment w:val="auto"/>
        <w:rPr>
          <w:rFonts w:hint="eastAsia" w:eastAsia="方正小标宋_GBK"/>
          <w:sz w:val="44"/>
          <w:szCs w:val="44"/>
        </w:rPr>
      </w:pPr>
    </w:p>
    <w:p>
      <w:pPr>
        <w:keepNext w:val="0"/>
        <w:keepLines w:val="0"/>
        <w:pageBreakBefore w:val="0"/>
        <w:widowControl w:val="0"/>
        <w:kinsoku/>
        <w:wordWrap/>
        <w:overflowPunct/>
        <w:topLinePunct w:val="0"/>
        <w:autoSpaceDE/>
        <w:autoSpaceDN/>
        <w:bidi w:val="0"/>
        <w:spacing w:line="600" w:lineRule="exact"/>
        <w:textAlignment w:val="auto"/>
        <w:rPr>
          <w:rFonts w:hint="eastAsia" w:eastAsia="方正小标宋_GBK"/>
          <w:sz w:val="44"/>
          <w:szCs w:val="44"/>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eastAsia="方正小标宋_GBK"/>
          <w:sz w:val="44"/>
          <w:szCs w:val="44"/>
        </w:rPr>
      </w:pPr>
      <w:r>
        <w:rPr>
          <w:rFonts w:hint="eastAsia" w:eastAsia="方正小标宋_GBK"/>
          <w:sz w:val="44"/>
          <w:szCs w:val="44"/>
        </w:rPr>
        <w:t>重庆市潼南区声环境功能区划分调整方案</w:t>
      </w:r>
    </w:p>
    <w:p>
      <w:pPr>
        <w:keepNext w:val="0"/>
        <w:keepLines w:val="0"/>
        <w:pageBreakBefore w:val="0"/>
        <w:widowControl w:val="0"/>
        <w:kinsoku/>
        <w:wordWrap/>
        <w:overflowPunct/>
        <w:topLinePunct w:val="0"/>
        <w:autoSpaceDE/>
        <w:autoSpaceDN/>
        <w:bidi w:val="0"/>
        <w:spacing w:line="600" w:lineRule="exact"/>
        <w:jc w:val="center"/>
        <w:textAlignment w:val="auto"/>
        <w:rPr>
          <w:rFonts w:eastAsia="方正黑体简体"/>
          <w:sz w:val="32"/>
          <w:szCs w:val="44"/>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hint="eastAsia" w:eastAsia="方正仿宋_GBK"/>
          <w:color w:val="000000"/>
          <w:sz w:val="32"/>
          <w:szCs w:val="32"/>
        </w:rPr>
        <w:t>声环境功能区是加强噪声污染防治、改善声环境质量、规划城市环境布局的重要依据。随着我区城区城市面积不断扩大，城市路网快速扩张，城市内部用地结构不断变化，</w:t>
      </w:r>
      <w:r>
        <w:rPr>
          <w:rFonts w:hint="eastAsia" w:eastAsia="方正仿宋_GBK"/>
          <w:kern w:val="0"/>
          <w:sz w:val="32"/>
          <w:szCs w:val="32"/>
        </w:rPr>
        <w:t>原有的声环境功能区划定已经不再适应城市功能和人民群众生产、工作的需求，给噪声环境管理也带来了困难。</w:t>
      </w:r>
      <w:r>
        <w:rPr>
          <w:rFonts w:eastAsia="方正仿宋_GBK"/>
          <w:color w:val="000000"/>
          <w:sz w:val="32"/>
          <w:szCs w:val="32"/>
        </w:rPr>
        <w:t>为加强</w:t>
      </w:r>
      <w:r>
        <w:rPr>
          <w:rFonts w:hint="eastAsia" w:eastAsia="方正仿宋_GBK"/>
          <w:color w:val="000000"/>
          <w:sz w:val="32"/>
          <w:szCs w:val="32"/>
        </w:rPr>
        <w:t>我区城区</w:t>
      </w:r>
      <w:r>
        <w:rPr>
          <w:rFonts w:eastAsia="方正仿宋_GBK"/>
          <w:color w:val="000000"/>
          <w:sz w:val="32"/>
          <w:szCs w:val="32"/>
        </w:rPr>
        <w:t>环境噪声污染防治和监督管理，</w:t>
      </w:r>
      <w:bookmarkStart w:id="2" w:name="_Hlk137540387"/>
      <w:r>
        <w:rPr>
          <w:rFonts w:hint="eastAsia" w:eastAsia="方正仿宋_GBK"/>
          <w:color w:val="000000"/>
          <w:sz w:val="32"/>
          <w:szCs w:val="32"/>
        </w:rPr>
        <w:t>根据</w:t>
      </w:r>
      <w:bookmarkEnd w:id="2"/>
      <w:r>
        <w:rPr>
          <w:rFonts w:eastAsia="方正仿宋_GBK"/>
          <w:color w:val="000000"/>
          <w:sz w:val="32"/>
          <w:szCs w:val="32"/>
        </w:rPr>
        <w:t>《</w:t>
      </w:r>
      <w:r>
        <w:rPr>
          <w:rFonts w:hint="eastAsia" w:eastAsia="方正仿宋_GBK"/>
          <w:color w:val="000000"/>
          <w:sz w:val="32"/>
          <w:szCs w:val="32"/>
        </w:rPr>
        <w:t>中华人民共和国</w:t>
      </w:r>
      <w:r>
        <w:rPr>
          <w:rFonts w:eastAsia="方正仿宋_GBK"/>
          <w:color w:val="000000"/>
          <w:sz w:val="32"/>
          <w:szCs w:val="32"/>
        </w:rPr>
        <w:t>噪声污染防治法》《重庆市环境保护条例》《重庆市环境噪声污染防治办法》等有关法律法规</w:t>
      </w:r>
      <w:r>
        <w:rPr>
          <w:rFonts w:hint="eastAsia" w:eastAsia="方正仿宋_GBK"/>
          <w:color w:val="000000"/>
          <w:sz w:val="32"/>
          <w:szCs w:val="32"/>
        </w:rPr>
        <w:t>规章</w:t>
      </w:r>
      <w:r>
        <w:rPr>
          <w:rFonts w:eastAsia="方正仿宋_GBK"/>
          <w:color w:val="000000"/>
          <w:sz w:val="32"/>
          <w:szCs w:val="32"/>
        </w:rPr>
        <w:t>和《声环境质量标准（GB3096—2008）》《声环境功能区划</w:t>
      </w:r>
      <w:r>
        <w:rPr>
          <w:rFonts w:hint="eastAsia" w:eastAsia="方正仿宋_GBK"/>
          <w:color w:val="000000"/>
          <w:sz w:val="32"/>
          <w:szCs w:val="32"/>
        </w:rPr>
        <w:t>分</w:t>
      </w:r>
      <w:r>
        <w:rPr>
          <w:rFonts w:eastAsia="方正仿宋_GBK"/>
          <w:color w:val="000000"/>
          <w:sz w:val="32"/>
          <w:szCs w:val="32"/>
        </w:rPr>
        <w:t>技术规范（GB/T15190—2014）》等技术规范的规定，结合城市规模和用地变化情况，</w:t>
      </w:r>
      <w:r>
        <w:rPr>
          <w:rFonts w:hint="eastAsia" w:eastAsia="方正仿宋_GBK"/>
          <w:color w:val="000000"/>
          <w:sz w:val="32"/>
          <w:szCs w:val="32"/>
        </w:rPr>
        <w:t>现决定调整全区声环境功能区划分，制定本方案</w:t>
      </w:r>
      <w:r>
        <w:rPr>
          <w:rFonts w:eastAsia="方正仿宋_GBK"/>
          <w:color w:val="000000"/>
          <w:sz w:val="32"/>
          <w:szCs w:val="32"/>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黑体_GBK" w:eastAsia="方正黑体_GBK"/>
          <w:color w:val="000000"/>
          <w:sz w:val="32"/>
          <w:szCs w:val="32"/>
        </w:rPr>
      </w:pPr>
      <w:r>
        <w:rPr>
          <w:rFonts w:hint="eastAsia" w:ascii="方正黑体_GBK" w:eastAsia="方正黑体_GBK"/>
          <w:color w:val="000000"/>
          <w:sz w:val="32"/>
          <w:szCs w:val="32"/>
        </w:rPr>
        <w:t>一、总则</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楷体_GBK" w:eastAsia="方正楷体_GBK"/>
          <w:color w:val="000000"/>
          <w:sz w:val="32"/>
          <w:szCs w:val="32"/>
        </w:rPr>
      </w:pPr>
      <w:r>
        <w:rPr>
          <w:rFonts w:hint="eastAsia" w:ascii="方正楷体_GBK" w:eastAsia="方正楷体_GBK"/>
          <w:color w:val="000000"/>
          <w:sz w:val="32"/>
          <w:szCs w:val="32"/>
        </w:rPr>
        <w:t>（一）指导思想</w:t>
      </w:r>
    </w:p>
    <w:p>
      <w:pPr>
        <w:keepNext w:val="0"/>
        <w:keepLines w:val="0"/>
        <w:pageBreakBefore w:val="0"/>
        <w:widowControl w:val="0"/>
        <w:kinsoku/>
        <w:wordWrap/>
        <w:overflowPunct/>
        <w:topLinePunct w:val="0"/>
        <w:autoSpaceDE/>
        <w:autoSpaceDN/>
        <w:bidi w:val="0"/>
        <w:spacing w:line="600" w:lineRule="exact"/>
        <w:ind w:firstLine="645"/>
        <w:textAlignment w:val="auto"/>
        <w:rPr>
          <w:rFonts w:hint="eastAsia" w:eastAsia="方正仿宋_GBK"/>
          <w:color w:val="000000"/>
          <w:sz w:val="32"/>
          <w:szCs w:val="32"/>
        </w:rPr>
      </w:pPr>
      <w:r>
        <w:rPr>
          <w:rFonts w:hint="eastAsia" w:eastAsia="方正仿宋_GBK"/>
          <w:sz w:val="32"/>
          <w:szCs w:val="32"/>
        </w:rPr>
        <w:t>以</w:t>
      </w:r>
      <w:r>
        <w:rPr>
          <w:rFonts w:eastAsia="方正仿宋_GBK"/>
          <w:sz w:val="32"/>
          <w:szCs w:val="32"/>
        </w:rPr>
        <w:t>习近平新时代中国特色社会主义思想为指导</w:t>
      </w:r>
      <w:r>
        <w:rPr>
          <w:rFonts w:hint="eastAsia" w:eastAsia="方正仿宋_GBK"/>
          <w:sz w:val="32"/>
          <w:szCs w:val="32"/>
        </w:rPr>
        <w:t>，全面</w:t>
      </w:r>
      <w:r>
        <w:rPr>
          <w:rFonts w:eastAsia="方正仿宋_GBK"/>
          <w:sz w:val="32"/>
          <w:szCs w:val="32"/>
        </w:rPr>
        <w:t>贯彻</w:t>
      </w:r>
      <w:r>
        <w:rPr>
          <w:rFonts w:hint="eastAsia" w:eastAsia="方正仿宋_GBK"/>
          <w:sz w:val="32"/>
          <w:szCs w:val="32"/>
        </w:rPr>
        <w:t>党</w:t>
      </w:r>
      <w:r>
        <w:rPr>
          <w:rFonts w:eastAsia="方正仿宋_GBK"/>
          <w:sz w:val="32"/>
          <w:szCs w:val="32"/>
        </w:rPr>
        <w:t>的二十大精神，</w:t>
      </w:r>
      <w:r>
        <w:rPr>
          <w:rFonts w:hint="eastAsia" w:eastAsia="方正仿宋_GBK"/>
          <w:sz w:val="32"/>
          <w:szCs w:val="32"/>
        </w:rPr>
        <w:t>深入践</w:t>
      </w:r>
      <w:r>
        <w:rPr>
          <w:rFonts w:eastAsia="方正仿宋_GBK"/>
          <w:sz w:val="32"/>
          <w:szCs w:val="32"/>
        </w:rPr>
        <w:t>行习</w:t>
      </w:r>
      <w:r>
        <w:rPr>
          <w:rFonts w:hint="eastAsia" w:eastAsia="方正仿宋_GBK"/>
          <w:sz w:val="32"/>
          <w:szCs w:val="32"/>
        </w:rPr>
        <w:t>近</w:t>
      </w:r>
      <w:r>
        <w:rPr>
          <w:rFonts w:eastAsia="方正仿宋_GBK"/>
          <w:sz w:val="32"/>
          <w:szCs w:val="32"/>
        </w:rPr>
        <w:t>平生态文明思想</w:t>
      </w:r>
      <w:r>
        <w:rPr>
          <w:rFonts w:hint="eastAsia" w:eastAsia="方正仿宋_GBK"/>
          <w:sz w:val="32"/>
          <w:szCs w:val="32"/>
        </w:rPr>
        <w:t>，全面落实</w:t>
      </w:r>
      <w:r>
        <w:rPr>
          <w:rFonts w:eastAsia="方正仿宋_GBK"/>
          <w:sz w:val="32"/>
          <w:szCs w:val="32"/>
        </w:rPr>
        <w:t>习近平总书记对重庆工作</w:t>
      </w:r>
      <w:r>
        <w:rPr>
          <w:rFonts w:hint="eastAsia" w:eastAsia="方正仿宋_GBK"/>
          <w:sz w:val="32"/>
          <w:szCs w:val="32"/>
        </w:rPr>
        <w:t>所作重要讲话和</w:t>
      </w:r>
      <w:r>
        <w:rPr>
          <w:rFonts w:eastAsia="方正仿宋_GBK"/>
          <w:sz w:val="32"/>
          <w:szCs w:val="32"/>
        </w:rPr>
        <w:t>系列重要指示</w:t>
      </w:r>
      <w:r>
        <w:rPr>
          <w:rFonts w:hint="eastAsia" w:eastAsia="方正仿宋_GBK"/>
          <w:sz w:val="32"/>
          <w:szCs w:val="32"/>
        </w:rPr>
        <w:t>批示</w:t>
      </w:r>
      <w:r>
        <w:rPr>
          <w:rFonts w:eastAsia="方正仿宋_GBK"/>
          <w:sz w:val="32"/>
          <w:szCs w:val="32"/>
        </w:rPr>
        <w:t>精神</w:t>
      </w:r>
      <w:r>
        <w:rPr>
          <w:rFonts w:hint="eastAsia" w:eastAsia="方正仿宋_GBK"/>
          <w:sz w:val="32"/>
          <w:szCs w:val="32"/>
        </w:rPr>
        <w:t>，立足新发展阶段，完整、准确、全面贯彻新发展理念，积极融入和服务新发展格局。以提高城市声环境质量为目标，坚持有利于城市规划的实施和可持续发展的原则，</w:t>
      </w:r>
      <w:r>
        <w:rPr>
          <w:rFonts w:eastAsia="方正仿宋_GBK"/>
          <w:sz w:val="32"/>
          <w:szCs w:val="44"/>
        </w:rPr>
        <w:t>重点考虑城市近期建设规划和用地现状，科学合理划定潼南区声环境功能区，提高声环境质量，完善声环境质量管理体系，建设宁静舒适的生活环境。</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方正楷体_GBK" w:eastAsia="方正楷体_GBK"/>
          <w:color w:val="000000"/>
          <w:sz w:val="32"/>
          <w:szCs w:val="32"/>
        </w:rPr>
      </w:pPr>
      <w:r>
        <w:rPr>
          <w:rFonts w:hint="eastAsia" w:ascii="方正楷体_GBK" w:eastAsia="方正楷体_GBK"/>
          <w:color w:val="000000"/>
          <w:sz w:val="32"/>
          <w:szCs w:val="32"/>
        </w:rPr>
        <w:t>（二）基本原则</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hint="eastAsia" w:eastAsia="方正仿宋_GBK"/>
          <w:color w:val="000000"/>
          <w:sz w:val="32"/>
          <w:szCs w:val="32"/>
        </w:rPr>
        <w:t>坚持依法划定。根据国家和重庆市相关法律法规、技术标准科学划定声环境功能区，划定中不能随意降低声环境功能区级别类别和管控要求，有效控制环境噪声影响程度和范围，切实维护声环境功能区划分的严肃性。</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hint="eastAsia" w:eastAsia="方正仿宋_GBK"/>
          <w:color w:val="000000"/>
          <w:sz w:val="32"/>
          <w:szCs w:val="32"/>
        </w:rPr>
        <w:t>坚持以人为本。顺应人民群众对宁静宜居生活的向往，注重加强对噪声敏感人群和以居民住宅、医疗卫生、文化教育、科研</w:t>
      </w:r>
      <w:r>
        <w:rPr>
          <w:rFonts w:hint="eastAsia" w:eastAsia="方正仿宋_GBK"/>
          <w:color w:val="000000"/>
          <w:spacing w:val="-6"/>
          <w:sz w:val="32"/>
          <w:szCs w:val="32"/>
        </w:rPr>
        <w:t>设计、行政办公为主要功能的区域的保护</w:t>
      </w:r>
      <w:r>
        <w:rPr>
          <w:rFonts w:eastAsia="方正仿宋_GBK"/>
          <w:color w:val="000000"/>
          <w:spacing w:val="-6"/>
          <w:sz w:val="32"/>
          <w:szCs w:val="32"/>
        </w:rPr>
        <w:t>，</w:t>
      </w:r>
      <w:r>
        <w:rPr>
          <w:rFonts w:hint="eastAsia" w:eastAsia="方正仿宋_GBK"/>
          <w:color w:val="000000"/>
          <w:spacing w:val="-6"/>
          <w:sz w:val="32"/>
          <w:szCs w:val="32"/>
        </w:rPr>
        <w:t>提高城区宜居生活水平</w:t>
      </w:r>
      <w:r>
        <w:rPr>
          <w:rFonts w:eastAsia="方正仿宋_GBK"/>
          <w:color w:val="000000"/>
          <w:spacing w:val="-6"/>
          <w:sz w:val="32"/>
          <w:szCs w:val="32"/>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hint="eastAsia" w:eastAsia="方正仿宋_GBK"/>
          <w:color w:val="000000"/>
          <w:sz w:val="32"/>
          <w:szCs w:val="32"/>
        </w:rPr>
        <w:t>坚持统筹兼顾。以国土空间规划为指导，统筹考虑全区城市经济发展现状、规划用地属性、用地现状、声环境质量现状，与原有声环境功能区划分方案保持衔接，遵循城乡建设和发展的客观规律，因地制宜、统筹兼顾，合理划定声环境功能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hint="eastAsia" w:eastAsia="方正仿宋_GBK"/>
          <w:color w:val="000000"/>
          <w:sz w:val="32"/>
          <w:szCs w:val="32"/>
        </w:rPr>
        <w:t>坚持务实管用。要明确区划单元的地理边界、坐标，将声环境功能区落地、上图、入库，力求“划得实，管得住”，使声环境功能区划分方案成为环境监测、质量评估、环评审批、行政执法等环境日常管理和城市用地规划、交通规划等空间管制的重要依据，增强保护实效。</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方正楷体_GBK" w:eastAsia="方正楷体_GBK"/>
          <w:color w:val="000000"/>
          <w:sz w:val="32"/>
          <w:szCs w:val="32"/>
        </w:rPr>
      </w:pPr>
      <w:r>
        <w:rPr>
          <w:rFonts w:hint="eastAsia" w:ascii="方正楷体_GBK" w:eastAsia="方正楷体_GBK"/>
          <w:color w:val="000000"/>
          <w:sz w:val="32"/>
          <w:szCs w:val="32"/>
        </w:rPr>
        <w:t>（三）划定依据</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1.《中华人民共和国噪声污染防治法》；</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2．《关于加强环境噪声污染防治工作改善城乡声环境质量的指导意见》（环发〔2010〕144号）；</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3．《</w:t>
      </w:r>
      <w:r>
        <w:rPr>
          <w:rFonts w:hint="eastAsia" w:eastAsia="方正仿宋_GBK"/>
          <w:color w:val="000000"/>
          <w:sz w:val="32"/>
          <w:szCs w:val="32"/>
        </w:rPr>
        <w:t>环境保护部办公厅</w:t>
      </w:r>
      <w:r>
        <w:rPr>
          <w:rFonts w:eastAsia="方正仿宋_GBK"/>
          <w:color w:val="000000"/>
          <w:sz w:val="32"/>
          <w:szCs w:val="32"/>
        </w:rPr>
        <w:t>关于加强和规范声环境功能区划分管理工作的通知》（环办大气函〔2017〕1709号）；</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4.《重庆市环境保护条例》</w:t>
      </w:r>
      <w:bookmarkStart w:id="3" w:name="_Hlk520137693"/>
      <w:r>
        <w:rPr>
          <w:rFonts w:eastAsia="方正仿宋_GBK"/>
          <w:color w:val="000000"/>
          <w:sz w:val="32"/>
          <w:szCs w:val="32"/>
        </w:rPr>
        <w:t>（2022年修订）</w:t>
      </w:r>
      <w:bookmarkEnd w:id="3"/>
      <w:r>
        <w:rPr>
          <w:rFonts w:eastAsia="方正仿宋_GBK"/>
          <w:color w:val="000000"/>
          <w:sz w:val="32"/>
          <w:szCs w:val="32"/>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5．《重庆市环境噪声污染防治办法》</w:t>
      </w:r>
      <w:bookmarkStart w:id="4" w:name="_Hlk520137700"/>
      <w:r>
        <w:rPr>
          <w:rFonts w:eastAsia="方正仿宋_GBK"/>
          <w:color w:val="000000"/>
          <w:sz w:val="32"/>
          <w:szCs w:val="32"/>
        </w:rPr>
        <w:t>（2019年</w:t>
      </w:r>
      <w:r>
        <w:rPr>
          <w:rFonts w:hint="eastAsia" w:eastAsia="方正仿宋_GBK"/>
          <w:color w:val="000000"/>
          <w:sz w:val="32"/>
          <w:szCs w:val="32"/>
        </w:rPr>
        <w:t>修订</w:t>
      </w:r>
      <w:r>
        <w:rPr>
          <w:rFonts w:eastAsia="方正仿宋_GBK"/>
          <w:color w:val="000000"/>
          <w:sz w:val="32"/>
          <w:szCs w:val="32"/>
        </w:rPr>
        <w:t>）</w:t>
      </w:r>
      <w:bookmarkEnd w:id="4"/>
      <w:r>
        <w:rPr>
          <w:rFonts w:eastAsia="方正仿宋_GBK"/>
          <w:color w:val="000000"/>
          <w:sz w:val="32"/>
          <w:szCs w:val="32"/>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bookmarkStart w:id="5" w:name="_Hlk505008705"/>
      <w:r>
        <w:rPr>
          <w:rFonts w:eastAsia="方正仿宋_GBK"/>
          <w:color w:val="000000"/>
          <w:sz w:val="32"/>
          <w:szCs w:val="32"/>
        </w:rPr>
        <w:t>6．《重庆市声环境功能区划分技术规范实施细则（试行）》（渝环〔2015〕429号）；</w:t>
      </w:r>
      <w:bookmarkEnd w:id="5"/>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7．《声环境质量标准（GB3096—2008）》；</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8．《声环境功能区划分技术规范（GB/T15190—2014）》；</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9．《城市用地分类与规划建设用地标准（GB50137—2011）》；</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10．《重庆市潼南区城镇控制性详细规划整合（2019年）》；</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eastAsia="方正仿宋_GBK"/>
          <w:color w:val="000000"/>
          <w:sz w:val="32"/>
          <w:szCs w:val="32"/>
        </w:rPr>
      </w:pPr>
      <w:r>
        <w:rPr>
          <w:rFonts w:eastAsia="方正仿宋_GBK"/>
          <w:color w:val="000000"/>
          <w:sz w:val="32"/>
          <w:szCs w:val="32"/>
        </w:rPr>
        <w:t>11.《潼南区国土空间分区规划（2021-2035年）》在编</w:t>
      </w:r>
      <w:r>
        <w:rPr>
          <w:rFonts w:hint="eastAsia" w:eastAsia="方正仿宋_GBK"/>
          <w:color w:val="000000"/>
          <w:sz w:val="32"/>
          <w:szCs w:val="32"/>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eastAsia="方正仿宋_GBK"/>
          <w:color w:val="000000"/>
          <w:sz w:val="32"/>
          <w:szCs w:val="32"/>
        </w:rPr>
      </w:pPr>
      <w:r>
        <w:rPr>
          <w:rFonts w:eastAsia="方正仿宋_GBK"/>
          <w:color w:val="000000"/>
          <w:sz w:val="32"/>
          <w:szCs w:val="32"/>
        </w:rPr>
        <w:t>12.</w:t>
      </w:r>
      <w:r>
        <w:rPr>
          <w:rFonts w:hint="eastAsia" w:eastAsia="方正仿宋_GBK"/>
          <w:color w:val="000000"/>
          <w:sz w:val="32"/>
          <w:szCs w:val="32"/>
        </w:rPr>
        <w:t>潼南区国土空间分区规划“三区三线”批复成果。</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楷体_GBK"/>
          <w:color w:val="000000"/>
          <w:sz w:val="32"/>
          <w:szCs w:val="32"/>
        </w:rPr>
      </w:pPr>
      <w:r>
        <w:rPr>
          <w:rFonts w:eastAsia="方正楷体_GBK"/>
          <w:color w:val="000000"/>
          <w:sz w:val="32"/>
          <w:szCs w:val="32"/>
        </w:rPr>
        <w:t>（四）划分范围</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划分范围包括：</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1.潼南城区和工业园区：梓潼街道（含工业园区南区）、桂林街道（含工业园区北区）、大佛街道和田家工业园区（包含田家镇）、成渝双城经济圈潼南</w:t>
      </w:r>
      <w:r>
        <w:rPr>
          <w:rFonts w:hint="eastAsia" w:eastAsia="方正仿宋_GBK"/>
          <w:color w:val="000000"/>
          <w:sz w:val="32"/>
          <w:szCs w:val="32"/>
        </w:rPr>
        <w:t>战</w:t>
      </w:r>
      <w:r>
        <w:rPr>
          <w:rFonts w:eastAsia="方正仿宋_GBK"/>
          <w:color w:val="000000"/>
          <w:sz w:val="32"/>
          <w:szCs w:val="32"/>
        </w:rPr>
        <w:t>新产业合作示范园区（以下简称</w:t>
      </w:r>
      <w:r>
        <w:rPr>
          <w:rFonts w:hint="eastAsia" w:eastAsia="方正仿宋_GBK"/>
          <w:color w:val="000000"/>
          <w:sz w:val="32"/>
          <w:szCs w:val="32"/>
        </w:rPr>
        <w:t>“</w:t>
      </w:r>
      <w:r>
        <w:rPr>
          <w:rFonts w:eastAsia="方正仿宋_GBK"/>
          <w:color w:val="000000"/>
          <w:sz w:val="32"/>
          <w:szCs w:val="32"/>
        </w:rPr>
        <w:t>循环经济产业园</w:t>
      </w:r>
      <w:r>
        <w:rPr>
          <w:rFonts w:hint="eastAsia" w:eastAsia="方正仿宋_GBK"/>
          <w:color w:val="000000"/>
          <w:sz w:val="32"/>
          <w:szCs w:val="32"/>
        </w:rPr>
        <w:t>”</w:t>
      </w:r>
      <w:r>
        <w:rPr>
          <w:rFonts w:eastAsia="方正仿宋_GBK"/>
          <w:color w:val="000000"/>
          <w:sz w:val="32"/>
          <w:szCs w:val="32"/>
        </w:rPr>
        <w:t>）的规划建设用地范围，面积约55.88平方公里。</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2.上和镇、龙形镇、古溪镇、宝龙镇、玉溪镇、米心镇、群力镇、双江镇、花岩镇、柏梓镇、崇龛镇、塘坝镇、新胜镇、太安镇、小渡镇、卧佛镇、五桂镇、别</w:t>
      </w:r>
      <w:r>
        <w:rPr>
          <w:rFonts w:hint="eastAsia" w:eastAsia="方正仿宋_GBK"/>
          <w:color w:val="000000"/>
          <w:sz w:val="32"/>
          <w:szCs w:val="32"/>
        </w:rPr>
        <w:t>口</w:t>
      </w:r>
      <w:r>
        <w:rPr>
          <w:rFonts w:eastAsia="方正仿宋_GBK"/>
          <w:color w:val="000000"/>
          <w:sz w:val="32"/>
          <w:szCs w:val="32"/>
        </w:rPr>
        <w:t>镇和寿桥镇共19个建制镇的镇区规划建设用地范围。</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3.乡村区域一般不划分声环境功能区，根据《声环境质量标准》（GB3096-2008）7.2条规定，根据环境管理的需要，由</w:t>
      </w:r>
      <w:r>
        <w:rPr>
          <w:rFonts w:hint="eastAsia" w:eastAsia="方正仿宋_GBK"/>
          <w:color w:val="000000"/>
          <w:sz w:val="32"/>
          <w:szCs w:val="32"/>
        </w:rPr>
        <w:t>区生态环境局</w:t>
      </w:r>
      <w:r>
        <w:rPr>
          <w:rFonts w:eastAsia="方正仿宋_GBK"/>
          <w:color w:val="000000"/>
          <w:sz w:val="32"/>
          <w:szCs w:val="32"/>
        </w:rPr>
        <w:t>可按以下要求确定乡村区域适用的声环境质量要求：</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（1）位于乡村的康复疗养区执行0类声环境功能区要求；</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（2）村庄原则上执行1类声环境功能</w:t>
      </w:r>
      <w:r>
        <w:rPr>
          <w:rFonts w:hint="eastAsia" w:eastAsia="方正仿宋_GBK"/>
          <w:color w:val="000000"/>
          <w:sz w:val="32"/>
          <w:szCs w:val="32"/>
        </w:rPr>
        <w:t>区</w:t>
      </w:r>
      <w:r>
        <w:rPr>
          <w:rFonts w:eastAsia="方正仿宋_GBK"/>
          <w:color w:val="000000"/>
          <w:sz w:val="32"/>
          <w:szCs w:val="32"/>
        </w:rPr>
        <w:t>要求，工业活动较多的村庄以及有交通干线经过的村庄（指执行4类声环境功能区要求以外的地区）可局部或全部执行2类声环境功能区要求；</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（3）集镇执行2类声环境功能区要求；</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（4）独立于村庄、集镇之外的工业、仓储集中区执行3类声环境功能区要求；</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（5）位于交通干线两侧一定距离（参考GB/T15190第8.3条规定）内的噪声敏感建筑物执行4类声环境功能区要求。</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楷体_GBK"/>
          <w:color w:val="000000"/>
          <w:sz w:val="32"/>
          <w:szCs w:val="32"/>
        </w:rPr>
      </w:pPr>
      <w:r>
        <w:rPr>
          <w:rFonts w:eastAsia="方正楷体_GBK"/>
          <w:color w:val="000000"/>
          <w:sz w:val="32"/>
          <w:szCs w:val="32"/>
        </w:rPr>
        <w:t>（五）区划目标</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潼南区城市规划区、城镇规划区范围实现声环境功能区全覆盖。</w:t>
      </w:r>
      <w:bookmarkStart w:id="6" w:name="_Hlk503426750"/>
      <w:r>
        <w:rPr>
          <w:rFonts w:eastAsia="方正仿宋_GBK"/>
          <w:color w:val="000000"/>
          <w:sz w:val="32"/>
          <w:szCs w:val="32"/>
        </w:rPr>
        <w:t>确保主要功能为居民住宅、医疗卫生、文化教育、科研设计、行政办公的城市区域得到有效保护，</w:t>
      </w:r>
      <w:bookmarkEnd w:id="6"/>
      <w:r>
        <w:rPr>
          <w:rFonts w:eastAsia="方正仿宋_GBK"/>
          <w:color w:val="000000"/>
          <w:sz w:val="32"/>
          <w:szCs w:val="32"/>
        </w:rPr>
        <w:t>保障人民群众享有良好的声环境。严格控制交通干线环境噪声功能区（4类）范围，防止交通噪声对周围环境产生严重影响，促进交通噪声治理。通过声环境功能区划定，初步构建起覆盖全面、结构完整、分布均衡的城市声环境质量管理空间格局，为环境噪声综合整治、城市规划管理等提供依据。</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黑体_GBK"/>
          <w:color w:val="000000"/>
          <w:sz w:val="32"/>
          <w:szCs w:val="32"/>
        </w:rPr>
      </w:pPr>
      <w:r>
        <w:rPr>
          <w:rFonts w:eastAsia="方正黑体_GBK"/>
          <w:color w:val="000000"/>
          <w:sz w:val="32"/>
          <w:szCs w:val="32"/>
        </w:rPr>
        <w:t>二、声环境功能区定义及管控要求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按城市区域的使用功能特点和环境质量要求，声环境功能区分为0类、1类、2类、3类、4类共五个类别，不同类别的声环境功能区适用不同的声环境质量标准和噪声排放标准。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具体定义如下：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0类声环境功能区：指康复疗养区等特别需要安静的区域；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1类声环境功能区：指以居民住宅、医疗卫生、文化教育、科研设计、行政办公为主要功能，需要保持安静的区域；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2类声环境功能区：指以商业金融、集市贸易为主要功能，或者居住、商业、工业混杂，需要维护住宅安静的区域；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3类声环境功能区：指以工业生产、仓储物流为主要功能，需要防止工业噪声对周围环境产生严重影响的区域；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r>
        <w:rPr>
          <w:rFonts w:eastAsia="方正仿宋_GBK"/>
          <w:color w:val="000000"/>
          <w:sz w:val="32"/>
          <w:szCs w:val="32"/>
        </w:rPr>
        <w:t>4类声环境功能区：指交通干线两侧一定距离之内，需要防止交通噪声对周围环境产生严重影响的区域。可细分为4a类和4b类两种类别：4a类为高速公路、一级公路、二级公路、城市快速路、城市主干路、城市次干路、城市轨道交通（地面段）、内河航道两侧区域</w:t>
      </w:r>
      <w:r>
        <w:rPr>
          <w:rFonts w:hint="eastAsia" w:eastAsia="方正仿宋_GBK"/>
          <w:color w:val="000000"/>
          <w:sz w:val="32"/>
          <w:szCs w:val="32"/>
        </w:rPr>
        <w:t>；</w:t>
      </w:r>
      <w:r>
        <w:rPr>
          <w:rFonts w:eastAsia="方正仿宋_GBK"/>
          <w:color w:val="000000"/>
          <w:sz w:val="32"/>
          <w:szCs w:val="32"/>
        </w:rPr>
        <w:t>4b类专指铁路干线两侧区域。</w:t>
      </w:r>
    </w:p>
    <w:p>
      <w:pPr>
        <w:spacing w:line="360" w:lineRule="exact"/>
        <w:jc w:val="center"/>
        <w:rPr>
          <w:rFonts w:eastAsia="方正仿宋_GBK"/>
          <w:color w:val="000000"/>
          <w:sz w:val="24"/>
          <w:szCs w:val="24"/>
        </w:rPr>
      </w:pPr>
      <w:r>
        <w:rPr>
          <w:rFonts w:hint="default" w:ascii="Times New Roman" w:hAnsi="Times New Roman" w:eastAsia="方正仿宋_GBK" w:cs="Times New Roman"/>
          <w:color w:val="000000"/>
          <w:sz w:val="24"/>
          <w:szCs w:val="24"/>
        </w:rPr>
        <w:t>表1</w:t>
      </w:r>
      <w:r>
        <w:rPr>
          <w:rFonts w:hint="eastAsia" w:eastAsia="方正仿宋_GBK" w:cs="Times New Roman"/>
          <w:color w:val="000000"/>
          <w:sz w:val="24"/>
          <w:szCs w:val="24"/>
          <w:lang w:eastAsia="zh-CN"/>
        </w:rPr>
        <w:t>：</w:t>
      </w:r>
      <w:r>
        <w:rPr>
          <w:rFonts w:eastAsia="方正仿宋_GBK"/>
          <w:color w:val="000000"/>
          <w:sz w:val="24"/>
          <w:szCs w:val="24"/>
        </w:rPr>
        <w:t>各类声环境功能区适用的声环境质量</w:t>
      </w:r>
    </w:p>
    <w:p>
      <w:pPr>
        <w:spacing w:line="360" w:lineRule="exact"/>
        <w:jc w:val="center"/>
        <w:rPr>
          <w:rFonts w:eastAsia="方正仿宋_GBK"/>
          <w:color w:val="000000"/>
          <w:sz w:val="24"/>
          <w:szCs w:val="24"/>
        </w:rPr>
      </w:pPr>
      <w:r>
        <w:rPr>
          <w:rFonts w:eastAsia="方正仿宋_GBK"/>
          <w:color w:val="000000"/>
          <w:sz w:val="24"/>
          <w:szCs w:val="24"/>
        </w:rPr>
        <w:t>评价标准和噪声排放限值/单位：dB（A）</w:t>
      </w:r>
    </w:p>
    <w:tbl>
      <w:tblPr>
        <w:tblStyle w:val="8"/>
        <w:tblW w:w="84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039"/>
        <w:gridCol w:w="3553"/>
        <w:gridCol w:w="30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815" w:type="dxa"/>
            <w:gridSpan w:val="2"/>
            <w:vMerge w:val="restart"/>
            <w:noWrap w:val="0"/>
            <w:vAlign w:val="center"/>
          </w:tcPr>
          <w:p>
            <w:pPr>
              <w:spacing w:line="300" w:lineRule="exact"/>
              <w:jc w:val="center"/>
              <w:rPr>
                <w:rFonts w:eastAsia="方正楷体_GBK"/>
                <w:color w:val="000000"/>
                <w:sz w:val="28"/>
                <w:szCs w:val="28"/>
              </w:rPr>
            </w:pPr>
            <w:r>
              <w:rPr>
                <w:rFonts w:eastAsia="方正楷体_GBK"/>
                <w:color w:val="000000"/>
                <w:sz w:val="28"/>
                <w:szCs w:val="28"/>
              </w:rPr>
              <w:t>声环境功能区类别</w:t>
            </w:r>
          </w:p>
        </w:tc>
        <w:tc>
          <w:tcPr>
            <w:tcW w:w="6634" w:type="dxa"/>
            <w:gridSpan w:val="2"/>
            <w:noWrap w:val="0"/>
            <w:vAlign w:val="center"/>
          </w:tcPr>
          <w:p>
            <w:pPr>
              <w:spacing w:line="360" w:lineRule="exact"/>
              <w:jc w:val="center"/>
              <w:rPr>
                <w:rFonts w:eastAsia="方正楷体_GBK"/>
                <w:color w:val="000000"/>
                <w:sz w:val="28"/>
                <w:szCs w:val="28"/>
              </w:rPr>
            </w:pPr>
            <w:r>
              <w:rPr>
                <w:rFonts w:eastAsia="方正楷体_GBK"/>
                <w:color w:val="000000"/>
                <w:sz w:val="28"/>
                <w:szCs w:val="28"/>
              </w:rPr>
              <w:t>声环境质量评价标准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815" w:type="dxa"/>
            <w:gridSpan w:val="2"/>
            <w:vMerge w:val="continue"/>
            <w:noWrap w:val="0"/>
            <w:vAlign w:val="center"/>
          </w:tcPr>
          <w:p>
            <w:pPr>
              <w:spacing w:line="360" w:lineRule="exact"/>
              <w:jc w:val="center"/>
              <w:rPr>
                <w:rFonts w:eastAsia="方正仿宋_GBK"/>
                <w:color w:val="000000"/>
                <w:sz w:val="28"/>
                <w:szCs w:val="28"/>
              </w:rPr>
            </w:pPr>
          </w:p>
        </w:tc>
        <w:tc>
          <w:tcPr>
            <w:tcW w:w="3553" w:type="dxa"/>
            <w:noWrap w:val="0"/>
            <w:vAlign w:val="center"/>
          </w:tcPr>
          <w:p>
            <w:pPr>
              <w:spacing w:line="360" w:lineRule="exact"/>
              <w:jc w:val="center"/>
              <w:rPr>
                <w:rFonts w:eastAsia="方正仿宋_GBK"/>
                <w:color w:val="000000"/>
                <w:sz w:val="28"/>
                <w:szCs w:val="28"/>
              </w:rPr>
            </w:pPr>
            <w:r>
              <w:rPr>
                <w:rFonts w:eastAsia="方正仿宋_GBK"/>
                <w:color w:val="000000"/>
                <w:sz w:val="28"/>
                <w:szCs w:val="28"/>
              </w:rPr>
              <w:t>昼间</w:t>
            </w:r>
          </w:p>
        </w:tc>
        <w:tc>
          <w:tcPr>
            <w:tcW w:w="3081" w:type="dxa"/>
            <w:noWrap w:val="0"/>
            <w:vAlign w:val="center"/>
          </w:tcPr>
          <w:p>
            <w:pPr>
              <w:spacing w:line="360" w:lineRule="exact"/>
              <w:jc w:val="center"/>
              <w:rPr>
                <w:rFonts w:eastAsia="方正仿宋_GBK"/>
                <w:color w:val="000000"/>
                <w:sz w:val="28"/>
                <w:szCs w:val="28"/>
              </w:rPr>
            </w:pPr>
            <w:r>
              <w:rPr>
                <w:rFonts w:eastAsia="方正仿宋_GBK"/>
                <w:color w:val="000000"/>
                <w:sz w:val="28"/>
                <w:szCs w:val="28"/>
              </w:rPr>
              <w:t>夜间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815" w:type="dxa"/>
            <w:gridSpan w:val="2"/>
            <w:noWrap w:val="0"/>
            <w:vAlign w:val="center"/>
          </w:tcPr>
          <w:p>
            <w:pPr>
              <w:spacing w:line="360" w:lineRule="exact"/>
              <w:jc w:val="center"/>
              <w:rPr>
                <w:rFonts w:eastAsia="方正仿宋_GBK"/>
                <w:sz w:val="28"/>
                <w:szCs w:val="28"/>
              </w:rPr>
            </w:pPr>
            <w:r>
              <w:rPr>
                <w:rFonts w:eastAsia="方正仿宋_GBK"/>
                <w:sz w:val="28"/>
                <w:szCs w:val="28"/>
              </w:rPr>
              <w:t>0</w:t>
            </w:r>
          </w:p>
        </w:tc>
        <w:tc>
          <w:tcPr>
            <w:tcW w:w="3553" w:type="dxa"/>
            <w:noWrap w:val="0"/>
            <w:vAlign w:val="center"/>
          </w:tcPr>
          <w:p>
            <w:pPr>
              <w:spacing w:line="360" w:lineRule="exact"/>
              <w:jc w:val="center"/>
              <w:rPr>
                <w:rFonts w:eastAsia="方正仿宋_GBK"/>
                <w:sz w:val="28"/>
                <w:szCs w:val="28"/>
              </w:rPr>
            </w:pPr>
            <w:r>
              <w:rPr>
                <w:rFonts w:eastAsia="方正仿宋_GBK"/>
                <w:sz w:val="28"/>
                <w:szCs w:val="28"/>
              </w:rPr>
              <w:t>≤50</w:t>
            </w:r>
          </w:p>
        </w:tc>
        <w:tc>
          <w:tcPr>
            <w:tcW w:w="3081" w:type="dxa"/>
            <w:noWrap w:val="0"/>
            <w:vAlign w:val="center"/>
          </w:tcPr>
          <w:p>
            <w:pPr>
              <w:spacing w:line="360" w:lineRule="exact"/>
              <w:jc w:val="center"/>
              <w:rPr>
                <w:rFonts w:eastAsia="方正仿宋_GBK"/>
                <w:sz w:val="28"/>
                <w:szCs w:val="28"/>
              </w:rPr>
            </w:pPr>
            <w:r>
              <w:rPr>
                <w:rFonts w:eastAsia="方正仿宋_GBK"/>
                <w:sz w:val="28"/>
                <w:szCs w:val="28"/>
              </w:rPr>
              <w:t>≤40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815" w:type="dxa"/>
            <w:gridSpan w:val="2"/>
            <w:noWrap w:val="0"/>
            <w:vAlign w:val="center"/>
          </w:tcPr>
          <w:p>
            <w:pPr>
              <w:spacing w:line="360" w:lineRule="exact"/>
              <w:jc w:val="center"/>
              <w:rPr>
                <w:rFonts w:eastAsia="方正仿宋_GBK"/>
                <w:sz w:val="28"/>
                <w:szCs w:val="28"/>
              </w:rPr>
            </w:pPr>
            <w:r>
              <w:rPr>
                <w:rFonts w:eastAsia="方正仿宋_GBK"/>
                <w:sz w:val="28"/>
                <w:szCs w:val="28"/>
              </w:rPr>
              <w:t xml:space="preserve">1 </w:t>
            </w:r>
          </w:p>
        </w:tc>
        <w:tc>
          <w:tcPr>
            <w:tcW w:w="3553" w:type="dxa"/>
            <w:noWrap w:val="0"/>
            <w:vAlign w:val="center"/>
          </w:tcPr>
          <w:p>
            <w:pPr>
              <w:spacing w:line="360" w:lineRule="exact"/>
              <w:jc w:val="center"/>
              <w:rPr>
                <w:rFonts w:eastAsia="方正仿宋_GBK"/>
                <w:sz w:val="28"/>
                <w:szCs w:val="28"/>
              </w:rPr>
            </w:pPr>
            <w:r>
              <w:rPr>
                <w:rFonts w:eastAsia="方正仿宋_GBK"/>
                <w:sz w:val="28"/>
                <w:szCs w:val="28"/>
              </w:rPr>
              <w:t>≤55</w:t>
            </w:r>
          </w:p>
        </w:tc>
        <w:tc>
          <w:tcPr>
            <w:tcW w:w="3081" w:type="dxa"/>
            <w:noWrap w:val="0"/>
            <w:vAlign w:val="center"/>
          </w:tcPr>
          <w:p>
            <w:pPr>
              <w:spacing w:line="360" w:lineRule="exact"/>
              <w:jc w:val="center"/>
              <w:rPr>
                <w:rFonts w:eastAsia="方正仿宋_GBK"/>
                <w:sz w:val="28"/>
                <w:szCs w:val="28"/>
              </w:rPr>
            </w:pPr>
            <w:r>
              <w:rPr>
                <w:rFonts w:eastAsia="方正仿宋_GBK"/>
                <w:sz w:val="28"/>
                <w:szCs w:val="28"/>
              </w:rPr>
              <w:t>≤45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815" w:type="dxa"/>
            <w:gridSpan w:val="2"/>
            <w:noWrap w:val="0"/>
            <w:vAlign w:val="center"/>
          </w:tcPr>
          <w:p>
            <w:pPr>
              <w:spacing w:line="360" w:lineRule="exact"/>
              <w:jc w:val="center"/>
              <w:rPr>
                <w:rFonts w:eastAsia="方正仿宋_GBK"/>
                <w:sz w:val="28"/>
                <w:szCs w:val="28"/>
              </w:rPr>
            </w:pPr>
            <w:r>
              <w:rPr>
                <w:rFonts w:eastAsia="方正仿宋_GBK"/>
                <w:sz w:val="28"/>
                <w:szCs w:val="28"/>
              </w:rPr>
              <w:t>2</w:t>
            </w:r>
          </w:p>
        </w:tc>
        <w:tc>
          <w:tcPr>
            <w:tcW w:w="3553" w:type="dxa"/>
            <w:noWrap w:val="0"/>
            <w:vAlign w:val="center"/>
          </w:tcPr>
          <w:p>
            <w:pPr>
              <w:spacing w:line="360" w:lineRule="exact"/>
              <w:jc w:val="center"/>
              <w:rPr>
                <w:rFonts w:eastAsia="方正仿宋_GBK"/>
                <w:sz w:val="28"/>
                <w:szCs w:val="28"/>
              </w:rPr>
            </w:pPr>
            <w:r>
              <w:rPr>
                <w:rFonts w:eastAsia="方正仿宋_GBK"/>
                <w:sz w:val="28"/>
                <w:szCs w:val="28"/>
              </w:rPr>
              <w:t>≤60</w:t>
            </w:r>
          </w:p>
        </w:tc>
        <w:tc>
          <w:tcPr>
            <w:tcW w:w="3081" w:type="dxa"/>
            <w:noWrap w:val="0"/>
            <w:vAlign w:val="center"/>
          </w:tcPr>
          <w:p>
            <w:pPr>
              <w:spacing w:line="360" w:lineRule="exact"/>
              <w:jc w:val="center"/>
              <w:rPr>
                <w:rFonts w:eastAsia="方正仿宋_GBK"/>
                <w:sz w:val="28"/>
                <w:szCs w:val="28"/>
              </w:rPr>
            </w:pPr>
            <w:r>
              <w:rPr>
                <w:rFonts w:eastAsia="方正仿宋_GBK"/>
                <w:sz w:val="28"/>
                <w:szCs w:val="28"/>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815" w:type="dxa"/>
            <w:gridSpan w:val="2"/>
            <w:noWrap w:val="0"/>
            <w:vAlign w:val="center"/>
          </w:tcPr>
          <w:p>
            <w:pPr>
              <w:spacing w:line="360" w:lineRule="exact"/>
              <w:jc w:val="center"/>
              <w:rPr>
                <w:rFonts w:eastAsia="方正仿宋_GBK"/>
                <w:sz w:val="28"/>
                <w:szCs w:val="28"/>
              </w:rPr>
            </w:pPr>
            <w:r>
              <w:rPr>
                <w:rFonts w:eastAsia="方正仿宋_GBK"/>
                <w:sz w:val="28"/>
                <w:szCs w:val="28"/>
              </w:rPr>
              <w:t>3</w:t>
            </w:r>
          </w:p>
        </w:tc>
        <w:tc>
          <w:tcPr>
            <w:tcW w:w="3553" w:type="dxa"/>
            <w:noWrap w:val="0"/>
            <w:vAlign w:val="center"/>
          </w:tcPr>
          <w:p>
            <w:pPr>
              <w:spacing w:line="360" w:lineRule="exact"/>
              <w:jc w:val="center"/>
              <w:rPr>
                <w:rFonts w:eastAsia="方正仿宋_GBK"/>
                <w:sz w:val="28"/>
                <w:szCs w:val="28"/>
              </w:rPr>
            </w:pPr>
            <w:r>
              <w:rPr>
                <w:rFonts w:eastAsia="方正仿宋_GBK"/>
                <w:sz w:val="28"/>
                <w:szCs w:val="28"/>
              </w:rPr>
              <w:t>≤65</w:t>
            </w:r>
          </w:p>
        </w:tc>
        <w:tc>
          <w:tcPr>
            <w:tcW w:w="3081" w:type="dxa"/>
            <w:noWrap w:val="0"/>
            <w:vAlign w:val="center"/>
          </w:tcPr>
          <w:p>
            <w:pPr>
              <w:spacing w:line="360" w:lineRule="exact"/>
              <w:jc w:val="center"/>
              <w:rPr>
                <w:rFonts w:eastAsia="方正仿宋_GBK"/>
                <w:sz w:val="28"/>
                <w:szCs w:val="28"/>
              </w:rPr>
            </w:pPr>
            <w:r>
              <w:rPr>
                <w:rFonts w:eastAsia="方正仿宋_GBK"/>
                <w:sz w:val="28"/>
                <w:szCs w:val="28"/>
              </w:rPr>
              <w:t>≤55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76" w:type="dxa"/>
            <w:vMerge w:val="restart"/>
            <w:noWrap w:val="0"/>
            <w:vAlign w:val="center"/>
          </w:tcPr>
          <w:p>
            <w:pPr>
              <w:spacing w:line="360" w:lineRule="exact"/>
              <w:jc w:val="center"/>
              <w:rPr>
                <w:rFonts w:eastAsia="方正仿宋_GBK"/>
                <w:sz w:val="28"/>
                <w:szCs w:val="28"/>
              </w:rPr>
            </w:pPr>
            <w:r>
              <w:rPr>
                <w:rFonts w:eastAsia="方正仿宋_GBK"/>
                <w:sz w:val="28"/>
                <w:szCs w:val="28"/>
              </w:rPr>
              <w:t>4</w:t>
            </w:r>
          </w:p>
        </w:tc>
        <w:tc>
          <w:tcPr>
            <w:tcW w:w="1039" w:type="dxa"/>
            <w:noWrap w:val="0"/>
            <w:vAlign w:val="center"/>
          </w:tcPr>
          <w:p>
            <w:pPr>
              <w:spacing w:line="360" w:lineRule="exact"/>
              <w:jc w:val="center"/>
              <w:rPr>
                <w:rFonts w:eastAsia="方正仿宋_GBK"/>
                <w:sz w:val="28"/>
                <w:szCs w:val="28"/>
              </w:rPr>
            </w:pPr>
            <w:r>
              <w:rPr>
                <w:rFonts w:eastAsia="方正仿宋_GBK"/>
                <w:sz w:val="28"/>
                <w:szCs w:val="28"/>
              </w:rPr>
              <w:t>4a</w:t>
            </w:r>
          </w:p>
        </w:tc>
        <w:tc>
          <w:tcPr>
            <w:tcW w:w="3553" w:type="dxa"/>
            <w:noWrap w:val="0"/>
            <w:vAlign w:val="center"/>
          </w:tcPr>
          <w:p>
            <w:pPr>
              <w:spacing w:line="360" w:lineRule="exact"/>
              <w:jc w:val="center"/>
              <w:rPr>
                <w:rFonts w:eastAsia="方正仿宋_GBK"/>
                <w:sz w:val="28"/>
                <w:szCs w:val="28"/>
              </w:rPr>
            </w:pPr>
            <w:r>
              <w:rPr>
                <w:rFonts w:eastAsia="方正仿宋_GBK"/>
                <w:sz w:val="28"/>
                <w:szCs w:val="28"/>
              </w:rPr>
              <w:t>≤70</w:t>
            </w:r>
          </w:p>
        </w:tc>
        <w:tc>
          <w:tcPr>
            <w:tcW w:w="3081" w:type="dxa"/>
            <w:noWrap w:val="0"/>
            <w:vAlign w:val="center"/>
          </w:tcPr>
          <w:p>
            <w:pPr>
              <w:spacing w:line="360" w:lineRule="exact"/>
              <w:jc w:val="center"/>
              <w:rPr>
                <w:rFonts w:eastAsia="方正仿宋_GBK"/>
                <w:sz w:val="28"/>
                <w:szCs w:val="28"/>
              </w:rPr>
            </w:pPr>
            <w:r>
              <w:rPr>
                <w:rFonts w:eastAsia="方正仿宋_GBK"/>
                <w:sz w:val="28"/>
                <w:szCs w:val="28"/>
              </w:rPr>
              <w:t>≤55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76" w:type="dxa"/>
            <w:vMerge w:val="continue"/>
            <w:noWrap w:val="0"/>
            <w:vAlign w:val="center"/>
          </w:tcPr>
          <w:p>
            <w:pPr>
              <w:spacing w:line="360" w:lineRule="exact"/>
              <w:jc w:val="center"/>
              <w:rPr>
                <w:rFonts w:eastAsia="方正仿宋_GBK"/>
                <w:sz w:val="28"/>
                <w:szCs w:val="28"/>
              </w:rPr>
            </w:pPr>
          </w:p>
        </w:tc>
        <w:tc>
          <w:tcPr>
            <w:tcW w:w="1039" w:type="dxa"/>
            <w:noWrap w:val="0"/>
            <w:vAlign w:val="center"/>
          </w:tcPr>
          <w:p>
            <w:pPr>
              <w:spacing w:line="360" w:lineRule="exact"/>
              <w:jc w:val="center"/>
              <w:rPr>
                <w:rFonts w:eastAsia="方正仿宋_GBK"/>
                <w:sz w:val="28"/>
                <w:szCs w:val="28"/>
              </w:rPr>
            </w:pPr>
            <w:r>
              <w:rPr>
                <w:rFonts w:eastAsia="方正仿宋_GBK"/>
                <w:sz w:val="28"/>
                <w:szCs w:val="28"/>
              </w:rPr>
              <w:t>4b</w:t>
            </w:r>
          </w:p>
        </w:tc>
        <w:tc>
          <w:tcPr>
            <w:tcW w:w="3553" w:type="dxa"/>
            <w:noWrap w:val="0"/>
            <w:vAlign w:val="center"/>
          </w:tcPr>
          <w:p>
            <w:pPr>
              <w:spacing w:line="360" w:lineRule="exact"/>
              <w:jc w:val="center"/>
              <w:rPr>
                <w:rFonts w:eastAsia="方正仿宋_GBK"/>
                <w:sz w:val="28"/>
                <w:szCs w:val="28"/>
              </w:rPr>
            </w:pPr>
            <w:r>
              <w:rPr>
                <w:rFonts w:eastAsia="方正仿宋_GBK"/>
                <w:sz w:val="28"/>
                <w:szCs w:val="28"/>
              </w:rPr>
              <w:t>≤70</w:t>
            </w:r>
          </w:p>
        </w:tc>
        <w:tc>
          <w:tcPr>
            <w:tcW w:w="3081" w:type="dxa"/>
            <w:noWrap w:val="0"/>
            <w:vAlign w:val="center"/>
          </w:tcPr>
          <w:p>
            <w:pPr>
              <w:spacing w:line="360" w:lineRule="exact"/>
              <w:jc w:val="center"/>
              <w:rPr>
                <w:rFonts w:eastAsia="方正仿宋_GBK"/>
                <w:sz w:val="28"/>
                <w:szCs w:val="28"/>
              </w:rPr>
            </w:pPr>
            <w:r>
              <w:rPr>
                <w:rFonts w:eastAsia="方正仿宋_GBK"/>
                <w:sz w:val="28"/>
                <w:szCs w:val="28"/>
              </w:rPr>
              <w:t>≤60</w:t>
            </w:r>
          </w:p>
        </w:tc>
      </w:tr>
    </w:tbl>
    <w:p>
      <w:pPr>
        <w:keepNext w:val="0"/>
        <w:keepLines w:val="0"/>
        <w:pageBreakBefore w:val="0"/>
        <w:widowControl w:val="0"/>
        <w:kinsoku/>
        <w:wordWrap/>
        <w:overflowPunct/>
        <w:topLinePunct w:val="0"/>
        <w:autoSpaceDE/>
        <w:autoSpaceDN/>
        <w:bidi w:val="0"/>
        <w:spacing w:line="600" w:lineRule="exact"/>
        <w:ind w:firstLine="420" w:firstLineChars="200"/>
        <w:textAlignment w:val="auto"/>
        <w:rPr>
          <w:rFonts w:hint="eastAsia" w:eastAsia="方正黑体_GBK"/>
          <w:color w:val="000000"/>
          <w:sz w:val="32"/>
          <w:szCs w:val="32"/>
        </w:rPr>
      </w:pPr>
      <w:r>
        <w:rPr>
          <w:rFonts w:hint="eastAsia" w:ascii="方正仿宋_GBK" w:eastAsia="方正仿宋_GBK"/>
          <w:color w:val="000000"/>
          <w:szCs w:val="21"/>
        </w:rPr>
        <w:t>（备注：“昼间”是指</w:t>
      </w:r>
      <w:r>
        <w:rPr>
          <w:rFonts w:hint="default" w:ascii="Times New Roman" w:hAnsi="Times New Roman" w:eastAsia="方正仿宋_GBK" w:cs="Times New Roman"/>
          <w:color w:val="000000"/>
          <w:szCs w:val="21"/>
        </w:rPr>
        <w:t>6︰00至22︰00之间的时段，“夜间”是指22︰00至次日6︰00之间的时段</w:t>
      </w:r>
      <w:r>
        <w:rPr>
          <w:rFonts w:hint="eastAsia" w:ascii="方正仿宋_GBK" w:eastAsia="方正仿宋_GBK"/>
          <w:color w:val="000000"/>
          <w:szCs w:val="21"/>
        </w:rPr>
        <w:t>。）</w:t>
      </w:r>
      <w:r>
        <w:rPr>
          <w:rFonts w:hint="eastAsia" w:ascii="方正仿宋_GBK" w:eastAsia="方正仿宋_GBK"/>
          <w:color w:val="000000"/>
          <w:sz w:val="32"/>
          <w:szCs w:val="32"/>
        </w:rPr>
        <w:cr/>
      </w:r>
      <w:r>
        <w:rPr>
          <w:rFonts w:hint="eastAsia" w:ascii="方正仿宋_GBK" w:eastAsia="方正仿宋_GBK"/>
          <w:color w:val="000000"/>
          <w:sz w:val="32"/>
          <w:szCs w:val="32"/>
        </w:rPr>
        <w:t xml:space="preserve">    </w:t>
      </w:r>
      <w:r>
        <w:rPr>
          <w:rFonts w:eastAsia="方正黑体_GBK"/>
          <w:color w:val="000000"/>
          <w:sz w:val="32"/>
          <w:szCs w:val="32"/>
        </w:rPr>
        <w:t>三、声环境功能区划分步骤及划分标准</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eastAsia="方正楷体_GBK"/>
          <w:color w:val="000000"/>
          <w:sz w:val="32"/>
          <w:szCs w:val="32"/>
        </w:rPr>
      </w:pPr>
      <w:r>
        <w:rPr>
          <w:rFonts w:eastAsia="方正楷体_GBK"/>
          <w:color w:val="000000"/>
          <w:sz w:val="32"/>
          <w:szCs w:val="32"/>
        </w:rPr>
        <w:t>（一）划分声环境区划单元</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根据城市功能、城市用地类型、行政边界、交通干线等确定声环境区划单元，原则上，单块区划单元面积不</w:t>
      </w:r>
      <w:r>
        <w:rPr>
          <w:rFonts w:hint="eastAsia" w:eastAsia="方正仿宋_GBK"/>
          <w:color w:val="000000"/>
          <w:sz w:val="32"/>
          <w:szCs w:val="32"/>
        </w:rPr>
        <w:t>小于</w:t>
      </w:r>
      <w:r>
        <w:rPr>
          <w:rFonts w:eastAsia="方正仿宋_GBK"/>
          <w:color w:val="000000"/>
          <w:sz w:val="32"/>
          <w:szCs w:val="32"/>
        </w:rPr>
        <w:t>0.5km</w:t>
      </w:r>
      <w:r>
        <w:rPr>
          <w:rFonts w:eastAsia="方正仿宋_GBK"/>
          <w:color w:val="000000"/>
          <w:sz w:val="32"/>
          <w:szCs w:val="32"/>
          <w:vertAlign w:val="superscript"/>
        </w:rPr>
        <w:t>2</w:t>
      </w:r>
      <w:r>
        <w:rPr>
          <w:rFonts w:eastAsia="方正仿宋_GBK"/>
          <w:color w:val="000000"/>
          <w:sz w:val="32"/>
          <w:szCs w:val="32"/>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楷体_GBK"/>
          <w:color w:val="000000"/>
          <w:sz w:val="32"/>
          <w:szCs w:val="32"/>
        </w:rPr>
      </w:pPr>
      <w:r>
        <w:rPr>
          <w:rFonts w:hint="eastAsia" w:eastAsia="方正楷体_GBK"/>
          <w:color w:val="000000"/>
          <w:sz w:val="32"/>
          <w:szCs w:val="32"/>
        </w:rPr>
        <w:t>（二）</w:t>
      </w:r>
      <w:r>
        <w:rPr>
          <w:rFonts w:eastAsia="方正楷体_GBK"/>
          <w:color w:val="000000"/>
          <w:sz w:val="32"/>
          <w:szCs w:val="32"/>
        </w:rPr>
        <w:t>划定0类声环境功能区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eastAsia="方正仿宋_GBK"/>
          <w:color w:val="000000"/>
          <w:sz w:val="32"/>
          <w:szCs w:val="32"/>
        </w:rPr>
      </w:pPr>
      <w:r>
        <w:rPr>
          <w:rFonts w:hint="eastAsia" w:eastAsia="方正仿宋_GBK"/>
          <w:color w:val="000000"/>
          <w:sz w:val="32"/>
          <w:szCs w:val="32"/>
        </w:rPr>
        <w:t>将用地性质为康复疗养区等特别需要安静的区划单元划为0类声环境功能区，该区域内及附近区域应无明显噪声源，区域界限明确。</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楷体_GBK"/>
          <w:color w:val="000000"/>
          <w:sz w:val="32"/>
          <w:szCs w:val="32"/>
        </w:rPr>
      </w:pPr>
      <w:r>
        <w:rPr>
          <w:rFonts w:eastAsia="方正楷体_GBK"/>
          <w:color w:val="000000"/>
          <w:sz w:val="32"/>
          <w:szCs w:val="32"/>
        </w:rPr>
        <w:t>（</w:t>
      </w:r>
      <w:r>
        <w:rPr>
          <w:rFonts w:hint="eastAsia" w:eastAsia="方正楷体_GBK"/>
          <w:color w:val="000000"/>
          <w:sz w:val="32"/>
          <w:szCs w:val="32"/>
        </w:rPr>
        <w:t>三</w:t>
      </w:r>
      <w:r>
        <w:rPr>
          <w:rFonts w:eastAsia="方正楷体_GBK"/>
          <w:color w:val="000000"/>
          <w:sz w:val="32"/>
          <w:szCs w:val="32"/>
        </w:rPr>
        <w:t>）划定1类声环境功能区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将用地现状已形成一定规模或已明确规划为居民住宅、医疗卫生、文化教育、科研设计、行政办公用地的区域，或者虽兼有其他用地性质但上述居民住宅等五种用地在该区域中占地率≥70%的区划单元，划为1类声环境功能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楷体_GBK"/>
          <w:color w:val="000000"/>
          <w:sz w:val="32"/>
          <w:szCs w:val="32"/>
        </w:rPr>
      </w:pPr>
      <w:r>
        <w:rPr>
          <w:rFonts w:eastAsia="方正楷体_GBK"/>
          <w:color w:val="000000"/>
          <w:sz w:val="32"/>
          <w:szCs w:val="32"/>
        </w:rPr>
        <w:t>（</w:t>
      </w:r>
      <w:r>
        <w:rPr>
          <w:rFonts w:hint="eastAsia" w:eastAsia="方正楷体_GBK"/>
          <w:color w:val="000000"/>
          <w:sz w:val="32"/>
          <w:szCs w:val="32"/>
        </w:rPr>
        <w:t>四</w:t>
      </w:r>
      <w:r>
        <w:rPr>
          <w:rFonts w:eastAsia="方正楷体_GBK"/>
          <w:color w:val="000000"/>
          <w:sz w:val="32"/>
          <w:szCs w:val="32"/>
        </w:rPr>
        <w:t>）划定3类声环境功能区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将现状用地已形成一定规模或近期规划已明确主要功能为工业</w:t>
      </w:r>
      <w:r>
        <w:rPr>
          <w:rFonts w:hint="eastAsia" w:eastAsia="方正仿宋_GBK"/>
          <w:color w:val="000000"/>
          <w:sz w:val="32"/>
          <w:szCs w:val="32"/>
        </w:rPr>
        <w:t>生产</w:t>
      </w:r>
      <w:r>
        <w:rPr>
          <w:rFonts w:eastAsia="方正仿宋_GBK"/>
          <w:color w:val="000000"/>
          <w:sz w:val="32"/>
          <w:szCs w:val="32"/>
        </w:rPr>
        <w:t>、仓储物流用地的区域；或者该区域内虽兼有其他用地性质但上述工业</w:t>
      </w:r>
      <w:r>
        <w:rPr>
          <w:rFonts w:hint="eastAsia" w:eastAsia="方正仿宋_GBK"/>
          <w:color w:val="000000"/>
          <w:sz w:val="32"/>
          <w:szCs w:val="32"/>
        </w:rPr>
        <w:t>生产</w:t>
      </w:r>
      <w:r>
        <w:rPr>
          <w:rFonts w:eastAsia="方正仿宋_GBK"/>
          <w:color w:val="000000"/>
          <w:sz w:val="32"/>
          <w:szCs w:val="32"/>
        </w:rPr>
        <w:t>、仓储物流用地在该区域中占地率≥70%的区划单元，划为3类声环境功能区。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楷体_GBK"/>
          <w:color w:val="000000"/>
          <w:sz w:val="32"/>
          <w:szCs w:val="32"/>
        </w:rPr>
      </w:pPr>
      <w:r>
        <w:rPr>
          <w:rFonts w:eastAsia="方正楷体_GBK"/>
          <w:color w:val="000000"/>
          <w:sz w:val="32"/>
          <w:szCs w:val="32"/>
        </w:rPr>
        <w:t>（</w:t>
      </w:r>
      <w:r>
        <w:rPr>
          <w:rFonts w:hint="eastAsia" w:eastAsia="方正楷体_GBK"/>
          <w:color w:val="000000"/>
          <w:sz w:val="32"/>
          <w:szCs w:val="32"/>
        </w:rPr>
        <w:t>五</w:t>
      </w:r>
      <w:r>
        <w:rPr>
          <w:rFonts w:eastAsia="方正楷体_GBK"/>
          <w:color w:val="000000"/>
          <w:sz w:val="32"/>
          <w:szCs w:val="32"/>
        </w:rPr>
        <w:t>）划定2类声环境功能区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仿宋_GBK"/>
          <w:sz w:val="32"/>
          <w:szCs w:val="32"/>
        </w:rPr>
      </w:pPr>
      <w:r>
        <w:rPr>
          <w:rFonts w:eastAsia="方正仿宋_GBK"/>
          <w:sz w:val="32"/>
          <w:szCs w:val="32"/>
        </w:rPr>
        <w:t>将现状用地已形成一定规模或近期规划</w:t>
      </w:r>
      <w:r>
        <w:rPr>
          <w:rFonts w:hint="eastAsia" w:eastAsia="方正仿宋_GBK"/>
          <w:sz w:val="32"/>
          <w:szCs w:val="32"/>
        </w:rPr>
        <w:t>已明确主要功能为</w:t>
      </w:r>
      <w:r>
        <w:rPr>
          <w:rFonts w:eastAsia="方正仿宋_GBK"/>
          <w:sz w:val="32"/>
          <w:szCs w:val="32"/>
        </w:rPr>
        <w:t>商业金融、集市贸易</w:t>
      </w:r>
      <w:r>
        <w:rPr>
          <w:rFonts w:hint="eastAsia" w:eastAsia="方正仿宋_GBK"/>
          <w:sz w:val="32"/>
          <w:szCs w:val="32"/>
        </w:rPr>
        <w:t>用地的区域</w:t>
      </w:r>
      <w:r>
        <w:rPr>
          <w:rFonts w:eastAsia="方正仿宋_GBK"/>
          <w:sz w:val="32"/>
          <w:szCs w:val="32"/>
        </w:rPr>
        <w:t>，或者</w:t>
      </w:r>
      <w:r>
        <w:rPr>
          <w:rFonts w:hint="eastAsia" w:ascii="仿宋" w:hAnsi="仿宋" w:eastAsia="仿宋"/>
          <w:sz w:val="32"/>
          <w:szCs w:val="32"/>
          <w:shd w:val="clear" w:color="auto" w:fill="FFFFFF"/>
        </w:rPr>
        <w:t>在划定的0、1、3类声环境功能区以外</w:t>
      </w:r>
      <w:r>
        <w:rPr>
          <w:rFonts w:eastAsia="方正仿宋_GBK"/>
          <w:sz w:val="32"/>
          <w:szCs w:val="32"/>
        </w:rPr>
        <w:t>居住、商业、工业混杂的区域，划为2类声环境功能区。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楷体_GBK"/>
          <w:color w:val="000000"/>
          <w:sz w:val="32"/>
          <w:szCs w:val="32"/>
        </w:rPr>
      </w:pPr>
      <w:r>
        <w:rPr>
          <w:rFonts w:eastAsia="方正楷体_GBK"/>
          <w:color w:val="000000"/>
          <w:sz w:val="32"/>
          <w:szCs w:val="32"/>
        </w:rPr>
        <w:t>（</w:t>
      </w:r>
      <w:r>
        <w:rPr>
          <w:rFonts w:hint="eastAsia" w:eastAsia="方正楷体_GBK"/>
          <w:color w:val="000000"/>
          <w:sz w:val="32"/>
          <w:szCs w:val="32"/>
        </w:rPr>
        <w:t>六</w:t>
      </w:r>
      <w:r>
        <w:rPr>
          <w:rFonts w:eastAsia="方正楷体_GBK"/>
          <w:color w:val="000000"/>
          <w:sz w:val="32"/>
          <w:szCs w:val="32"/>
        </w:rPr>
        <w:t>）划定4类声环境功能区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4类</w:t>
      </w:r>
      <w:r>
        <w:rPr>
          <w:rFonts w:hint="eastAsia" w:eastAsia="方正仿宋_GBK"/>
          <w:color w:val="000000"/>
          <w:sz w:val="32"/>
          <w:szCs w:val="32"/>
        </w:rPr>
        <w:t>声环境功能区的划分主要以交通干线边界线外一定区域范围为划分的基本依据，</w:t>
      </w:r>
      <w:r>
        <w:rPr>
          <w:rFonts w:eastAsia="方正仿宋_GBK"/>
          <w:color w:val="000000"/>
          <w:sz w:val="32"/>
          <w:szCs w:val="32"/>
        </w:rPr>
        <w:t>按《重庆市声环境功能区划分技术规范实施细则（试行）》（渝环〔2015〕429号）中规定执行，如表2：</w:t>
      </w:r>
    </w:p>
    <w:p>
      <w:pPr>
        <w:spacing w:line="360" w:lineRule="exact"/>
        <w:ind w:firstLine="640"/>
        <w:jc w:val="center"/>
        <w:rPr>
          <w:rFonts w:eastAsia="方正仿宋_GBK"/>
          <w:color w:val="000000"/>
          <w:sz w:val="24"/>
          <w:szCs w:val="24"/>
        </w:rPr>
      </w:pPr>
      <w:r>
        <w:rPr>
          <w:rFonts w:eastAsia="方正仿宋_GBK"/>
          <w:color w:val="000000"/>
          <w:sz w:val="24"/>
          <w:szCs w:val="24"/>
        </w:rPr>
        <w:t>表2：交通干线相邻区域4类功能区距离的确定</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8"/>
        <w:gridCol w:w="2760"/>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32" w:type="pct"/>
            <w:noWrap w:val="0"/>
            <w:vAlign w:val="center"/>
          </w:tcPr>
          <w:p>
            <w:pPr>
              <w:pStyle w:val="13"/>
              <w:snapToGrid w:val="0"/>
              <w:ind w:firstLine="0" w:firstLineChars="0"/>
              <w:jc w:val="center"/>
              <w:rPr>
                <w:rFonts w:ascii="Times New Roman" w:hAnsi="Times New Roman" w:eastAsia="方正楷体_GBK"/>
                <w:sz w:val="28"/>
                <w:szCs w:val="28"/>
              </w:rPr>
            </w:pPr>
            <w:r>
              <w:rPr>
                <w:rFonts w:ascii="Times New Roman" w:hAnsi="Times New Roman" w:eastAsia="方正楷体_GBK"/>
                <w:sz w:val="28"/>
                <w:szCs w:val="28"/>
              </w:rPr>
              <w:t>源强类型</w:t>
            </w:r>
          </w:p>
        </w:tc>
        <w:tc>
          <w:tcPr>
            <w:tcW w:w="1523" w:type="pct"/>
            <w:noWrap w:val="0"/>
            <w:vAlign w:val="center"/>
          </w:tcPr>
          <w:p>
            <w:pPr>
              <w:pStyle w:val="13"/>
              <w:snapToGrid w:val="0"/>
              <w:ind w:firstLine="0" w:firstLineChars="0"/>
              <w:jc w:val="center"/>
              <w:rPr>
                <w:rFonts w:ascii="Times New Roman" w:hAnsi="Times New Roman" w:eastAsia="方正楷体_GBK"/>
                <w:sz w:val="28"/>
                <w:szCs w:val="28"/>
              </w:rPr>
            </w:pPr>
            <w:r>
              <w:rPr>
                <w:rFonts w:ascii="Times New Roman" w:hAnsi="Times New Roman" w:eastAsia="方正楷体_GBK"/>
                <w:sz w:val="28"/>
                <w:szCs w:val="28"/>
              </w:rPr>
              <w:t>划分距离（m）</w:t>
            </w:r>
          </w:p>
        </w:tc>
        <w:tc>
          <w:tcPr>
            <w:tcW w:w="945" w:type="pct"/>
            <w:noWrap w:val="0"/>
            <w:vAlign w:val="center"/>
          </w:tcPr>
          <w:p>
            <w:pPr>
              <w:pStyle w:val="13"/>
              <w:snapToGrid w:val="0"/>
              <w:ind w:firstLine="0" w:firstLineChars="0"/>
              <w:jc w:val="center"/>
              <w:rPr>
                <w:rFonts w:ascii="Times New Roman" w:hAnsi="Times New Roman" w:eastAsia="方正楷体_GBK"/>
                <w:sz w:val="28"/>
                <w:szCs w:val="28"/>
              </w:rPr>
            </w:pPr>
            <w:r>
              <w:rPr>
                <w:rFonts w:ascii="Times New Roman" w:hAnsi="Times New Roman" w:eastAsia="方正楷体_GBK"/>
                <w:sz w:val="28"/>
                <w:szCs w:val="28"/>
              </w:rPr>
              <w:t>相邻功能区类型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32" w:type="pct"/>
            <w:vMerge w:val="restar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高速公路、城市快速路、城市轨道交通（钢轨-地面段）、铁路*</w:t>
            </w:r>
          </w:p>
        </w:tc>
        <w:tc>
          <w:tcPr>
            <w:tcW w:w="1523"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55</w:t>
            </w:r>
          </w:p>
        </w:tc>
        <w:tc>
          <w:tcPr>
            <w:tcW w:w="945"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1类区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32" w:type="pct"/>
            <w:vMerge w:val="continue"/>
            <w:noWrap w:val="0"/>
            <w:vAlign w:val="center"/>
          </w:tcPr>
          <w:p>
            <w:pPr>
              <w:pStyle w:val="13"/>
              <w:snapToGrid w:val="0"/>
              <w:ind w:firstLine="0" w:firstLineChars="0"/>
              <w:jc w:val="center"/>
              <w:rPr>
                <w:rFonts w:ascii="Times New Roman" w:hAnsi="Times New Roman" w:eastAsia="方正仿宋_GBK"/>
                <w:sz w:val="28"/>
                <w:szCs w:val="28"/>
              </w:rPr>
            </w:pPr>
          </w:p>
        </w:tc>
        <w:tc>
          <w:tcPr>
            <w:tcW w:w="1523"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40</w:t>
            </w:r>
          </w:p>
        </w:tc>
        <w:tc>
          <w:tcPr>
            <w:tcW w:w="945"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2类区</w:t>
            </w:r>
          </w:p>
          <w:p>
            <w:pPr>
              <w:pStyle w:val="13"/>
              <w:snapToGrid w:val="0"/>
              <w:ind w:firstLine="0" w:firstLineChars="0"/>
              <w:jc w:val="center"/>
              <w:rPr>
                <w:rFonts w:ascii="Times New Roman" w:hAnsi="Times New Roman"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32" w:type="pct"/>
            <w:vMerge w:val="continue"/>
            <w:noWrap w:val="0"/>
            <w:vAlign w:val="center"/>
          </w:tcPr>
          <w:p>
            <w:pPr>
              <w:pStyle w:val="13"/>
              <w:snapToGrid w:val="0"/>
              <w:ind w:firstLine="0" w:firstLineChars="0"/>
              <w:jc w:val="center"/>
              <w:rPr>
                <w:rFonts w:ascii="Times New Roman" w:hAnsi="Times New Roman" w:eastAsia="方正仿宋_GBK"/>
                <w:sz w:val="28"/>
                <w:szCs w:val="28"/>
              </w:rPr>
            </w:pPr>
          </w:p>
        </w:tc>
        <w:tc>
          <w:tcPr>
            <w:tcW w:w="1523"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25</w:t>
            </w:r>
          </w:p>
        </w:tc>
        <w:tc>
          <w:tcPr>
            <w:tcW w:w="945"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3类区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32" w:type="pct"/>
            <w:vMerge w:val="restar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一级公路、城市主干路、内河航道</w:t>
            </w:r>
          </w:p>
        </w:tc>
        <w:tc>
          <w:tcPr>
            <w:tcW w:w="1523"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50</w:t>
            </w:r>
          </w:p>
        </w:tc>
        <w:tc>
          <w:tcPr>
            <w:tcW w:w="945"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1类区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32" w:type="pct"/>
            <w:vMerge w:val="continue"/>
            <w:noWrap w:val="0"/>
            <w:vAlign w:val="center"/>
          </w:tcPr>
          <w:p>
            <w:pPr>
              <w:pStyle w:val="13"/>
              <w:snapToGrid w:val="0"/>
              <w:ind w:firstLine="0" w:firstLineChars="0"/>
              <w:jc w:val="center"/>
              <w:rPr>
                <w:rFonts w:ascii="Times New Roman" w:hAnsi="Times New Roman" w:eastAsia="方正仿宋_GBK"/>
                <w:sz w:val="28"/>
                <w:szCs w:val="28"/>
              </w:rPr>
            </w:pPr>
          </w:p>
        </w:tc>
        <w:tc>
          <w:tcPr>
            <w:tcW w:w="1523"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35</w:t>
            </w:r>
          </w:p>
        </w:tc>
        <w:tc>
          <w:tcPr>
            <w:tcW w:w="945"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2类区</w:t>
            </w:r>
          </w:p>
          <w:p>
            <w:pPr>
              <w:pStyle w:val="13"/>
              <w:snapToGrid w:val="0"/>
              <w:ind w:firstLine="0" w:firstLineChars="0"/>
              <w:jc w:val="center"/>
              <w:rPr>
                <w:rFonts w:ascii="Times New Roman" w:hAnsi="Times New Roman"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32" w:type="pct"/>
            <w:vMerge w:val="continue"/>
            <w:noWrap w:val="0"/>
            <w:vAlign w:val="center"/>
          </w:tcPr>
          <w:p>
            <w:pPr>
              <w:pStyle w:val="13"/>
              <w:snapToGrid w:val="0"/>
              <w:ind w:firstLine="0" w:firstLineChars="0"/>
              <w:jc w:val="center"/>
              <w:rPr>
                <w:rFonts w:ascii="Times New Roman" w:hAnsi="Times New Roman" w:eastAsia="方正仿宋_GBK"/>
                <w:sz w:val="28"/>
                <w:szCs w:val="28"/>
              </w:rPr>
            </w:pPr>
          </w:p>
        </w:tc>
        <w:tc>
          <w:tcPr>
            <w:tcW w:w="1523"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20</w:t>
            </w:r>
          </w:p>
        </w:tc>
        <w:tc>
          <w:tcPr>
            <w:tcW w:w="945"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3类区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32" w:type="pct"/>
            <w:vMerge w:val="restar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二级公路、城市次干路、城市轨道交通（胶轨-地面段）</w:t>
            </w:r>
          </w:p>
        </w:tc>
        <w:tc>
          <w:tcPr>
            <w:tcW w:w="1523"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45</w:t>
            </w:r>
          </w:p>
        </w:tc>
        <w:tc>
          <w:tcPr>
            <w:tcW w:w="945"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1类区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32" w:type="pct"/>
            <w:vMerge w:val="continue"/>
            <w:noWrap w:val="0"/>
            <w:vAlign w:val="center"/>
          </w:tcPr>
          <w:p>
            <w:pPr>
              <w:pStyle w:val="13"/>
              <w:snapToGrid w:val="0"/>
              <w:ind w:firstLine="0" w:firstLineChars="0"/>
              <w:jc w:val="center"/>
              <w:rPr>
                <w:rFonts w:ascii="Times New Roman" w:hAnsi="Times New Roman" w:eastAsia="方正仿宋_GBK"/>
                <w:sz w:val="28"/>
                <w:szCs w:val="28"/>
              </w:rPr>
            </w:pPr>
          </w:p>
        </w:tc>
        <w:tc>
          <w:tcPr>
            <w:tcW w:w="1523"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30</w:t>
            </w:r>
          </w:p>
        </w:tc>
        <w:tc>
          <w:tcPr>
            <w:tcW w:w="945"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2类区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532" w:type="pct"/>
            <w:vMerge w:val="continue"/>
            <w:noWrap w:val="0"/>
            <w:vAlign w:val="center"/>
          </w:tcPr>
          <w:p>
            <w:pPr>
              <w:pStyle w:val="13"/>
              <w:snapToGrid w:val="0"/>
              <w:ind w:firstLine="0" w:firstLineChars="0"/>
              <w:jc w:val="center"/>
              <w:rPr>
                <w:rFonts w:ascii="Times New Roman" w:hAnsi="Times New Roman" w:eastAsia="方正仿宋_GBK"/>
                <w:sz w:val="28"/>
                <w:szCs w:val="28"/>
              </w:rPr>
            </w:pPr>
          </w:p>
        </w:tc>
        <w:tc>
          <w:tcPr>
            <w:tcW w:w="1523"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15</w:t>
            </w:r>
          </w:p>
        </w:tc>
        <w:tc>
          <w:tcPr>
            <w:tcW w:w="945" w:type="pct"/>
            <w:noWrap w:val="0"/>
            <w:vAlign w:val="center"/>
          </w:tcPr>
          <w:p>
            <w:pPr>
              <w:pStyle w:val="13"/>
              <w:snapToGrid w:val="0"/>
              <w:ind w:firstLine="0" w:firstLineChars="0"/>
              <w:jc w:val="center"/>
              <w:rPr>
                <w:rFonts w:ascii="Times New Roman" w:hAnsi="Times New Roman" w:eastAsia="方正仿宋_GBK"/>
                <w:sz w:val="28"/>
                <w:szCs w:val="28"/>
              </w:rPr>
            </w:pPr>
            <w:r>
              <w:rPr>
                <w:rFonts w:ascii="Times New Roman" w:hAnsi="Times New Roman" w:eastAsia="方正仿宋_GBK"/>
                <w:sz w:val="28"/>
                <w:szCs w:val="28"/>
              </w:rPr>
              <w:t>3类区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exact"/>
        </w:trPr>
        <w:tc>
          <w:tcPr>
            <w:tcW w:w="5000" w:type="pct"/>
            <w:gridSpan w:val="3"/>
            <w:noWrap w:val="0"/>
            <w:vAlign w:val="center"/>
          </w:tcPr>
          <w:p>
            <w:pPr>
              <w:pStyle w:val="13"/>
              <w:snapToGrid w:val="0"/>
              <w:ind w:firstLine="0" w:firstLineChars="0"/>
              <w:jc w:val="left"/>
              <w:rPr>
                <w:rFonts w:ascii="Times New Roman" w:hAnsi="Times New Roman" w:eastAsia="方正仿宋_GBK"/>
                <w:szCs w:val="21"/>
              </w:rPr>
            </w:pPr>
            <w:r>
              <w:rPr>
                <w:rFonts w:ascii="Times New Roman" w:hAnsi="Times New Roman" w:eastAsia="方正仿宋_GBK"/>
                <w:szCs w:val="21"/>
              </w:rPr>
              <w:t>注：铁路交通干线边界线外区域划为4b类声环境功能区域，其余均为4a类，对于4b类声环境功能区与4a类声环境功能区有重叠的部分，划为4b类声环境功能区。</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若临街建筑以低于三层楼房的建筑（含开阔地）为主，线路边界线外一定距离内（见表2）的区域为4a类声环境功能区。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若划分距离范围内临路建筑以高于三层楼房以上（含三层）的建筑为主，第一排建筑面向线路一侧至线路边界线的区域及该建筑物的两侧一定纵深距离（见表2）范围内受交通噪声直达声影响的区域为4a类声环境功能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对于第二排及以后的建筑，若其高于前排建筑或虽低于前排建筑但因楼座错落设置使部分楼体探出前排遮挡并受到线路交通噪声的直达声影响，则高出及探出部分的楼层面向线路一侧范围为4a类区。其余部分未受到交通噪声直达声影响的区域执行</w:t>
      </w:r>
      <w:r>
        <w:rPr>
          <w:rFonts w:hint="eastAsia" w:eastAsia="方正仿宋_GBK"/>
          <w:color w:val="000000"/>
          <w:sz w:val="32"/>
          <w:szCs w:val="32"/>
          <w:lang w:val="en-US" w:eastAsia="zh-CN"/>
        </w:rPr>
        <w:t>其</w:t>
      </w:r>
      <w:r>
        <w:rPr>
          <w:rFonts w:eastAsia="方正仿宋_GBK"/>
          <w:color w:val="000000"/>
          <w:sz w:val="32"/>
          <w:szCs w:val="32"/>
        </w:rPr>
        <w:t>相邻声环境功能区要求。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eastAsia="方正仿宋_GBK"/>
          <w:color w:val="000000"/>
          <w:sz w:val="32"/>
          <w:szCs w:val="32"/>
        </w:rPr>
      </w:pPr>
      <w:r>
        <w:rPr>
          <w:rFonts w:eastAsia="方正仿宋_GBK"/>
          <w:color w:val="000000"/>
          <w:sz w:val="32"/>
          <w:szCs w:val="32"/>
        </w:rPr>
        <w:t>交通干线建设规划实施前按当前声环境功能区管理，规划实施后实时调整划定为相对应的4类声环境功能区。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黑体_GBK"/>
          <w:color w:val="000000"/>
          <w:sz w:val="32"/>
          <w:szCs w:val="32"/>
        </w:rPr>
      </w:pPr>
      <w:r>
        <w:rPr>
          <w:rFonts w:eastAsia="方正黑体_GBK"/>
          <w:color w:val="000000"/>
          <w:sz w:val="32"/>
          <w:szCs w:val="32"/>
        </w:rPr>
        <w:t>四、划分结果</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方正楷体_GBK"/>
          <w:color w:val="000000"/>
          <w:sz w:val="32"/>
          <w:szCs w:val="32"/>
        </w:rPr>
      </w:pPr>
      <w:r>
        <w:rPr>
          <w:rFonts w:eastAsia="方正楷体_GBK"/>
          <w:color w:val="000000"/>
          <w:sz w:val="32"/>
          <w:szCs w:val="32"/>
        </w:rPr>
        <w:t>（一）城区与工业园区</w:t>
      </w:r>
    </w:p>
    <w:p>
      <w:pPr>
        <w:keepNext w:val="0"/>
        <w:keepLines w:val="0"/>
        <w:pageBreakBefore w:val="0"/>
        <w:widowControl w:val="0"/>
        <w:kinsoku/>
        <w:wordWrap/>
        <w:overflowPunct/>
        <w:topLinePunct w:val="0"/>
        <w:autoSpaceDE/>
        <w:autoSpaceDN/>
        <w:bidi w:val="0"/>
        <w:spacing w:line="600" w:lineRule="exact"/>
        <w:ind w:firstLine="645"/>
        <w:textAlignment w:val="auto"/>
        <w:rPr>
          <w:rFonts w:eastAsia="方正仿宋_GBK"/>
          <w:color w:val="000000"/>
          <w:sz w:val="32"/>
          <w:szCs w:val="32"/>
        </w:rPr>
      </w:pPr>
      <w:r>
        <w:rPr>
          <w:rFonts w:eastAsia="方正仿宋_GBK"/>
          <w:color w:val="000000"/>
          <w:sz w:val="32"/>
          <w:szCs w:val="32"/>
        </w:rPr>
        <w:t>潼南城区与工业园区共划分20个区划单元，其中：</w:t>
      </w:r>
    </w:p>
    <w:p>
      <w:pPr>
        <w:keepNext w:val="0"/>
        <w:keepLines w:val="0"/>
        <w:pageBreakBefore w:val="0"/>
        <w:widowControl w:val="0"/>
        <w:kinsoku/>
        <w:wordWrap/>
        <w:overflowPunct/>
        <w:topLinePunct w:val="0"/>
        <w:autoSpaceDE/>
        <w:autoSpaceDN/>
        <w:bidi w:val="0"/>
        <w:spacing w:line="600" w:lineRule="exact"/>
        <w:ind w:firstLine="645"/>
        <w:textAlignment w:val="auto"/>
        <w:rPr>
          <w:rFonts w:eastAsia="方正仿宋_GBK"/>
          <w:color w:val="000000"/>
          <w:sz w:val="32"/>
          <w:szCs w:val="32"/>
        </w:rPr>
      </w:pPr>
      <w:r>
        <w:rPr>
          <w:rFonts w:eastAsia="方正仿宋_GBK"/>
          <w:color w:val="000000"/>
          <w:sz w:val="32"/>
          <w:szCs w:val="32"/>
        </w:rPr>
        <w:t>1类声环境功能区区划单元6个，区划面积为4.68km</w:t>
      </w:r>
      <w:r>
        <w:rPr>
          <w:rFonts w:eastAsia="方正仿宋_GBK"/>
          <w:color w:val="000000"/>
          <w:sz w:val="32"/>
          <w:szCs w:val="32"/>
          <w:vertAlign w:val="superscript"/>
        </w:rPr>
        <w:t>2</w:t>
      </w:r>
      <w:r>
        <w:rPr>
          <w:rFonts w:eastAsia="方正仿宋_GBK"/>
          <w:color w:val="000000"/>
          <w:sz w:val="32"/>
          <w:szCs w:val="32"/>
        </w:rPr>
        <w:t>，占区划总面积的9.17%；</w:t>
      </w:r>
    </w:p>
    <w:p>
      <w:pPr>
        <w:keepNext w:val="0"/>
        <w:keepLines w:val="0"/>
        <w:pageBreakBefore w:val="0"/>
        <w:widowControl w:val="0"/>
        <w:kinsoku/>
        <w:wordWrap/>
        <w:overflowPunct/>
        <w:topLinePunct w:val="0"/>
        <w:autoSpaceDE/>
        <w:autoSpaceDN/>
        <w:bidi w:val="0"/>
        <w:spacing w:line="600" w:lineRule="exact"/>
        <w:ind w:firstLine="645"/>
        <w:textAlignment w:val="auto"/>
        <w:rPr>
          <w:rFonts w:eastAsia="方正仿宋_GBK"/>
          <w:color w:val="000000"/>
          <w:sz w:val="32"/>
          <w:szCs w:val="32"/>
        </w:rPr>
      </w:pPr>
      <w:r>
        <w:rPr>
          <w:rFonts w:eastAsia="方正仿宋_GBK"/>
          <w:color w:val="000000"/>
          <w:sz w:val="32"/>
          <w:szCs w:val="32"/>
        </w:rPr>
        <w:t>2类声环境功能区区划单元10个，区划面积为13.12km</w:t>
      </w:r>
      <w:r>
        <w:rPr>
          <w:rFonts w:eastAsia="方正仿宋_GBK"/>
          <w:color w:val="000000"/>
          <w:sz w:val="32"/>
          <w:szCs w:val="32"/>
          <w:vertAlign w:val="superscript"/>
        </w:rPr>
        <w:t>2</w:t>
      </w:r>
      <w:r>
        <w:rPr>
          <w:rFonts w:eastAsia="方正仿宋_GBK"/>
          <w:color w:val="000000"/>
          <w:sz w:val="32"/>
          <w:szCs w:val="32"/>
        </w:rPr>
        <w:t>，占区划总面积的25.68%；</w:t>
      </w:r>
    </w:p>
    <w:p>
      <w:pPr>
        <w:keepNext w:val="0"/>
        <w:keepLines w:val="0"/>
        <w:pageBreakBefore w:val="0"/>
        <w:widowControl w:val="0"/>
        <w:kinsoku/>
        <w:wordWrap/>
        <w:overflowPunct/>
        <w:topLinePunct w:val="0"/>
        <w:autoSpaceDE/>
        <w:autoSpaceDN/>
        <w:bidi w:val="0"/>
        <w:spacing w:line="600" w:lineRule="exact"/>
        <w:ind w:firstLine="645"/>
        <w:textAlignment w:val="auto"/>
        <w:rPr>
          <w:rFonts w:eastAsia="方正仿宋_GBK"/>
          <w:color w:val="000000"/>
          <w:sz w:val="32"/>
          <w:szCs w:val="32"/>
        </w:rPr>
      </w:pPr>
      <w:r>
        <w:rPr>
          <w:rFonts w:eastAsia="方正仿宋_GBK"/>
          <w:color w:val="000000"/>
          <w:sz w:val="32"/>
          <w:szCs w:val="32"/>
        </w:rPr>
        <w:t>3类声环境功能区区划单元4个，区划面积为21.49km</w:t>
      </w:r>
      <w:r>
        <w:rPr>
          <w:rFonts w:eastAsia="方正仿宋_GBK"/>
          <w:color w:val="000000"/>
          <w:sz w:val="32"/>
          <w:szCs w:val="32"/>
          <w:vertAlign w:val="superscript"/>
        </w:rPr>
        <w:t>2</w:t>
      </w:r>
      <w:r>
        <w:rPr>
          <w:rFonts w:eastAsia="方正仿宋_GBK"/>
          <w:color w:val="000000"/>
          <w:sz w:val="32"/>
          <w:szCs w:val="32"/>
        </w:rPr>
        <w:t>，占区划总面积的42.06%；</w:t>
      </w:r>
    </w:p>
    <w:p>
      <w:pPr>
        <w:keepNext w:val="0"/>
        <w:keepLines w:val="0"/>
        <w:pageBreakBefore w:val="0"/>
        <w:widowControl w:val="0"/>
        <w:kinsoku/>
        <w:wordWrap/>
        <w:overflowPunct/>
        <w:topLinePunct w:val="0"/>
        <w:autoSpaceDE/>
        <w:autoSpaceDN/>
        <w:bidi w:val="0"/>
        <w:spacing w:line="600" w:lineRule="exact"/>
        <w:ind w:firstLine="645"/>
        <w:textAlignment w:val="auto"/>
        <w:rPr>
          <w:rFonts w:eastAsia="方正仿宋_GBK"/>
          <w:color w:val="000000"/>
          <w:sz w:val="32"/>
          <w:szCs w:val="32"/>
        </w:rPr>
      </w:pPr>
      <w:r>
        <w:rPr>
          <w:rFonts w:eastAsia="方正仿宋_GBK"/>
          <w:color w:val="000000"/>
          <w:sz w:val="32"/>
          <w:szCs w:val="32"/>
        </w:rPr>
        <w:t>4类声环境功能区分布于各区划单元中，不单独划分区划单元，区划面积为11.8km</w:t>
      </w:r>
      <w:r>
        <w:rPr>
          <w:rFonts w:eastAsia="方正仿宋_GBK"/>
          <w:color w:val="000000"/>
          <w:sz w:val="32"/>
          <w:szCs w:val="32"/>
          <w:vertAlign w:val="superscript"/>
        </w:rPr>
        <w:t>2</w:t>
      </w:r>
      <w:r>
        <w:rPr>
          <w:rFonts w:eastAsia="方正仿宋_GBK"/>
          <w:color w:val="000000"/>
          <w:sz w:val="32"/>
          <w:szCs w:val="32"/>
        </w:rPr>
        <w:t>，占区划总面积的23.09%。</w:t>
      </w:r>
    </w:p>
    <w:p>
      <w:pPr>
        <w:keepNext w:val="0"/>
        <w:keepLines w:val="0"/>
        <w:pageBreakBefore w:val="0"/>
        <w:widowControl w:val="0"/>
        <w:kinsoku/>
        <w:wordWrap/>
        <w:overflowPunct/>
        <w:topLinePunct w:val="0"/>
        <w:autoSpaceDE/>
        <w:autoSpaceDN/>
        <w:bidi w:val="0"/>
        <w:spacing w:line="600" w:lineRule="exact"/>
        <w:ind w:firstLine="645"/>
        <w:textAlignment w:val="auto"/>
        <w:rPr>
          <w:rFonts w:eastAsia="方正仿宋_GBK"/>
          <w:color w:val="000000"/>
          <w:sz w:val="32"/>
          <w:szCs w:val="32"/>
        </w:rPr>
      </w:pPr>
      <w:r>
        <w:rPr>
          <w:rFonts w:eastAsia="方正仿宋_GBK"/>
          <w:color w:val="000000"/>
          <w:sz w:val="32"/>
          <w:szCs w:val="32"/>
        </w:rPr>
        <w:t>按照《声环境功能区划分技术规范》（GB/T 15190-2014）和《重庆市声环境功能区划分技术规范实施细则（试行）》的相关规定，4类</w:t>
      </w:r>
      <w:r>
        <w:rPr>
          <w:rFonts w:hint="eastAsia" w:eastAsia="方正仿宋_GBK"/>
          <w:color w:val="000000"/>
          <w:sz w:val="32"/>
          <w:szCs w:val="32"/>
        </w:rPr>
        <w:t>声环境</w:t>
      </w:r>
      <w:r>
        <w:rPr>
          <w:rFonts w:eastAsia="方正仿宋_GBK"/>
          <w:color w:val="000000"/>
          <w:sz w:val="32"/>
          <w:szCs w:val="32"/>
        </w:rPr>
        <w:t>功能区计算面积时不包含交通干线本身（交通干线面积4.8km</w:t>
      </w:r>
      <w:r>
        <w:rPr>
          <w:rFonts w:eastAsia="方正仿宋_GBK"/>
          <w:color w:val="000000"/>
          <w:sz w:val="32"/>
          <w:szCs w:val="32"/>
          <w:vertAlign w:val="superscript"/>
        </w:rPr>
        <w:t>2</w:t>
      </w:r>
      <w:r>
        <w:rPr>
          <w:rFonts w:eastAsia="方正仿宋_GBK"/>
          <w:color w:val="000000"/>
          <w:sz w:val="32"/>
          <w:szCs w:val="32"/>
        </w:rPr>
        <w:t>）。</w:t>
      </w:r>
    </w:p>
    <w:p>
      <w:pPr>
        <w:spacing w:line="360" w:lineRule="exact"/>
        <w:ind w:firstLine="640"/>
        <w:jc w:val="center"/>
        <w:rPr>
          <w:rFonts w:eastAsia="方正仿宋_GBK"/>
          <w:color w:val="000000"/>
          <w:sz w:val="24"/>
          <w:szCs w:val="24"/>
        </w:rPr>
      </w:pPr>
      <w:r>
        <w:rPr>
          <w:rFonts w:eastAsia="方正仿宋_GBK"/>
          <w:color w:val="000000"/>
          <w:sz w:val="24"/>
          <w:szCs w:val="24"/>
        </w:rPr>
        <w:t>表3   潼南城区与工业园区声环境功能区划分结果</w:t>
      </w:r>
    </w:p>
    <w:tbl>
      <w:tblPr>
        <w:tblStyle w:val="8"/>
        <w:tblW w:w="8784" w:type="dxa"/>
        <w:jc w:val="center"/>
        <w:tblLayout w:type="fixed"/>
        <w:tblCellMar>
          <w:top w:w="0" w:type="dxa"/>
          <w:left w:w="108" w:type="dxa"/>
          <w:bottom w:w="0" w:type="dxa"/>
          <w:right w:w="108" w:type="dxa"/>
        </w:tblCellMar>
      </w:tblPr>
      <w:tblGrid>
        <w:gridCol w:w="1081"/>
        <w:gridCol w:w="1321"/>
        <w:gridCol w:w="1014"/>
        <w:gridCol w:w="1013"/>
        <w:gridCol w:w="1166"/>
        <w:gridCol w:w="951"/>
        <w:gridCol w:w="2238"/>
      </w:tblGrid>
      <w:tr>
        <w:tblPrEx>
          <w:tblCellMar>
            <w:top w:w="0" w:type="dxa"/>
            <w:left w:w="108" w:type="dxa"/>
            <w:bottom w:w="0" w:type="dxa"/>
            <w:right w:w="108" w:type="dxa"/>
          </w:tblCellMar>
        </w:tblPrEx>
        <w:trPr>
          <w:trHeight w:val="585" w:hRule="atLeast"/>
          <w:tblHeader/>
          <w:jc w:val="center"/>
        </w:trPr>
        <w:tc>
          <w:tcPr>
            <w:tcW w:w="1081"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方正黑体_GBK" w:eastAsia="方正黑体_GBK"/>
                <w:bCs/>
                <w:color w:val="000000"/>
                <w:kern w:val="0"/>
                <w:sz w:val="22"/>
                <w:szCs w:val="22"/>
              </w:rPr>
            </w:pPr>
            <w:r>
              <w:rPr>
                <w:rFonts w:hint="eastAsia" w:ascii="方正黑体_GBK" w:eastAsia="方正黑体_GBK"/>
                <w:bCs/>
                <w:color w:val="000000"/>
                <w:kern w:val="0"/>
                <w:sz w:val="22"/>
                <w:szCs w:val="22"/>
              </w:rPr>
              <w:t>城市</w:t>
            </w:r>
          </w:p>
          <w:p>
            <w:pPr>
              <w:spacing w:line="300" w:lineRule="exact"/>
              <w:jc w:val="center"/>
              <w:rPr>
                <w:rFonts w:hint="eastAsia" w:ascii="方正黑体_GBK" w:eastAsia="方正黑体_GBK"/>
                <w:bCs/>
                <w:color w:val="000000"/>
                <w:kern w:val="0"/>
                <w:sz w:val="22"/>
                <w:szCs w:val="22"/>
              </w:rPr>
            </w:pPr>
            <w:r>
              <w:rPr>
                <w:rFonts w:hint="eastAsia" w:ascii="方正黑体_GBK" w:eastAsia="方正黑体_GBK"/>
                <w:bCs/>
                <w:color w:val="000000"/>
                <w:kern w:val="0"/>
                <w:sz w:val="22"/>
                <w:szCs w:val="22"/>
              </w:rPr>
              <w:t>区域</w:t>
            </w:r>
          </w:p>
        </w:tc>
        <w:tc>
          <w:tcPr>
            <w:tcW w:w="1321"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方正黑体_GBK" w:eastAsia="方正黑体_GBK"/>
                <w:bCs/>
                <w:color w:val="000000"/>
                <w:kern w:val="0"/>
                <w:sz w:val="22"/>
                <w:szCs w:val="22"/>
              </w:rPr>
            </w:pPr>
            <w:r>
              <w:rPr>
                <w:rFonts w:hint="eastAsia" w:ascii="方正黑体_GBK" w:eastAsia="方正黑体_GBK"/>
                <w:bCs/>
                <w:color w:val="000000"/>
                <w:kern w:val="0"/>
                <w:sz w:val="22"/>
                <w:szCs w:val="22"/>
              </w:rPr>
              <w:t>区划单元</w:t>
            </w:r>
          </w:p>
          <w:p>
            <w:pPr>
              <w:spacing w:line="300" w:lineRule="exact"/>
              <w:jc w:val="center"/>
              <w:rPr>
                <w:rFonts w:hint="eastAsia" w:ascii="方正黑体_GBK" w:eastAsia="方正黑体_GBK"/>
                <w:bCs/>
                <w:color w:val="000000"/>
                <w:kern w:val="0"/>
                <w:sz w:val="22"/>
                <w:szCs w:val="22"/>
              </w:rPr>
            </w:pPr>
            <w:r>
              <w:rPr>
                <w:rFonts w:hint="eastAsia" w:ascii="方正黑体_GBK" w:eastAsia="方正黑体_GBK"/>
                <w:bCs/>
                <w:color w:val="000000"/>
                <w:kern w:val="0"/>
                <w:sz w:val="22"/>
                <w:szCs w:val="22"/>
              </w:rPr>
              <w:t>编码</w:t>
            </w:r>
          </w:p>
        </w:tc>
        <w:tc>
          <w:tcPr>
            <w:tcW w:w="1014"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方正黑体_GBK" w:eastAsia="方正黑体_GBK"/>
                <w:bCs/>
                <w:color w:val="000000"/>
                <w:kern w:val="0"/>
                <w:sz w:val="22"/>
                <w:szCs w:val="22"/>
              </w:rPr>
            </w:pPr>
            <w:r>
              <w:rPr>
                <w:rFonts w:hint="eastAsia" w:ascii="方正黑体_GBK" w:eastAsia="方正黑体_GBK"/>
                <w:bCs/>
                <w:color w:val="000000"/>
                <w:kern w:val="0"/>
                <w:sz w:val="22"/>
                <w:szCs w:val="22"/>
              </w:rPr>
              <w:t>声功能区类型</w:t>
            </w:r>
          </w:p>
        </w:tc>
        <w:tc>
          <w:tcPr>
            <w:tcW w:w="1013"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方正黑体_GBK" w:eastAsia="方正黑体_GBK"/>
                <w:bCs/>
                <w:color w:val="000000"/>
                <w:kern w:val="0"/>
                <w:sz w:val="22"/>
                <w:szCs w:val="22"/>
              </w:rPr>
            </w:pPr>
            <w:r>
              <w:rPr>
                <w:rFonts w:hint="eastAsia" w:ascii="方正黑体_GBK" w:eastAsia="方正黑体_GBK"/>
                <w:bCs/>
                <w:color w:val="000000"/>
                <w:kern w:val="0"/>
                <w:sz w:val="22"/>
                <w:szCs w:val="22"/>
              </w:rPr>
              <w:t>适用</w:t>
            </w:r>
          </w:p>
          <w:p>
            <w:pPr>
              <w:spacing w:line="300" w:lineRule="exact"/>
              <w:jc w:val="center"/>
              <w:rPr>
                <w:rFonts w:hint="eastAsia" w:ascii="方正黑体_GBK" w:eastAsia="方正黑体_GBK"/>
                <w:bCs/>
                <w:color w:val="000000"/>
                <w:kern w:val="0"/>
                <w:sz w:val="22"/>
                <w:szCs w:val="22"/>
              </w:rPr>
            </w:pPr>
            <w:r>
              <w:rPr>
                <w:rFonts w:hint="eastAsia" w:ascii="方正黑体_GBK" w:eastAsia="方正黑体_GBK"/>
                <w:bCs/>
                <w:color w:val="000000"/>
                <w:kern w:val="0"/>
                <w:sz w:val="22"/>
                <w:szCs w:val="22"/>
              </w:rPr>
              <w:t>区域</w:t>
            </w:r>
          </w:p>
        </w:tc>
        <w:tc>
          <w:tcPr>
            <w:tcW w:w="1166"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方正黑体_GBK" w:eastAsia="方正黑体_GBK"/>
                <w:bCs/>
                <w:color w:val="000000"/>
                <w:kern w:val="0"/>
                <w:sz w:val="22"/>
                <w:szCs w:val="22"/>
              </w:rPr>
            </w:pPr>
            <w:r>
              <w:rPr>
                <w:rFonts w:hint="eastAsia" w:ascii="方正黑体_GBK" w:eastAsia="方正黑体_GBK"/>
                <w:bCs/>
                <w:color w:val="000000"/>
                <w:kern w:val="0"/>
                <w:sz w:val="22"/>
                <w:szCs w:val="22"/>
              </w:rPr>
              <w:t>区划单元主要用地类型</w:t>
            </w:r>
          </w:p>
        </w:tc>
        <w:tc>
          <w:tcPr>
            <w:tcW w:w="951"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方正黑体_GBK" w:eastAsia="方正黑体_GBK"/>
                <w:bCs/>
                <w:color w:val="000000"/>
                <w:kern w:val="0"/>
                <w:sz w:val="22"/>
                <w:szCs w:val="22"/>
              </w:rPr>
            </w:pPr>
            <w:r>
              <w:rPr>
                <w:rFonts w:hint="eastAsia" w:ascii="方正黑体_GBK" w:eastAsia="方正黑体_GBK"/>
                <w:bCs/>
                <w:color w:val="000000"/>
                <w:kern w:val="0"/>
                <w:sz w:val="22"/>
                <w:szCs w:val="22"/>
              </w:rPr>
              <w:t>面积（km</w:t>
            </w:r>
            <w:r>
              <w:rPr>
                <w:rFonts w:hint="eastAsia" w:ascii="方正黑体_GBK" w:eastAsia="方正黑体_GBK"/>
                <w:bCs/>
                <w:color w:val="000000"/>
                <w:kern w:val="0"/>
                <w:sz w:val="22"/>
                <w:szCs w:val="22"/>
                <w:vertAlign w:val="superscript"/>
              </w:rPr>
              <w:t>2</w:t>
            </w:r>
            <w:r>
              <w:rPr>
                <w:rFonts w:hint="eastAsia" w:ascii="方正黑体_GBK" w:eastAsia="方正黑体_GBK"/>
                <w:bCs/>
                <w:color w:val="000000"/>
                <w:kern w:val="0"/>
                <w:sz w:val="22"/>
                <w:szCs w:val="22"/>
              </w:rPr>
              <w:t>）</w:t>
            </w:r>
          </w:p>
        </w:tc>
        <w:tc>
          <w:tcPr>
            <w:tcW w:w="2238"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eastAsia" w:ascii="方正黑体_GBK" w:eastAsia="方正黑体_GBK"/>
                <w:bCs/>
                <w:color w:val="000000"/>
                <w:kern w:val="0"/>
                <w:sz w:val="22"/>
                <w:szCs w:val="22"/>
              </w:rPr>
            </w:pPr>
            <w:r>
              <w:rPr>
                <w:rFonts w:hint="eastAsia" w:ascii="方正黑体_GBK" w:eastAsia="方正黑体_GBK"/>
                <w:bCs/>
                <w:color w:val="000000"/>
                <w:kern w:val="0"/>
                <w:sz w:val="22"/>
                <w:szCs w:val="22"/>
              </w:rPr>
              <w:t>区划单元范围描述</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500152L001</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1类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居住文教区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居住、公园绿地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0.58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佳城天下、华厦金都等区域</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500152L002</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1类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居住文教区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居住、教育</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1.05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重庆市潼南实验中学校、中共重庆市潼南区委党校等区域</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500152L003</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1类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居住文教区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居住、教育、公园绿地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0.81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瀚恩学府蓝湾、潼南人民生态公园、重庆市潼南区人民小学校等区域</w:t>
            </w:r>
          </w:p>
        </w:tc>
      </w:tr>
      <w:tr>
        <w:tblPrEx>
          <w:tblCellMar>
            <w:top w:w="0" w:type="dxa"/>
            <w:left w:w="108" w:type="dxa"/>
            <w:bottom w:w="0" w:type="dxa"/>
            <w:right w:w="108" w:type="dxa"/>
          </w:tblCellMar>
        </w:tblPrEx>
        <w:trPr>
          <w:trHeight w:val="285"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500152L004</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1类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居住文教区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居住、教育</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0.55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潼南区朝阳小学校、上品景苑等区域</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500152L005</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1类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居住文教区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居住、教育、公园绿地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0.78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立业林云江山、重庆市潼南第一中学校等区域</w:t>
            </w:r>
          </w:p>
        </w:tc>
      </w:tr>
      <w:tr>
        <w:tblPrEx>
          <w:tblCellMar>
            <w:top w:w="0" w:type="dxa"/>
            <w:left w:w="108" w:type="dxa"/>
            <w:bottom w:w="0" w:type="dxa"/>
            <w:right w:w="108" w:type="dxa"/>
          </w:tblCellMar>
        </w:tblPrEx>
        <w:trPr>
          <w:trHeight w:val="285"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500152L006</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1类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居住文教区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居住、教育</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0.90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大佛中学、富达小区等区域</w:t>
            </w:r>
          </w:p>
        </w:tc>
      </w:tr>
      <w:tr>
        <w:tblPrEx>
          <w:tblCellMar>
            <w:top w:w="0" w:type="dxa"/>
            <w:left w:w="108" w:type="dxa"/>
            <w:bottom w:w="0" w:type="dxa"/>
            <w:right w:w="108" w:type="dxa"/>
          </w:tblCellMar>
        </w:tblPrEx>
        <w:trPr>
          <w:trHeight w:val="285"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500152L007</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2类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建制镇区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集镇</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1.60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田家镇</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500152L008</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2类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商住工混杂区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居住、商业混杂用地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1.70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规划商业用地、规划住宅用地等区域</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500152L009</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2类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商住工混杂区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居住、商业混杂用地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1.00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依云九街区、中国平安财产保险(潼南支公司)等区域</w:t>
            </w:r>
          </w:p>
        </w:tc>
      </w:tr>
      <w:tr>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500152L010</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2类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商住工混杂区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居住、商业混杂用地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0.99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潼南江北汽车站、东旭瓷砖批发城、双龙小区等区域</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500152L011</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2类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商住工混杂区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居住、教育、商业混杂用地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3.58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金福新区片区</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500152L012</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2类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商住工混杂区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居住、商业混杂用地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0.71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金福坝片区</w:t>
            </w:r>
          </w:p>
        </w:tc>
      </w:tr>
      <w:tr>
        <w:tblPrEx>
          <w:tblCellMar>
            <w:top w:w="0" w:type="dxa"/>
            <w:left w:w="108" w:type="dxa"/>
            <w:bottom w:w="0" w:type="dxa"/>
            <w:right w:w="108" w:type="dxa"/>
          </w:tblCellMar>
        </w:tblPrEx>
        <w:trPr>
          <w:trHeight w:val="81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500152L013</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2类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商住工混杂区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居住、行政办公、商业混杂用地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0.58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潼南区政府、隆鑫中央大街、华美购物中心等区域</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500152L014</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2类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商住工混杂区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居住、教育、商业混杂用地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1.33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潼南客运汽车站、西南国际灯具城等区域</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500152L015</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2类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商住工混杂区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居住、商业混杂用地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0.68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潼南时代广场、锦天丽城等区域</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500152L016</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2类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商住工混杂区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居住、教育、商业混杂用地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0.94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潼南汽车站、潼南体育馆等区域</w:t>
            </w:r>
          </w:p>
        </w:tc>
      </w:tr>
      <w:tr>
        <w:tblPrEx>
          <w:tblCellMar>
            <w:top w:w="0" w:type="dxa"/>
            <w:left w:w="108" w:type="dxa"/>
            <w:bottom w:w="0" w:type="dxa"/>
            <w:right w:w="108" w:type="dxa"/>
          </w:tblCellMar>
        </w:tblPrEx>
        <w:trPr>
          <w:trHeight w:val="285"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500152L017</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3类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工业区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工业用地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4.33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田家工业园区</w:t>
            </w:r>
          </w:p>
        </w:tc>
      </w:tr>
      <w:tr>
        <w:tblPrEx>
          <w:tblCellMar>
            <w:top w:w="0" w:type="dxa"/>
            <w:left w:w="108" w:type="dxa"/>
            <w:bottom w:w="0" w:type="dxa"/>
            <w:right w:w="108" w:type="dxa"/>
          </w:tblCellMar>
        </w:tblPrEx>
        <w:trPr>
          <w:trHeight w:val="54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500152L018</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3类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工业区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工业、仓储物流用地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4.56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工业园区北区</w:t>
            </w:r>
          </w:p>
        </w:tc>
      </w:tr>
      <w:tr>
        <w:tblPrEx>
          <w:tblCellMar>
            <w:top w:w="0" w:type="dxa"/>
            <w:left w:w="108" w:type="dxa"/>
            <w:bottom w:w="0" w:type="dxa"/>
            <w:right w:w="108" w:type="dxa"/>
          </w:tblCellMar>
        </w:tblPrEx>
        <w:trPr>
          <w:trHeight w:val="285"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500152L019</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3类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工业区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工业用地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7.90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工业园区南区</w:t>
            </w:r>
          </w:p>
        </w:tc>
      </w:tr>
      <w:tr>
        <w:tblPrEx>
          <w:tblCellMar>
            <w:top w:w="0" w:type="dxa"/>
            <w:left w:w="108" w:type="dxa"/>
            <w:bottom w:w="0" w:type="dxa"/>
            <w:right w:w="108" w:type="dxa"/>
          </w:tblCellMar>
        </w:tblPrEx>
        <w:trPr>
          <w:trHeight w:val="285"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lang w:val="en-US" w:eastAsia="zh-CN"/>
              </w:rPr>
              <w:t xml:space="preserve"> </w:t>
            </w:r>
            <w:r>
              <w:rPr>
                <w:rFonts w:hint="eastAsia" w:ascii="方正仿宋_GBK" w:eastAsia="方正仿宋_GBK"/>
                <w:color w:val="000000"/>
                <w:kern w:val="0"/>
                <w:sz w:val="22"/>
                <w:szCs w:val="22"/>
              </w:rPr>
              <w:t>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500152L020</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3类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工业区</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工业用地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4.69</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循环经济产业园</w:t>
            </w:r>
          </w:p>
        </w:tc>
      </w:tr>
      <w:tr>
        <w:tblPrEx>
          <w:tblCellMar>
            <w:top w:w="0" w:type="dxa"/>
            <w:left w:w="108" w:type="dxa"/>
            <w:bottom w:w="0" w:type="dxa"/>
            <w:right w:w="108" w:type="dxa"/>
          </w:tblCellMar>
        </w:tblPrEx>
        <w:trPr>
          <w:trHeight w:val="192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4a类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交通干线及两侧区域</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交通用地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11.39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default" w:ascii="Times New Roman" w:hAnsi="Times New Roman" w:eastAsia="方正仿宋_GBK" w:cs="Times New Roman"/>
                <w:color w:val="000000"/>
                <w:kern w:val="0"/>
                <w:sz w:val="22"/>
                <w:szCs w:val="22"/>
              </w:rPr>
              <w:t>航电枢纽、成渝环线高速、潼南大道、产业大道、东安路、巴蜀大道、东风大道、巴渝大道、104县道、潼南公路、滨江路、创业大道、创意大道、朝阳东路、建设路、安康路、学院路、体育路、丰园路、金佛大道、538省道、东湾大道、民业街、向阳路、兴潼大道、甘泉东路、</w:t>
            </w:r>
            <w:r>
              <w:rPr>
                <w:rFonts w:hint="default" w:ascii="Times New Roman" w:hAnsi="Times New Roman" w:eastAsia="方正仿宋_GBK" w:cs="Times New Roman"/>
              </w:rPr>
              <w:t>甘泉西路、</w:t>
            </w:r>
            <w:r>
              <w:rPr>
                <w:rFonts w:hint="default" w:ascii="Times New Roman" w:hAnsi="Times New Roman" w:eastAsia="方正仿宋_GBK" w:cs="Times New Roman"/>
                <w:color w:val="000000"/>
                <w:kern w:val="0"/>
                <w:sz w:val="22"/>
                <w:szCs w:val="22"/>
              </w:rPr>
              <w:t>产业五支路、产业三支路、园区道路、东圣街、创新大道、金潼西路、205省道、东安大道、正兴街、外滩西路、潼柏路、大同街、石院街、351国道、无名道路、规划道路</w:t>
            </w:r>
          </w:p>
        </w:tc>
      </w:tr>
      <w:tr>
        <w:tblPrEx>
          <w:tblCellMar>
            <w:top w:w="0" w:type="dxa"/>
            <w:left w:w="108" w:type="dxa"/>
            <w:bottom w:w="0" w:type="dxa"/>
            <w:right w:w="108" w:type="dxa"/>
          </w:tblCellMar>
        </w:tblPrEx>
        <w:trPr>
          <w:trHeight w:val="1100" w:hRule="atLeast"/>
          <w:jc w:val="center"/>
        </w:trPr>
        <w:tc>
          <w:tcPr>
            <w:tcW w:w="1081" w:type="dxa"/>
            <w:tcBorders>
              <w:top w:val="nil"/>
              <w:left w:val="single" w:color="auto" w:sz="4" w:space="0"/>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 xml:space="preserve"> 潼南区</w:t>
            </w:r>
          </w:p>
        </w:tc>
        <w:tc>
          <w:tcPr>
            <w:tcW w:w="132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w:t>
            </w:r>
          </w:p>
        </w:tc>
        <w:tc>
          <w:tcPr>
            <w:tcW w:w="1014"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4b类</w:t>
            </w:r>
          </w:p>
        </w:tc>
        <w:tc>
          <w:tcPr>
            <w:tcW w:w="1013"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火车站及铁路两侧区域</w:t>
            </w:r>
          </w:p>
        </w:tc>
        <w:tc>
          <w:tcPr>
            <w:tcW w:w="1166"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交通用地</w:t>
            </w:r>
          </w:p>
        </w:tc>
        <w:tc>
          <w:tcPr>
            <w:tcW w:w="951" w:type="dxa"/>
            <w:tcBorders>
              <w:top w:val="nil"/>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 xml:space="preserve">0.41 </w:t>
            </w:r>
          </w:p>
        </w:tc>
        <w:tc>
          <w:tcPr>
            <w:tcW w:w="2238" w:type="dxa"/>
            <w:tcBorders>
              <w:top w:val="nil"/>
              <w:left w:val="nil"/>
              <w:bottom w:val="single" w:color="auto" w:sz="4" w:space="0"/>
              <w:right w:val="single" w:color="auto" w:sz="4" w:space="0"/>
            </w:tcBorders>
            <w:noWrap w:val="0"/>
            <w:vAlign w:val="center"/>
          </w:tcPr>
          <w:p>
            <w:pPr>
              <w:spacing w:line="300" w:lineRule="exact"/>
              <w:jc w:val="center"/>
              <w:rPr>
                <w:rFonts w:hint="eastAsia" w:ascii="方正仿宋_GBK" w:eastAsia="方正仿宋_GBK"/>
                <w:color w:val="000000"/>
                <w:kern w:val="0"/>
                <w:sz w:val="22"/>
                <w:szCs w:val="22"/>
              </w:rPr>
            </w:pPr>
            <w:r>
              <w:rPr>
                <w:rFonts w:hint="eastAsia" w:ascii="方正仿宋_GBK" w:eastAsia="方正仿宋_GBK"/>
                <w:color w:val="000000"/>
                <w:kern w:val="0"/>
                <w:sz w:val="22"/>
                <w:szCs w:val="22"/>
              </w:rPr>
              <w:t>潼南火车站、潼南南站</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楷体_GBK"/>
          <w:color w:val="000000"/>
          <w:sz w:val="32"/>
          <w:szCs w:val="32"/>
        </w:rPr>
      </w:pPr>
      <w:r>
        <w:rPr>
          <w:rFonts w:eastAsia="方正楷体_GBK"/>
          <w:color w:val="000000"/>
          <w:sz w:val="32"/>
          <w:szCs w:val="32"/>
        </w:rPr>
        <w:t>（二）建制镇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sz w:val="32"/>
          <w:szCs w:val="32"/>
        </w:rPr>
      </w:pPr>
      <w:r>
        <w:rPr>
          <w:rFonts w:eastAsia="方正仿宋_GBK"/>
          <w:color w:val="000000"/>
          <w:sz w:val="32"/>
          <w:szCs w:val="32"/>
        </w:rPr>
        <w:t>双江镇、古溪镇、塘坝镇、柏梓镇、崇龛镇、上和镇、小渡镇、卧佛镇、玉溪镇、米心镇、太安镇、龙形镇、花岩镇、别口镇、五桂镇、新胜镇、寿桥镇、群力镇和宝龙镇共19个建制镇</w:t>
      </w:r>
      <w:r>
        <w:rPr>
          <w:rFonts w:hint="eastAsia" w:eastAsia="方正仿宋_GBK"/>
          <w:color w:val="000000"/>
          <w:sz w:val="32"/>
          <w:szCs w:val="32"/>
        </w:rPr>
        <w:t>。当前，建制镇镇区以居住、商业、工业混杂区为主，统一执行2类声环境功能区标准。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楷体_GBK"/>
          <w:color w:val="000000"/>
          <w:sz w:val="32"/>
          <w:szCs w:val="32"/>
        </w:rPr>
      </w:pPr>
      <w:r>
        <w:rPr>
          <w:rFonts w:eastAsia="方正楷体_GBK"/>
          <w:color w:val="000000"/>
          <w:sz w:val="32"/>
          <w:szCs w:val="32"/>
        </w:rPr>
        <w:t>（三）其它区域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sz w:val="32"/>
          <w:szCs w:val="32"/>
        </w:rPr>
      </w:pPr>
      <w:r>
        <w:rPr>
          <w:rFonts w:eastAsia="方正仿宋_GBK"/>
          <w:color w:val="000000"/>
          <w:sz w:val="32"/>
          <w:szCs w:val="32"/>
        </w:rPr>
        <w:t>未列在本方案的区域可根据《声环境质量标准》（GB3096-2008）</w:t>
      </w:r>
      <w:r>
        <w:rPr>
          <w:rFonts w:hint="eastAsia" w:eastAsia="方正仿宋_GBK"/>
          <w:color w:val="000000"/>
          <w:sz w:val="32"/>
          <w:szCs w:val="32"/>
        </w:rPr>
        <w:t>7</w:t>
      </w:r>
      <w:r>
        <w:rPr>
          <w:rFonts w:eastAsia="方正仿宋_GBK"/>
          <w:color w:val="000000"/>
          <w:sz w:val="32"/>
          <w:szCs w:val="32"/>
        </w:rPr>
        <w:t>.2</w:t>
      </w:r>
      <w:r>
        <w:rPr>
          <w:rFonts w:hint="eastAsia" w:eastAsia="方正仿宋_GBK"/>
          <w:color w:val="000000"/>
          <w:sz w:val="32"/>
          <w:szCs w:val="32"/>
        </w:rPr>
        <w:t>条规定</w:t>
      </w:r>
      <w:r>
        <w:rPr>
          <w:rFonts w:eastAsia="方正仿宋_GBK"/>
          <w:color w:val="000000"/>
          <w:sz w:val="32"/>
          <w:szCs w:val="32"/>
        </w:rPr>
        <w:t>执行乡村声环境功能区管理标准。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黑体_GBK"/>
          <w:color w:val="000000"/>
          <w:sz w:val="32"/>
          <w:szCs w:val="32"/>
        </w:rPr>
      </w:pPr>
      <w:r>
        <w:rPr>
          <w:rFonts w:eastAsia="方正黑体_GBK"/>
          <w:color w:val="000000"/>
          <w:sz w:val="32"/>
          <w:szCs w:val="32"/>
        </w:rPr>
        <w:t>五、监督与管理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bCs/>
          <w:color w:val="000000"/>
          <w:sz w:val="32"/>
          <w:szCs w:val="32"/>
        </w:rPr>
      </w:pPr>
      <w:r>
        <w:rPr>
          <w:rFonts w:eastAsia="方正仿宋_GBK"/>
          <w:bCs/>
          <w:color w:val="000000"/>
          <w:sz w:val="32"/>
          <w:szCs w:val="32"/>
        </w:rPr>
        <w:t>（一）</w:t>
      </w:r>
      <w:r>
        <w:rPr>
          <w:rFonts w:hint="eastAsia" w:eastAsia="方正仿宋_GBK"/>
          <w:bCs/>
          <w:color w:val="000000"/>
          <w:sz w:val="32"/>
          <w:szCs w:val="32"/>
        </w:rPr>
        <w:t>区</w:t>
      </w:r>
      <w:r>
        <w:rPr>
          <w:rFonts w:eastAsia="方正仿宋_GBK"/>
          <w:bCs/>
          <w:color w:val="000000"/>
          <w:sz w:val="32"/>
          <w:szCs w:val="32"/>
        </w:rPr>
        <w:t>生态环境部门对全区的环境噪声污染防治实施统一监督管理</w:t>
      </w:r>
      <w:r>
        <w:rPr>
          <w:rFonts w:hint="eastAsia" w:eastAsia="方正仿宋_GBK"/>
          <w:bCs/>
          <w:color w:val="000000"/>
          <w:sz w:val="32"/>
          <w:szCs w:val="32"/>
        </w:rPr>
        <w:t>，区</w:t>
      </w:r>
      <w:r>
        <w:rPr>
          <w:rFonts w:eastAsia="方正仿宋_GBK"/>
          <w:bCs/>
          <w:color w:val="000000"/>
          <w:sz w:val="32"/>
          <w:szCs w:val="32"/>
        </w:rPr>
        <w:t>公安、城</w:t>
      </w:r>
      <w:r>
        <w:rPr>
          <w:rFonts w:hint="eastAsia" w:eastAsia="方正仿宋_GBK"/>
          <w:bCs/>
          <w:color w:val="000000"/>
          <w:sz w:val="32"/>
          <w:szCs w:val="32"/>
        </w:rPr>
        <w:t>市管理</w:t>
      </w:r>
      <w:r>
        <w:rPr>
          <w:rFonts w:eastAsia="方正仿宋_GBK"/>
          <w:bCs/>
          <w:color w:val="000000"/>
          <w:sz w:val="32"/>
          <w:szCs w:val="32"/>
        </w:rPr>
        <w:t>、交通、文</w:t>
      </w:r>
      <w:r>
        <w:rPr>
          <w:rFonts w:hint="eastAsia" w:eastAsia="方正仿宋_GBK"/>
          <w:bCs/>
          <w:color w:val="000000"/>
          <w:sz w:val="32"/>
          <w:szCs w:val="32"/>
        </w:rPr>
        <w:t>化</w:t>
      </w:r>
      <w:r>
        <w:rPr>
          <w:rFonts w:eastAsia="方正仿宋_GBK"/>
          <w:bCs/>
          <w:color w:val="000000"/>
          <w:sz w:val="32"/>
          <w:szCs w:val="32"/>
        </w:rPr>
        <w:t>旅</w:t>
      </w:r>
      <w:r>
        <w:rPr>
          <w:rFonts w:hint="eastAsia" w:eastAsia="方正仿宋_GBK"/>
          <w:bCs/>
          <w:color w:val="000000"/>
          <w:sz w:val="32"/>
          <w:szCs w:val="32"/>
        </w:rPr>
        <w:t>游</w:t>
      </w:r>
      <w:r>
        <w:rPr>
          <w:rFonts w:eastAsia="方正仿宋_GBK"/>
          <w:bCs/>
          <w:color w:val="000000"/>
          <w:sz w:val="32"/>
          <w:szCs w:val="32"/>
        </w:rPr>
        <w:t>、市场监管等行</w:t>
      </w:r>
      <w:r>
        <w:rPr>
          <w:rFonts w:eastAsia="方正仿宋_GBK"/>
          <w:bCs/>
          <w:color w:val="000000"/>
          <w:spacing w:val="-6"/>
          <w:sz w:val="32"/>
          <w:szCs w:val="32"/>
        </w:rPr>
        <w:t>政管理部门在各自职责范围内对环境噪声污染防治实施监督管理</w:t>
      </w:r>
      <w:r>
        <w:rPr>
          <w:rFonts w:eastAsia="方正仿宋_GBK"/>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bCs/>
          <w:color w:val="000000"/>
          <w:sz w:val="32"/>
          <w:szCs w:val="32"/>
        </w:rPr>
      </w:pPr>
      <w:r>
        <w:rPr>
          <w:rFonts w:eastAsia="方正仿宋_GBK"/>
          <w:bCs/>
          <w:color w:val="000000"/>
          <w:sz w:val="32"/>
          <w:szCs w:val="32"/>
        </w:rPr>
        <w:t>（二）区规划自然资源局、区住房城乡建委在制定国土空间规划和基础设施建设规划时，应当统筹规划建设用地布局，合理安排城市建设用地时序，充分考虑建设项目的区域开发、改造所产生的噪声对周围生活环境的影响并落实噪声污染防护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bCs/>
          <w:color w:val="000000"/>
          <w:sz w:val="32"/>
          <w:szCs w:val="32"/>
        </w:rPr>
      </w:pPr>
      <w:r>
        <w:rPr>
          <w:rFonts w:eastAsia="方正仿宋_GBK"/>
          <w:bCs/>
          <w:color w:val="000000"/>
          <w:sz w:val="32"/>
          <w:szCs w:val="32"/>
        </w:rPr>
        <w:t>（</w:t>
      </w:r>
      <w:r>
        <w:rPr>
          <w:rFonts w:hint="eastAsia" w:eastAsia="方正仿宋_GBK"/>
          <w:bCs/>
          <w:color w:val="000000"/>
          <w:sz w:val="32"/>
          <w:szCs w:val="32"/>
        </w:rPr>
        <w:t>三</w:t>
      </w:r>
      <w:r>
        <w:rPr>
          <w:rFonts w:eastAsia="方正仿宋_GBK"/>
          <w:bCs/>
          <w:color w:val="000000"/>
          <w:sz w:val="32"/>
          <w:szCs w:val="32"/>
        </w:rPr>
        <w:t>）本次划分以现有城镇范围、开发区域和国土空间分</w:t>
      </w:r>
      <w:r>
        <w:rPr>
          <w:rFonts w:hint="eastAsia" w:eastAsia="方正仿宋_GBK"/>
          <w:bCs/>
          <w:color w:val="000000"/>
          <w:sz w:val="32"/>
          <w:szCs w:val="32"/>
        </w:rPr>
        <w:t>区</w:t>
      </w:r>
      <w:r>
        <w:rPr>
          <w:rFonts w:eastAsia="方正仿宋_GBK"/>
          <w:bCs/>
          <w:color w:val="000000"/>
          <w:sz w:val="32"/>
          <w:szCs w:val="32"/>
        </w:rPr>
        <w:t>规划为主进行划分</w:t>
      </w:r>
      <w:r>
        <w:rPr>
          <w:rFonts w:hint="eastAsia" w:eastAsia="方正仿宋_GBK"/>
          <w:bCs/>
          <w:color w:val="000000"/>
          <w:sz w:val="32"/>
          <w:szCs w:val="32"/>
        </w:rPr>
        <w:t>，</w:t>
      </w:r>
      <w:r>
        <w:rPr>
          <w:rFonts w:eastAsia="方正仿宋_GBK"/>
          <w:bCs/>
          <w:color w:val="000000"/>
          <w:sz w:val="32"/>
          <w:szCs w:val="32"/>
        </w:rPr>
        <w:t>原则上5年调整一次</w:t>
      </w:r>
      <w:r>
        <w:rPr>
          <w:rFonts w:hint="eastAsia" w:eastAsia="方正仿宋_GBK"/>
          <w:bCs/>
          <w:color w:val="000000"/>
          <w:sz w:val="32"/>
          <w:szCs w:val="32"/>
        </w:rPr>
        <w:t>，</w:t>
      </w:r>
      <w:r>
        <w:rPr>
          <w:rFonts w:eastAsia="方正仿宋_GBK"/>
          <w:bCs/>
          <w:color w:val="000000"/>
          <w:sz w:val="32"/>
          <w:szCs w:val="32"/>
        </w:rPr>
        <w:t>确因全区城市建设和重大规划实施调整，可申请方案修编并按原程序报批。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bCs/>
          <w:color w:val="000000"/>
          <w:sz w:val="32"/>
          <w:szCs w:val="32"/>
        </w:rPr>
      </w:pPr>
      <w:r>
        <w:rPr>
          <w:rFonts w:eastAsia="方正仿宋_GBK"/>
          <w:bCs/>
          <w:color w:val="000000"/>
          <w:sz w:val="32"/>
          <w:szCs w:val="32"/>
        </w:rPr>
        <w:t>（</w:t>
      </w:r>
      <w:r>
        <w:rPr>
          <w:rFonts w:hint="eastAsia" w:eastAsia="方正仿宋_GBK"/>
          <w:bCs/>
          <w:color w:val="000000"/>
          <w:sz w:val="32"/>
          <w:szCs w:val="32"/>
        </w:rPr>
        <w:t>四</w:t>
      </w:r>
      <w:r>
        <w:rPr>
          <w:rFonts w:eastAsia="方正仿宋_GBK"/>
          <w:bCs/>
          <w:color w:val="000000"/>
          <w:sz w:val="32"/>
          <w:szCs w:val="32"/>
        </w:rPr>
        <w:t>）根据新的声环境功能区划，</w:t>
      </w:r>
      <w:r>
        <w:rPr>
          <w:rFonts w:eastAsia="方正仿宋_GBK"/>
          <w:bCs/>
          <w:sz w:val="32"/>
          <w:szCs w:val="32"/>
        </w:rPr>
        <w:t>调整监测点位。依据《声环境质量标准</w:t>
      </w:r>
      <w:r>
        <w:rPr>
          <w:rFonts w:eastAsia="方正仿宋_GBK"/>
          <w:color w:val="000000"/>
          <w:sz w:val="32"/>
          <w:szCs w:val="32"/>
        </w:rPr>
        <w:t>（GB3096—2008）</w:t>
      </w:r>
      <w:r>
        <w:rPr>
          <w:rFonts w:eastAsia="方正仿宋_GBK"/>
          <w:bCs/>
          <w:sz w:val="32"/>
          <w:szCs w:val="32"/>
        </w:rPr>
        <w:t>》新增金福坝片区、航电枢纽及新增交通干线的声环境监测点位。</w:t>
      </w:r>
      <w:r>
        <w:rPr>
          <w:rFonts w:hint="eastAsia" w:eastAsia="方正仿宋_GBK"/>
          <w:bCs/>
          <w:sz w:val="32"/>
          <w:szCs w:val="32"/>
        </w:rPr>
        <w:t>依据</w:t>
      </w:r>
      <w:r>
        <w:rPr>
          <w:rFonts w:eastAsia="方正仿宋_GBK"/>
          <w:color w:val="000000"/>
          <w:sz w:val="32"/>
          <w:szCs w:val="32"/>
        </w:rPr>
        <w:t>《重庆市声环境功能区划分技术规范实施细则（试行）》（渝环〔2015〕429号）</w:t>
      </w:r>
      <w:r>
        <w:rPr>
          <w:rFonts w:hint="eastAsia" w:eastAsia="方正仿宋_GBK"/>
          <w:color w:val="000000"/>
          <w:sz w:val="32"/>
          <w:szCs w:val="32"/>
        </w:rPr>
        <w:t>要求，</w:t>
      </w:r>
      <w:r>
        <w:rPr>
          <w:rFonts w:hint="eastAsia" w:eastAsia="方正仿宋_GBK"/>
          <w:bCs/>
          <w:sz w:val="32"/>
          <w:szCs w:val="32"/>
        </w:rPr>
        <w:t>未建成的规划区内，按其规划性质或按区域声环境质量现状，结合可能的发展划定区域类型。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bCs/>
          <w:color w:val="000000"/>
          <w:sz w:val="32"/>
          <w:szCs w:val="32"/>
        </w:rPr>
      </w:pPr>
      <w:r>
        <w:rPr>
          <w:rFonts w:hint="eastAsia" w:eastAsia="方正仿宋_GBK"/>
          <w:bCs/>
          <w:color w:val="000000"/>
          <w:sz w:val="32"/>
          <w:szCs w:val="32"/>
        </w:rPr>
        <w:t>（五）本通知自公布之日起施行，《重庆市潼南区人民政府办公室关于印发重庆市潼南区声环境功能区划分方案的通知》（潼南府办发〔2018〕10</w:t>
      </w:r>
      <w:r>
        <w:rPr>
          <w:rFonts w:eastAsia="方正仿宋_GBK"/>
          <w:bCs/>
          <w:color w:val="000000"/>
          <w:sz w:val="32"/>
          <w:szCs w:val="32"/>
        </w:rPr>
        <w:t>7</w:t>
      </w:r>
      <w:r>
        <w:rPr>
          <w:rFonts w:hint="eastAsia" w:eastAsia="方正仿宋_GBK"/>
          <w:bCs/>
          <w:color w:val="000000"/>
          <w:sz w:val="32"/>
          <w:szCs w:val="32"/>
        </w:rPr>
        <w:t>号）同时废止。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sz w:val="32"/>
          <w:szCs w:val="32"/>
        </w:rPr>
      </w:pPr>
      <w:r>
        <w:rPr>
          <w:rFonts w:eastAsia="方正仿宋_GBK"/>
          <w:color w:val="000000"/>
          <w:sz w:val="32"/>
          <w:szCs w:val="32"/>
        </w:rPr>
        <w:t>附件：1.潼南区全区声环境功能区划分结果图</w:t>
      </w: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eastAsia="方正仿宋_GBK"/>
          <w:color w:val="000000"/>
          <w:sz w:val="32"/>
          <w:szCs w:val="32"/>
        </w:rPr>
      </w:pPr>
      <w:r>
        <w:rPr>
          <w:rFonts w:eastAsia="方正仿宋_GBK"/>
          <w:color w:val="000000"/>
          <w:sz w:val="32"/>
          <w:szCs w:val="32"/>
        </w:rPr>
        <w:t>2.潼南区城区声环境功能区划分结果图</w:t>
      </w: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eastAsia="方正仿宋_GBK"/>
          <w:color w:val="000000"/>
          <w:sz w:val="32"/>
          <w:szCs w:val="32"/>
        </w:rPr>
      </w:pPr>
      <w:r>
        <w:rPr>
          <w:rFonts w:eastAsia="方正仿宋_GBK"/>
          <w:color w:val="000000"/>
          <w:sz w:val="32"/>
          <w:szCs w:val="32"/>
        </w:rPr>
        <w:t>3.潼南区城市规划区交通干线一览表</w:t>
      </w:r>
    </w:p>
    <w:p>
      <w:pPr>
        <w:spacing w:line="594" w:lineRule="exact"/>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附件1</w:t>
      </w:r>
    </w:p>
    <w:p>
      <w:pPr>
        <w:spacing w:line="594" w:lineRule="exact"/>
        <w:jc w:val="center"/>
        <w:rPr>
          <w:rFonts w:hint="eastAsia" w:ascii="方正小标宋_GBK" w:eastAsia="方正小标宋_GBK"/>
          <w:color w:val="000000"/>
          <w:sz w:val="36"/>
          <w:szCs w:val="36"/>
        </w:rPr>
      </w:pPr>
      <w:r>
        <w:rPr>
          <w:rFonts w:hint="eastAsia" w:ascii="方正小标宋_GBK" w:eastAsia="方正小标宋_GBK"/>
          <w:color w:val="000000"/>
          <w:sz w:val="36"/>
          <w:szCs w:val="36"/>
        </w:rPr>
        <w:t>潼南区全区声环境功能区划分结果图</w:t>
      </w:r>
    </w:p>
    <w:p>
      <w:pPr>
        <w:jc w:val="both"/>
        <w:rPr>
          <w:rFonts w:eastAsia="方正仿宋_GBK"/>
          <w:color w:val="000000"/>
          <w:sz w:val="32"/>
          <w:szCs w:val="32"/>
        </w:rPr>
      </w:pPr>
      <w:r>
        <w:rPr>
          <w:rFonts w:eastAsia="方正仿宋_GBK"/>
          <w:color w:val="000000"/>
          <w:sz w:val="32"/>
          <w:szCs w:val="32"/>
        </w:rPr>
        <w:drawing>
          <wp:inline distT="0" distB="0" distL="114300" distR="114300">
            <wp:extent cx="5274945" cy="6943725"/>
            <wp:effectExtent l="0" t="0" r="1905" b="952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6"/>
                    <a:stretch>
                      <a:fillRect/>
                    </a:stretch>
                  </pic:blipFill>
                  <pic:spPr>
                    <a:xfrm>
                      <a:off x="0" y="0"/>
                      <a:ext cx="5274945" cy="6943725"/>
                    </a:xfrm>
                    <a:prstGeom prst="rect">
                      <a:avLst/>
                    </a:prstGeom>
                    <a:noFill/>
                    <a:ln>
                      <a:noFill/>
                    </a:ln>
                  </pic:spPr>
                </pic:pic>
              </a:graphicData>
            </a:graphic>
          </wp:inline>
        </w:drawing>
      </w:r>
    </w:p>
    <w:p>
      <w:pPr>
        <w:spacing w:line="594" w:lineRule="exact"/>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附件2</w:t>
      </w:r>
    </w:p>
    <w:p>
      <w:pPr>
        <w:spacing w:line="594" w:lineRule="exact"/>
        <w:jc w:val="center"/>
        <w:rPr>
          <w:rFonts w:hint="eastAsia" w:ascii="方正小标宋_GBK" w:eastAsia="方正小标宋_GBK"/>
          <w:color w:val="000000"/>
          <w:sz w:val="36"/>
          <w:szCs w:val="36"/>
        </w:rPr>
      </w:pPr>
      <w:r>
        <w:rPr>
          <w:rFonts w:hint="eastAsia" w:ascii="方正小标宋_GBK" w:eastAsia="方正小标宋_GBK"/>
          <w:color w:val="000000"/>
          <w:sz w:val="36"/>
          <w:szCs w:val="36"/>
        </w:rPr>
        <w:t>潼南区城区声环境功能区划分结果图</w:t>
      </w:r>
    </w:p>
    <w:p>
      <w:pPr>
        <w:jc w:val="center"/>
        <w:rPr>
          <w:rFonts w:eastAsia="方正仿宋_GBK"/>
          <w:color w:val="000000"/>
          <w:sz w:val="32"/>
          <w:szCs w:val="32"/>
        </w:rPr>
      </w:pPr>
      <w:r>
        <w:rPr>
          <w:rFonts w:eastAsia="方正仿宋_GBK"/>
          <w:color w:val="000000"/>
          <w:sz w:val="32"/>
          <w:szCs w:val="32"/>
        </w:rPr>
        <w:drawing>
          <wp:inline distT="0" distB="0" distL="114300" distR="114300">
            <wp:extent cx="5276215" cy="6962140"/>
            <wp:effectExtent l="0" t="0" r="635" b="1016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7"/>
                    <a:stretch>
                      <a:fillRect/>
                    </a:stretch>
                  </pic:blipFill>
                  <pic:spPr>
                    <a:xfrm>
                      <a:off x="0" y="0"/>
                      <a:ext cx="5276215" cy="6962140"/>
                    </a:xfrm>
                    <a:prstGeom prst="rect">
                      <a:avLst/>
                    </a:prstGeom>
                    <a:noFill/>
                    <a:ln>
                      <a:noFill/>
                    </a:ln>
                  </pic:spPr>
                </pic:pic>
              </a:graphicData>
            </a:graphic>
          </wp:inline>
        </w:drawing>
      </w:r>
    </w:p>
    <w:p>
      <w:pPr>
        <w:spacing w:line="594" w:lineRule="exact"/>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附件3</w:t>
      </w:r>
    </w:p>
    <w:p>
      <w:pPr>
        <w:spacing w:line="594" w:lineRule="exact"/>
        <w:jc w:val="center"/>
        <w:rPr>
          <w:rFonts w:hint="eastAsia" w:ascii="方正小标宋_GBK" w:eastAsia="方正小标宋_GBK"/>
          <w:color w:val="000000"/>
          <w:sz w:val="36"/>
          <w:szCs w:val="36"/>
        </w:rPr>
      </w:pPr>
      <w:r>
        <w:rPr>
          <w:rFonts w:hint="eastAsia" w:ascii="方正小标宋_GBK" w:eastAsia="方正小标宋_GBK"/>
          <w:color w:val="000000"/>
          <w:sz w:val="36"/>
          <w:szCs w:val="36"/>
        </w:rPr>
        <w:t>潼南城区交通干线一览表</w:t>
      </w:r>
    </w:p>
    <w:tbl>
      <w:tblPr>
        <w:tblStyle w:val="8"/>
        <w:tblW w:w="5000" w:type="pct"/>
        <w:jc w:val="center"/>
        <w:tblLayout w:type="autofit"/>
        <w:tblCellMar>
          <w:top w:w="0" w:type="dxa"/>
          <w:left w:w="108" w:type="dxa"/>
          <w:bottom w:w="0" w:type="dxa"/>
          <w:right w:w="108" w:type="dxa"/>
        </w:tblCellMar>
      </w:tblPr>
      <w:tblGrid>
        <w:gridCol w:w="2200"/>
        <w:gridCol w:w="2267"/>
        <w:gridCol w:w="3005"/>
        <w:gridCol w:w="1589"/>
      </w:tblGrid>
      <w:tr>
        <w:tblPrEx>
          <w:tblCellMar>
            <w:top w:w="0" w:type="dxa"/>
            <w:left w:w="108" w:type="dxa"/>
            <w:bottom w:w="0" w:type="dxa"/>
            <w:right w:w="108" w:type="dxa"/>
          </w:tblCellMar>
        </w:tblPrEx>
        <w:trPr>
          <w:cantSplit/>
          <w:trHeight w:val="585" w:hRule="atLeast"/>
          <w:tblHeader/>
          <w:jc w:val="center"/>
        </w:trPr>
        <w:tc>
          <w:tcPr>
            <w:tcW w:w="1214"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方正黑体_GBK" w:eastAsia="方正黑体_GBK"/>
                <w:color w:val="000000"/>
                <w:kern w:val="0"/>
                <w:sz w:val="24"/>
                <w:szCs w:val="24"/>
              </w:rPr>
            </w:pPr>
            <w:r>
              <w:rPr>
                <w:rFonts w:hint="eastAsia" w:ascii="方正黑体_GBK" w:eastAsia="方正黑体_GBK"/>
                <w:color w:val="000000"/>
                <w:kern w:val="0"/>
                <w:sz w:val="24"/>
                <w:szCs w:val="24"/>
              </w:rPr>
              <w:t>声功能区类别</w:t>
            </w:r>
          </w:p>
        </w:tc>
        <w:tc>
          <w:tcPr>
            <w:tcW w:w="1251" w:type="pct"/>
            <w:tcBorders>
              <w:top w:val="single" w:color="auto" w:sz="4" w:space="0"/>
              <w:left w:val="nil"/>
              <w:bottom w:val="single" w:color="auto" w:sz="4" w:space="0"/>
              <w:right w:val="single" w:color="auto" w:sz="4" w:space="0"/>
            </w:tcBorders>
            <w:noWrap/>
            <w:vAlign w:val="center"/>
          </w:tcPr>
          <w:p>
            <w:pPr>
              <w:widowControl/>
              <w:jc w:val="center"/>
              <w:rPr>
                <w:rFonts w:hint="eastAsia" w:ascii="方正黑体_GBK" w:eastAsia="方正黑体_GBK"/>
                <w:color w:val="000000"/>
                <w:kern w:val="0"/>
                <w:sz w:val="24"/>
                <w:szCs w:val="24"/>
              </w:rPr>
            </w:pPr>
            <w:r>
              <w:rPr>
                <w:rFonts w:hint="eastAsia" w:ascii="方正黑体_GBK" w:eastAsia="方正黑体_GBK"/>
                <w:color w:val="000000"/>
                <w:kern w:val="0"/>
                <w:sz w:val="24"/>
                <w:szCs w:val="24"/>
              </w:rPr>
              <w:t>道路等级</w:t>
            </w:r>
          </w:p>
        </w:tc>
        <w:tc>
          <w:tcPr>
            <w:tcW w:w="1658" w:type="pct"/>
            <w:tcBorders>
              <w:top w:val="single" w:color="auto" w:sz="4" w:space="0"/>
              <w:left w:val="nil"/>
              <w:bottom w:val="single" w:color="auto" w:sz="4" w:space="0"/>
              <w:right w:val="single" w:color="auto" w:sz="4" w:space="0"/>
            </w:tcBorders>
            <w:noWrap/>
            <w:vAlign w:val="center"/>
          </w:tcPr>
          <w:p>
            <w:pPr>
              <w:widowControl/>
              <w:jc w:val="center"/>
              <w:rPr>
                <w:rFonts w:hint="eastAsia" w:ascii="方正黑体_GBK" w:eastAsia="方正黑体_GBK"/>
                <w:color w:val="000000"/>
                <w:kern w:val="0"/>
                <w:sz w:val="24"/>
                <w:szCs w:val="24"/>
              </w:rPr>
            </w:pPr>
            <w:r>
              <w:rPr>
                <w:rFonts w:hint="eastAsia" w:ascii="方正黑体_GBK" w:eastAsia="方正黑体_GBK"/>
                <w:color w:val="000000"/>
                <w:kern w:val="0"/>
                <w:sz w:val="24"/>
                <w:szCs w:val="24"/>
              </w:rPr>
              <w:t>道路名称</w:t>
            </w:r>
          </w:p>
        </w:tc>
        <w:tc>
          <w:tcPr>
            <w:tcW w:w="877" w:type="pct"/>
            <w:tcBorders>
              <w:top w:val="single" w:color="auto" w:sz="4" w:space="0"/>
              <w:left w:val="nil"/>
              <w:bottom w:val="single" w:color="auto" w:sz="4" w:space="0"/>
              <w:right w:val="single" w:color="auto" w:sz="4" w:space="0"/>
            </w:tcBorders>
            <w:noWrap/>
            <w:vAlign w:val="center"/>
          </w:tcPr>
          <w:p>
            <w:pPr>
              <w:widowControl/>
              <w:jc w:val="center"/>
              <w:rPr>
                <w:rFonts w:hint="eastAsia" w:ascii="方正黑体_GBK" w:eastAsia="方正黑体_GBK"/>
                <w:color w:val="000000"/>
                <w:kern w:val="0"/>
                <w:sz w:val="24"/>
                <w:szCs w:val="24"/>
              </w:rPr>
            </w:pPr>
            <w:r>
              <w:rPr>
                <w:rFonts w:hint="eastAsia" w:ascii="方正黑体_GBK" w:eastAsia="方正黑体_GBK"/>
                <w:color w:val="000000"/>
                <w:kern w:val="0"/>
                <w:sz w:val="24"/>
                <w:szCs w:val="24"/>
              </w:rPr>
              <w:t>面积（km</w:t>
            </w:r>
            <w:r>
              <w:rPr>
                <w:rFonts w:hint="eastAsia" w:ascii="方正黑体_GBK" w:eastAsia="方正黑体_GBK"/>
                <w:color w:val="000000"/>
                <w:kern w:val="0"/>
                <w:sz w:val="24"/>
                <w:szCs w:val="24"/>
                <w:vertAlign w:val="superscript"/>
              </w:rPr>
              <w:t>2</w:t>
            </w:r>
            <w:r>
              <w:rPr>
                <w:rFonts w:hint="eastAsia" w:ascii="方正黑体_GBK" w:eastAsia="方正黑体_GBK"/>
                <w:color w:val="000000"/>
                <w:kern w:val="0"/>
                <w:sz w:val="24"/>
                <w:szCs w:val="24"/>
              </w:rPr>
              <w:t>）</w:t>
            </w:r>
          </w:p>
        </w:tc>
      </w:tr>
      <w:tr>
        <w:tblPrEx>
          <w:tblCellMar>
            <w:top w:w="0" w:type="dxa"/>
            <w:left w:w="108" w:type="dxa"/>
            <w:bottom w:w="0" w:type="dxa"/>
            <w:right w:w="108" w:type="dxa"/>
          </w:tblCellMar>
        </w:tblPrEx>
        <w:trPr>
          <w:trHeight w:val="285" w:hRule="atLeast"/>
          <w:jc w:val="center"/>
        </w:trPr>
        <w:tc>
          <w:tcPr>
            <w:tcW w:w="1214"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方正仿宋_GBK"/>
                <w:color w:val="000000"/>
                <w:kern w:val="0"/>
                <w:sz w:val="22"/>
                <w:szCs w:val="22"/>
              </w:rPr>
            </w:pPr>
            <w:r>
              <w:rPr>
                <w:rFonts w:eastAsia="方正仿宋_GBK"/>
                <w:color w:val="000000"/>
                <w:kern w:val="0"/>
                <w:sz w:val="22"/>
                <w:szCs w:val="22"/>
              </w:rPr>
              <w:t>4a类</w:t>
            </w:r>
          </w:p>
        </w:tc>
        <w:tc>
          <w:tcPr>
            <w:tcW w:w="1251"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交通枢纽区</w:t>
            </w: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航电枢纽</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0.62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高速公路</w:t>
            </w: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成渝环线高速</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0.09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主干道</w:t>
            </w: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潼南大道</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0.65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产业大道</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0.29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东安路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0.04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建设路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0.23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东风大道</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0.12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巴渝大道</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0.33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104县道</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0.15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潼南公路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0.14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滨江路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0.24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体育路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0.07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创意大道</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0.38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安康路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0.17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学院路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0.09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巴蜀大道+规划道路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0.62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创业大道+规划道路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0.37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朝阳东路+规划道路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0.20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潼南公路+规划道路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0.12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规划道路1</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0.15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规划道路2</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0.06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规划道路3</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0.25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规划道路4</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0.12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规划道路5</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0.12 </w:t>
            </w:r>
          </w:p>
        </w:tc>
      </w:tr>
      <w:tr>
        <w:tblPrEx>
          <w:tblCellMar>
            <w:top w:w="0" w:type="dxa"/>
            <w:left w:w="108" w:type="dxa"/>
            <w:bottom w:w="0" w:type="dxa"/>
            <w:right w:w="108" w:type="dxa"/>
          </w:tblCellMar>
        </w:tblPrEx>
        <w:trPr>
          <w:trHeight w:val="285" w:hRule="atLeast"/>
          <w:jc w:val="center"/>
        </w:trPr>
        <w:tc>
          <w:tcPr>
            <w:tcW w:w="1214" w:type="pct"/>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eastAsia="方正仿宋_GBK"/>
                <w:color w:val="000000"/>
                <w:kern w:val="0"/>
                <w:sz w:val="22"/>
                <w:szCs w:val="22"/>
              </w:rPr>
            </w:pPr>
            <w:r>
              <w:rPr>
                <w:rFonts w:eastAsia="方正仿宋_GBK"/>
                <w:color w:val="000000"/>
                <w:kern w:val="0"/>
                <w:sz w:val="22"/>
                <w:szCs w:val="22"/>
              </w:rPr>
              <w:t>4a类</w:t>
            </w:r>
          </w:p>
        </w:tc>
        <w:tc>
          <w:tcPr>
            <w:tcW w:w="125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方正仿宋_GBK"/>
                <w:color w:val="000000"/>
                <w:kern w:val="0"/>
                <w:sz w:val="22"/>
                <w:szCs w:val="22"/>
              </w:rPr>
            </w:pPr>
            <w:r>
              <w:rPr>
                <w:rFonts w:eastAsia="方正仿宋_GBK"/>
                <w:color w:val="000000"/>
                <w:kern w:val="0"/>
                <w:sz w:val="22"/>
                <w:szCs w:val="22"/>
              </w:rPr>
              <w:t>次干道</w:t>
            </w: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丰园路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0.20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民业街</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0.19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兴潼大道</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0.09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甘泉东路+甘泉西路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0.18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产业三支路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0.09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园区道路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0.09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东圣街</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0.16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创新大道</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0.10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金潼西路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0.23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205省道</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0.31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东安大道</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0.10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外滩西路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0.07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正兴街</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0.08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潼柏路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0.09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大同街</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0.11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石院街</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0.16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金佛大道+规划道路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0.31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538省道+规划道路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0.13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东湾大道+规划道路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0.39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向阳路+规划道路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0.27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产业五支路+规划道路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0.09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351国道+规划道路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0.17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无名道路+规划道路</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0.11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规划道路6</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0.27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规划道路7</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0.14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规划道路8</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0.19 </w:t>
            </w:r>
          </w:p>
        </w:tc>
      </w:tr>
      <w:tr>
        <w:tblPrEx>
          <w:tblCellMar>
            <w:top w:w="0" w:type="dxa"/>
            <w:left w:w="108" w:type="dxa"/>
            <w:bottom w:w="0" w:type="dxa"/>
            <w:right w:w="108" w:type="dxa"/>
          </w:tblCellMar>
        </w:tblPrEx>
        <w:trPr>
          <w:trHeight w:val="575" w:hRule="atLeast"/>
          <w:jc w:val="center"/>
        </w:trPr>
        <w:tc>
          <w:tcPr>
            <w:tcW w:w="1214" w:type="pct"/>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eastAsia="方正仿宋_GBK"/>
                <w:color w:val="000000"/>
                <w:kern w:val="0"/>
                <w:sz w:val="22"/>
                <w:szCs w:val="22"/>
              </w:rPr>
            </w:pPr>
            <w:r>
              <w:rPr>
                <w:rFonts w:eastAsia="方正仿宋_GBK"/>
                <w:color w:val="000000"/>
                <w:kern w:val="0"/>
                <w:sz w:val="22"/>
                <w:szCs w:val="22"/>
              </w:rPr>
              <w:t>4a类</w:t>
            </w:r>
          </w:p>
        </w:tc>
        <w:tc>
          <w:tcPr>
            <w:tcW w:w="1251" w:type="pct"/>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eastAsia="方正仿宋_GBK"/>
                <w:color w:val="000000"/>
                <w:kern w:val="0"/>
                <w:sz w:val="22"/>
                <w:szCs w:val="22"/>
              </w:rPr>
            </w:pPr>
            <w:r>
              <w:rPr>
                <w:rFonts w:eastAsia="方正仿宋_GBK"/>
                <w:color w:val="000000"/>
                <w:kern w:val="0"/>
                <w:sz w:val="22"/>
                <w:szCs w:val="22"/>
              </w:rPr>
              <w:t>次干道</w:t>
            </w: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规划道路9</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0.21 </w:t>
            </w:r>
          </w:p>
        </w:tc>
      </w:tr>
      <w:tr>
        <w:tblPrEx>
          <w:tblCellMar>
            <w:top w:w="0" w:type="dxa"/>
            <w:left w:w="108" w:type="dxa"/>
            <w:bottom w:w="0" w:type="dxa"/>
            <w:right w:w="108" w:type="dxa"/>
          </w:tblCellMar>
        </w:tblPrEx>
        <w:trPr>
          <w:trHeight w:val="576"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规划道路10</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0.10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规划道路11</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0.21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规划道路12</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0.25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规划道路13</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0.16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规划道路14</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0.12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规划道路15</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0.11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规划道路16</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0.16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规划道路17</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0.07 </w:t>
            </w:r>
          </w:p>
        </w:tc>
      </w:tr>
      <w:tr>
        <w:tblPrEx>
          <w:tblCellMar>
            <w:top w:w="0" w:type="dxa"/>
            <w:left w:w="108" w:type="dxa"/>
            <w:bottom w:w="0" w:type="dxa"/>
            <w:right w:w="108" w:type="dxa"/>
          </w:tblCellMar>
        </w:tblPrEx>
        <w:trPr>
          <w:trHeight w:val="285" w:hRule="atLeast"/>
          <w:jc w:val="center"/>
        </w:trPr>
        <w:tc>
          <w:tcPr>
            <w:tcW w:w="12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251"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eastAsia="方正仿宋_GBK"/>
                <w:color w:val="000000"/>
                <w:kern w:val="0"/>
                <w:sz w:val="22"/>
                <w:szCs w:val="22"/>
              </w:rPr>
            </w:pP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规划道路18</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0.06 </w:t>
            </w:r>
          </w:p>
        </w:tc>
      </w:tr>
      <w:tr>
        <w:tblPrEx>
          <w:tblCellMar>
            <w:top w:w="0" w:type="dxa"/>
            <w:left w:w="108" w:type="dxa"/>
            <w:bottom w:w="0" w:type="dxa"/>
            <w:right w:w="108" w:type="dxa"/>
          </w:tblCellMar>
        </w:tblPrEx>
        <w:trPr>
          <w:trHeight w:val="285" w:hRule="atLeast"/>
          <w:jc w:val="center"/>
        </w:trPr>
        <w:tc>
          <w:tcPr>
            <w:tcW w:w="1214" w:type="pct"/>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4b类</w:t>
            </w:r>
          </w:p>
        </w:tc>
        <w:tc>
          <w:tcPr>
            <w:tcW w:w="1251" w:type="pct"/>
            <w:tcBorders>
              <w:top w:val="single" w:color="auto" w:sz="4" w:space="0"/>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交通枢纽区</w:t>
            </w: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潼南站</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0.31 </w:t>
            </w:r>
          </w:p>
        </w:tc>
      </w:tr>
      <w:tr>
        <w:tblPrEx>
          <w:tblCellMar>
            <w:top w:w="0" w:type="dxa"/>
            <w:left w:w="108" w:type="dxa"/>
            <w:bottom w:w="0" w:type="dxa"/>
            <w:right w:w="108" w:type="dxa"/>
          </w:tblCellMar>
        </w:tblPrEx>
        <w:trPr>
          <w:trHeight w:val="285" w:hRule="atLeast"/>
          <w:jc w:val="center"/>
        </w:trPr>
        <w:tc>
          <w:tcPr>
            <w:tcW w:w="1214" w:type="pct"/>
            <w:vMerge w:val="continue"/>
            <w:tcBorders>
              <w:top w:val="nil"/>
              <w:left w:val="single" w:color="auto" w:sz="4" w:space="0"/>
              <w:bottom w:val="single" w:color="auto" w:sz="4" w:space="0"/>
              <w:right w:val="single" w:color="auto" w:sz="4" w:space="0"/>
            </w:tcBorders>
            <w:noWrap w:val="0"/>
            <w:vAlign w:val="center"/>
          </w:tcPr>
          <w:p>
            <w:pPr>
              <w:widowControl/>
              <w:jc w:val="left"/>
              <w:rPr>
                <w:rFonts w:eastAsia="方正仿宋_GBK"/>
                <w:color w:val="000000"/>
                <w:kern w:val="0"/>
                <w:sz w:val="22"/>
                <w:szCs w:val="22"/>
              </w:rPr>
            </w:pPr>
          </w:p>
        </w:tc>
        <w:tc>
          <w:tcPr>
            <w:tcW w:w="1251"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交通枢纽区</w:t>
            </w:r>
          </w:p>
        </w:tc>
        <w:tc>
          <w:tcPr>
            <w:tcW w:w="1658"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潼南南站</w:t>
            </w:r>
          </w:p>
        </w:tc>
        <w:tc>
          <w:tcPr>
            <w:tcW w:w="877" w:type="pct"/>
            <w:tcBorders>
              <w:top w:val="nil"/>
              <w:left w:val="nil"/>
              <w:bottom w:val="single" w:color="auto" w:sz="4" w:space="0"/>
              <w:right w:val="single" w:color="auto" w:sz="4" w:space="0"/>
            </w:tcBorders>
            <w:noWrap/>
            <w:vAlign w:val="center"/>
          </w:tcPr>
          <w:p>
            <w:pPr>
              <w:widowControl/>
              <w:jc w:val="center"/>
              <w:rPr>
                <w:rFonts w:eastAsia="方正仿宋_GBK"/>
                <w:color w:val="000000"/>
                <w:kern w:val="0"/>
                <w:sz w:val="22"/>
                <w:szCs w:val="22"/>
              </w:rPr>
            </w:pPr>
            <w:r>
              <w:rPr>
                <w:rFonts w:eastAsia="方正仿宋_GBK"/>
                <w:color w:val="000000"/>
                <w:kern w:val="0"/>
                <w:sz w:val="22"/>
                <w:szCs w:val="22"/>
              </w:rPr>
              <w:t xml:space="preserve">0.10 </w:t>
            </w:r>
          </w:p>
        </w:tc>
      </w:tr>
    </w:tbl>
    <w:p>
      <w:pPr>
        <w:pStyle w:val="4"/>
        <w:spacing w:line="578" w:lineRule="exact"/>
        <w:rPr>
          <w:rFonts w:hint="eastAsia" w:ascii="方正仿宋_GBK" w:hAnsi="Times New Roman"/>
          <w:sz w:val="28"/>
          <w:szCs w:val="28"/>
        </w:rPr>
      </w:pPr>
    </w:p>
    <w:p>
      <w:pPr>
        <w:pStyle w:val="4"/>
        <w:spacing w:line="578" w:lineRule="exact"/>
        <w:rPr>
          <w:rFonts w:hint="eastAsia" w:ascii="方正仿宋_GBK" w:hAnsi="Times New Roman"/>
          <w:sz w:val="28"/>
          <w:szCs w:val="28"/>
        </w:rPr>
      </w:pPr>
    </w:p>
    <w:p>
      <w:pPr>
        <w:pStyle w:val="4"/>
        <w:spacing w:line="578" w:lineRule="exact"/>
        <w:rPr>
          <w:rFonts w:hint="eastAsia" w:ascii="方正仿宋_GBK" w:hAnsi="Times New Roman"/>
          <w:sz w:val="28"/>
          <w:szCs w:val="28"/>
        </w:rPr>
      </w:pPr>
    </w:p>
    <w:p>
      <w:pPr>
        <w:pStyle w:val="4"/>
        <w:spacing w:line="578" w:lineRule="exact"/>
        <w:rPr>
          <w:rFonts w:hint="eastAsia" w:ascii="方正仿宋_GBK" w:hAnsi="Times New Roman"/>
          <w:sz w:val="28"/>
          <w:szCs w:val="28"/>
        </w:rPr>
      </w:pPr>
    </w:p>
    <w:p>
      <w:pPr>
        <w:pStyle w:val="4"/>
        <w:spacing w:line="578" w:lineRule="exact"/>
        <w:rPr>
          <w:rFonts w:hint="eastAsia" w:ascii="方正仿宋_GBK" w:hAnsi="Times New Roman"/>
          <w:sz w:val="28"/>
          <w:szCs w:val="28"/>
        </w:rPr>
      </w:pPr>
    </w:p>
    <w:p>
      <w:pPr>
        <w:pStyle w:val="4"/>
        <w:spacing w:line="578" w:lineRule="exact"/>
        <w:rPr>
          <w:rFonts w:hint="eastAsia" w:ascii="方正仿宋_GBK" w:hAnsi="Times New Roman"/>
          <w:sz w:val="28"/>
          <w:szCs w:val="28"/>
        </w:rPr>
      </w:pPr>
    </w:p>
    <w:p>
      <w:pPr>
        <w:pStyle w:val="4"/>
        <w:spacing w:line="578" w:lineRule="exact"/>
        <w:rPr>
          <w:rFonts w:hint="eastAsia" w:ascii="方正仿宋_GBK" w:hAnsi="Times New Roman"/>
          <w:sz w:val="28"/>
          <w:szCs w:val="28"/>
        </w:rPr>
      </w:pPr>
    </w:p>
    <w:p>
      <w:pPr>
        <w:pStyle w:val="4"/>
        <w:spacing w:line="578" w:lineRule="exact"/>
        <w:rPr>
          <w:rFonts w:hint="eastAsia" w:ascii="方正仿宋_GBK" w:hAnsi="Times New Roman"/>
          <w:sz w:val="28"/>
          <w:szCs w:val="28"/>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textAlignment w:val="auto"/>
        <w:rPr>
          <w:rFonts w:hint="eastAsia"/>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203835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16.05pt;height:0.15pt;width:442.25pt;z-index:251660288;mso-width-relative:page;mso-height-relative:page;" filled="f" stroked="t" coordsize="21600,21600" o:gfxdata="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qF6UDTAAAA&#10;BgEAAA8AAAAAAAAAAQAgAAAAIgAAAGRycy9kb3ducmV2LnhtbFBLAQIUABQAAAAIAIdO4kDwNi0p&#10;6QEAALUDAAAOAAAAAAAAAAEAIAAAACI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潼南区人民政府办公室发布     </w:t>
    </w:r>
  </w:p>
  <w:p>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潼南区人民政府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E773E"/>
    <w:rsid w:val="019E71BD"/>
    <w:rsid w:val="041C42DA"/>
    <w:rsid w:val="04B679C3"/>
    <w:rsid w:val="05F07036"/>
    <w:rsid w:val="06E00104"/>
    <w:rsid w:val="080F63D8"/>
    <w:rsid w:val="09341458"/>
    <w:rsid w:val="098254C2"/>
    <w:rsid w:val="0A766EDE"/>
    <w:rsid w:val="0AD64BE8"/>
    <w:rsid w:val="0B0912D7"/>
    <w:rsid w:val="0E025194"/>
    <w:rsid w:val="152D2DCA"/>
    <w:rsid w:val="187168EA"/>
    <w:rsid w:val="196673CA"/>
    <w:rsid w:val="1B2F4AEE"/>
    <w:rsid w:val="1CF734C9"/>
    <w:rsid w:val="1DEC284C"/>
    <w:rsid w:val="1E6523AC"/>
    <w:rsid w:val="22440422"/>
    <w:rsid w:val="22BB4BBB"/>
    <w:rsid w:val="2AEB3417"/>
    <w:rsid w:val="2B4A3C6F"/>
    <w:rsid w:val="31A15F24"/>
    <w:rsid w:val="324A1681"/>
    <w:rsid w:val="36FB1DF0"/>
    <w:rsid w:val="395347B5"/>
    <w:rsid w:val="39A232A0"/>
    <w:rsid w:val="39E745AA"/>
    <w:rsid w:val="3B5A6BBB"/>
    <w:rsid w:val="3B985FB2"/>
    <w:rsid w:val="3C2A1E9E"/>
    <w:rsid w:val="3EDA13A6"/>
    <w:rsid w:val="417B75E9"/>
    <w:rsid w:val="42F058B7"/>
    <w:rsid w:val="436109F6"/>
    <w:rsid w:val="441A38D4"/>
    <w:rsid w:val="4504239D"/>
    <w:rsid w:val="4BC77339"/>
    <w:rsid w:val="4C9236C5"/>
    <w:rsid w:val="4E250A85"/>
    <w:rsid w:val="4FFD4925"/>
    <w:rsid w:val="505C172E"/>
    <w:rsid w:val="506405EA"/>
    <w:rsid w:val="52F46F0B"/>
    <w:rsid w:val="532B6A10"/>
    <w:rsid w:val="53D8014D"/>
    <w:rsid w:val="55E064E0"/>
    <w:rsid w:val="572C6D10"/>
    <w:rsid w:val="5DC34279"/>
    <w:rsid w:val="5FCD688E"/>
    <w:rsid w:val="5FF9BDAA"/>
    <w:rsid w:val="5FFE5333"/>
    <w:rsid w:val="608816D1"/>
    <w:rsid w:val="60EF4E7F"/>
    <w:rsid w:val="648B0A32"/>
    <w:rsid w:val="665233C1"/>
    <w:rsid w:val="67696056"/>
    <w:rsid w:val="69AC0D42"/>
    <w:rsid w:val="6AD9688B"/>
    <w:rsid w:val="6CD11405"/>
    <w:rsid w:val="6D0E3F22"/>
    <w:rsid w:val="744E4660"/>
    <w:rsid w:val="753355A2"/>
    <w:rsid w:val="759F1C61"/>
    <w:rsid w:val="769F2DE8"/>
    <w:rsid w:val="76FDEB7C"/>
    <w:rsid w:val="79C65162"/>
    <w:rsid w:val="7C9011D9"/>
    <w:rsid w:val="7DC651C5"/>
    <w:rsid w:val="7DF350ED"/>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qFormat/>
    <w:uiPriority w:val="0"/>
    <w:rPr>
      <w:rFonts w:ascii="宋体" w:hAnsi="宋体" w:eastAsia="楷体" w:cs="Courier New"/>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bCs/>
    </w:rPr>
  </w:style>
  <w:style w:type="character" w:styleId="11">
    <w:name w:val="page number"/>
    <w:basedOn w:val="9"/>
    <w:qFormat/>
    <w:uiPriority w:val="0"/>
  </w:style>
  <w:style w:type="paragraph" w:customStyle="1" w:styleId="12">
    <w:name w:val="p0"/>
    <w:basedOn w:val="1"/>
    <w:qFormat/>
    <w:uiPriority w:val="0"/>
    <w:pPr>
      <w:widowControl/>
    </w:pPr>
    <w:rPr>
      <w:rFonts w:ascii="Calibri" w:hAnsi="Calibri" w:eastAsia="宋体" w:cs="宋体"/>
      <w:kern w:val="0"/>
      <w:szCs w:val="32"/>
    </w:rPr>
  </w:style>
  <w:style w:type="paragraph" w:customStyle="1" w:styleId="13">
    <w:name w:val="列表段落"/>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29</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SFJ1</cp:lastModifiedBy>
  <cp:lastPrinted>2022-05-12T00:46:00Z</cp:lastPrinted>
  <dcterms:modified xsi:type="dcterms:W3CDTF">2023-10-20T08:54:07Z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907D8ACDB6A34451B58D2D7B4881DA5C</vt:lpwstr>
  </property>
</Properties>
</file>