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both"/>
        <w:rPr>
          <w:rFonts w:hint="eastAsia" w:ascii="方正小标宋_GBK" w:hAnsi="方正小标宋_GBK" w:eastAsia="方正小标宋_GBK" w:cs="方正小标宋_GBK"/>
          <w:bCs/>
          <w:color w:val="000000"/>
          <w:sz w:val="44"/>
          <w:szCs w:val="44"/>
        </w:rPr>
      </w:pPr>
    </w:p>
    <w:p>
      <w:pPr>
        <w:spacing w:line="600" w:lineRule="exact"/>
        <w:jc w:val="both"/>
        <w:rPr>
          <w:rFonts w:hint="eastAsia" w:ascii="方正小标宋_GBK" w:hAnsi="方正小标宋_GBK" w:eastAsia="方正小标宋_GBK" w:cs="方正小标宋_GBK"/>
          <w:bCs/>
          <w:color w:val="000000"/>
          <w:sz w:val="44"/>
          <w:szCs w:val="44"/>
        </w:rPr>
      </w:pP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ascii="方正小标宋_GBK" w:hAnsi="方正小标宋_GBK" w:eastAsia="方正小标宋_GBK" w:cs="方正小标宋_GBK"/>
          <w:bCs/>
          <w:color w:val="000000"/>
          <w:sz w:val="44"/>
          <w:szCs w:val="44"/>
        </w:rPr>
      </w:pPr>
      <w:r>
        <w:rPr>
          <w:rFonts w:hint="eastAsia" w:ascii="方正小标宋_GBK" w:hAnsi="方正小标宋_GBK" w:eastAsia="方正小标宋_GBK" w:cs="方正小标宋_GBK"/>
          <w:bCs/>
          <w:color w:val="000000"/>
          <w:sz w:val="44"/>
          <w:szCs w:val="44"/>
        </w:rPr>
        <w:t>重庆市潼南区人民政府</w:t>
      </w: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ascii="方正小标宋_GBK" w:hAnsi="Dotum" w:eastAsia="方正小标宋_GBK"/>
          <w:bCs/>
          <w:sz w:val="44"/>
          <w:szCs w:val="44"/>
        </w:rPr>
      </w:pPr>
      <w:r>
        <w:rPr>
          <w:rFonts w:hint="eastAsia" w:ascii="方正小标宋_GBK" w:hAnsi="Dotum" w:eastAsia="方正小标宋_GBK"/>
          <w:bCs/>
          <w:sz w:val="44"/>
          <w:szCs w:val="44"/>
        </w:rPr>
        <w:t>关于印发《潼南区做大做强柠檬特色产业</w:t>
      </w: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ascii="方正小标宋_GBK" w:hAnsi="Dotum" w:eastAsia="方正小标宋_GBK"/>
          <w:bCs/>
          <w:sz w:val="44"/>
          <w:szCs w:val="44"/>
        </w:rPr>
      </w:pPr>
      <w:r>
        <w:rPr>
          <w:rFonts w:hint="eastAsia" w:ascii="方正小标宋_GBK" w:hAnsi="Dotum" w:eastAsia="方正小标宋_GBK"/>
          <w:bCs/>
          <w:sz w:val="44"/>
          <w:szCs w:val="44"/>
        </w:rPr>
        <w:t>集群的实施意见》的通知</w:t>
      </w:r>
    </w:p>
    <w:p>
      <w:pPr>
        <w:spacing w:line="600" w:lineRule="exact"/>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潼南府发〔2021〕13号</w:t>
      </w:r>
    </w:p>
    <w:p>
      <w:pPr>
        <w:spacing w:line="600" w:lineRule="exact"/>
        <w:jc w:val="center"/>
        <w:rPr>
          <w:rFonts w:ascii="方正小标宋_GBK" w:hAnsi="Dotum" w:eastAsia="方正小标宋_GBK"/>
          <w:sz w:val="36"/>
          <w:szCs w:val="36"/>
        </w:rPr>
      </w:pPr>
    </w:p>
    <w:p>
      <w:pPr>
        <w:pStyle w:val="19"/>
        <w:widowControl w:val="0"/>
        <w:spacing w:beforeAutospacing="0" w:afterAutospacing="0" w:line="600" w:lineRule="exact"/>
        <w:rPr>
          <w:rFonts w:ascii="Times New Roman" w:hAnsi="Times New Roman" w:eastAsia="方正楷体_GBK" w:cs="Times New Roman"/>
          <w:sz w:val="32"/>
          <w:szCs w:val="32"/>
        </w:rPr>
      </w:pPr>
      <w:r>
        <w:rPr>
          <w:rFonts w:hint="eastAsia" w:ascii="方正仿宋_GBK" w:hAnsi="ABCDEF+FangSong" w:eastAsia="方正仿宋_GBK" w:cs="Times New Roman"/>
          <w:sz w:val="32"/>
          <w:szCs w:val="32"/>
        </w:rPr>
        <w:t>各镇人民政府、街道办事处，区政府各部门，有关企事业单位：</w:t>
      </w:r>
      <w:r>
        <w:rPr>
          <w:rFonts w:ascii="Times New Roman" w:hAnsi="Times New Roman" w:eastAsia="方正楷体_GBK" w:cs="Times New Roman"/>
          <w:sz w:val="32"/>
          <w:szCs w:val="32"/>
        </w:rPr>
        <w:t xml:space="preserve"> </w:t>
      </w:r>
    </w:p>
    <w:p>
      <w:pPr>
        <w:spacing w:line="600" w:lineRule="exact"/>
        <w:ind w:firstLine="664" w:firstLineChars="200"/>
        <w:rPr>
          <w:rFonts w:eastAsia="方正楷体_GBK"/>
          <w:sz w:val="32"/>
          <w:szCs w:val="32"/>
        </w:rPr>
      </w:pPr>
      <w:r>
        <w:rPr>
          <w:rFonts w:hint="eastAsia" w:eastAsia="方正仿宋_GBK"/>
          <w:color w:val="000000"/>
          <w:spacing w:val="6"/>
          <w:sz w:val="32"/>
          <w:szCs w:val="32"/>
        </w:rPr>
        <w:t>区第十七届人民政府第</w:t>
      </w:r>
      <w:r>
        <w:rPr>
          <w:rFonts w:eastAsia="方正仿宋_GBK"/>
          <w:color w:val="000000"/>
          <w:spacing w:val="6"/>
          <w:sz w:val="32"/>
          <w:szCs w:val="32"/>
        </w:rPr>
        <w:t>144</w:t>
      </w:r>
      <w:r>
        <w:rPr>
          <w:rFonts w:hint="eastAsia" w:eastAsia="方正仿宋_GBK"/>
          <w:color w:val="000000"/>
          <w:spacing w:val="6"/>
          <w:sz w:val="32"/>
          <w:szCs w:val="32"/>
        </w:rPr>
        <w:t>次常务会审议通过</w:t>
      </w:r>
      <w:r>
        <w:rPr>
          <w:rFonts w:hint="eastAsia" w:ascii="方正仿宋_GBK" w:hAnsi="ABCDEF+FangSong" w:eastAsia="方正仿宋_GBK"/>
          <w:kern w:val="0"/>
          <w:sz w:val="32"/>
          <w:szCs w:val="32"/>
        </w:rPr>
        <w:t>《潼南区做大做强柠檬特色产业集群的实施意见》</w:t>
      </w:r>
      <w:r>
        <w:rPr>
          <w:rFonts w:hint="eastAsia" w:eastAsia="方正仿宋_GBK"/>
          <w:color w:val="000000"/>
          <w:spacing w:val="6"/>
          <w:sz w:val="32"/>
          <w:szCs w:val="32"/>
        </w:rPr>
        <w:t>，现</w:t>
      </w:r>
      <w:r>
        <w:rPr>
          <w:rFonts w:hint="eastAsia" w:ascii="方正仿宋_GBK" w:hAnsi="ABCDEF+FangSong" w:eastAsia="方正仿宋_GBK"/>
          <w:kern w:val="0"/>
          <w:sz w:val="32"/>
          <w:szCs w:val="32"/>
        </w:rPr>
        <w:t>印发给你们，请结合实际认真贯彻落实。</w:t>
      </w:r>
      <w:r>
        <w:rPr>
          <w:rFonts w:ascii="方正仿宋_GBK" w:hAnsi="ABCDEF+FangSong" w:eastAsia="方正仿宋_GBK"/>
          <w:kern w:val="0"/>
          <w:sz w:val="32"/>
          <w:szCs w:val="32"/>
        </w:rPr>
        <w:t xml:space="preserve"> </w:t>
      </w:r>
      <w:r>
        <w:rPr>
          <w:rFonts w:eastAsia="方正楷体_GBK"/>
          <w:sz w:val="32"/>
          <w:szCs w:val="32"/>
        </w:rPr>
        <w:t xml:space="preserve">    </w:t>
      </w:r>
    </w:p>
    <w:p>
      <w:pPr>
        <w:spacing w:line="360" w:lineRule="exact"/>
        <w:ind w:firstLine="640" w:firstLineChars="200"/>
        <w:rPr>
          <w:rFonts w:eastAsia="方正楷体_GBK"/>
          <w:sz w:val="32"/>
          <w:szCs w:val="32"/>
        </w:rPr>
      </w:pPr>
      <w:r>
        <w:rPr>
          <w:rFonts w:eastAsia="方正楷体_GBK"/>
          <w:sz w:val="32"/>
          <w:szCs w:val="32"/>
        </w:rPr>
        <w:t xml:space="preserve">                                    </w:t>
      </w:r>
    </w:p>
    <w:p>
      <w:pPr>
        <w:pStyle w:val="2"/>
        <w:spacing w:line="360" w:lineRule="exact"/>
      </w:pPr>
    </w:p>
    <w:p>
      <w:pPr>
        <w:spacing w:line="600" w:lineRule="exact"/>
        <w:ind w:firstLine="640" w:firstLineChars="200"/>
        <w:rPr>
          <w:rFonts w:ascii="方正仿宋_GBK" w:hAnsi="ABCDEF+FangSong" w:eastAsia="方正仿宋_GBK"/>
          <w:kern w:val="0"/>
          <w:sz w:val="32"/>
          <w:szCs w:val="32"/>
        </w:rPr>
      </w:pPr>
      <w:r>
        <w:rPr>
          <w:rFonts w:eastAsia="方正楷体_GBK"/>
          <w:color w:val="FFFFFF"/>
          <w:sz w:val="32"/>
          <w:szCs w:val="32"/>
        </w:rPr>
        <w:t xml:space="preserve">..                        </w:t>
      </w:r>
      <w:r>
        <w:rPr>
          <w:rFonts w:hint="eastAsia" w:eastAsia="方正楷体_GBK"/>
          <w:color w:val="FFFFFF"/>
          <w:sz w:val="32"/>
          <w:szCs w:val="32"/>
          <w:lang w:val="en-US" w:eastAsia="zh-CN"/>
        </w:rPr>
        <w:t xml:space="preserve">  </w:t>
      </w:r>
      <w:r>
        <w:rPr>
          <w:rFonts w:hint="eastAsia" w:ascii="方正仿宋_GBK" w:hAnsi="ABCDEF+FangSong" w:eastAsia="方正仿宋_GBK"/>
          <w:kern w:val="0"/>
          <w:sz w:val="32"/>
          <w:szCs w:val="32"/>
        </w:rPr>
        <w:t>重庆市潼南区人民政府</w:t>
      </w:r>
    </w:p>
    <w:p>
      <w:pPr>
        <w:tabs>
          <w:tab w:val="left" w:pos="7560"/>
        </w:tabs>
        <w:spacing w:line="600" w:lineRule="exact"/>
        <w:ind w:firstLine="3040" w:firstLineChars="950"/>
        <w:rPr>
          <w:rFonts w:eastAsia="方正仿宋_GBK"/>
          <w:kern w:val="0"/>
          <w:sz w:val="32"/>
          <w:szCs w:val="32"/>
        </w:rPr>
      </w:pPr>
      <w:r>
        <w:rPr>
          <w:rFonts w:eastAsia="方正仿宋_GBK"/>
          <w:kern w:val="0"/>
          <w:sz w:val="32"/>
          <w:szCs w:val="32"/>
        </w:rPr>
        <w:t xml:space="preserve">            </w:t>
      </w:r>
      <w:r>
        <w:rPr>
          <w:rFonts w:hint="eastAsia" w:eastAsia="方正仿宋_GBK"/>
          <w:kern w:val="0"/>
          <w:sz w:val="32"/>
          <w:szCs w:val="32"/>
          <w:lang w:val="en-US" w:eastAsia="zh-CN"/>
        </w:rPr>
        <w:t xml:space="preserve">  </w:t>
      </w:r>
      <w:r>
        <w:rPr>
          <w:rFonts w:eastAsia="方正仿宋_GBK"/>
          <w:kern w:val="0"/>
          <w:sz w:val="32"/>
          <w:szCs w:val="32"/>
        </w:rPr>
        <w:t>2021</w:t>
      </w:r>
      <w:r>
        <w:rPr>
          <w:rFonts w:hint="eastAsia" w:eastAsia="方正仿宋_GBK"/>
          <w:kern w:val="0"/>
          <w:sz w:val="32"/>
          <w:szCs w:val="32"/>
        </w:rPr>
        <w:t>年</w:t>
      </w:r>
      <w:r>
        <w:rPr>
          <w:rFonts w:eastAsia="方正仿宋_GBK"/>
          <w:kern w:val="0"/>
          <w:sz w:val="32"/>
          <w:szCs w:val="32"/>
        </w:rPr>
        <w:t>11</w:t>
      </w:r>
      <w:r>
        <w:rPr>
          <w:rFonts w:hint="eastAsia" w:eastAsia="方正仿宋_GBK"/>
          <w:kern w:val="0"/>
          <w:sz w:val="32"/>
          <w:szCs w:val="32"/>
        </w:rPr>
        <w:t>月</w:t>
      </w:r>
      <w:r>
        <w:rPr>
          <w:rFonts w:eastAsia="方正仿宋_GBK"/>
          <w:kern w:val="0"/>
          <w:sz w:val="32"/>
          <w:szCs w:val="32"/>
        </w:rPr>
        <w:t>12</w:t>
      </w:r>
      <w:r>
        <w:rPr>
          <w:rFonts w:hint="eastAsia" w:eastAsia="方正仿宋_GBK"/>
          <w:kern w:val="0"/>
          <w:sz w:val="32"/>
          <w:szCs w:val="32"/>
        </w:rPr>
        <w:t>日</w:t>
      </w:r>
    </w:p>
    <w:p>
      <w:pPr>
        <w:spacing w:line="600" w:lineRule="exact"/>
        <w:jc w:val="center"/>
        <w:rPr>
          <w:rFonts w:hint="eastAsia" w:eastAsia="方正小标宋_GBK"/>
          <w:sz w:val="44"/>
          <w:szCs w:val="44"/>
        </w:rPr>
      </w:pPr>
    </w:p>
    <w:p>
      <w:pPr>
        <w:spacing w:line="600" w:lineRule="exact"/>
        <w:jc w:val="center"/>
        <w:rPr>
          <w:rFonts w:hint="eastAsia" w:eastAsia="方正小标宋_GBK"/>
          <w:sz w:val="44"/>
          <w:szCs w:val="44"/>
        </w:rPr>
      </w:pPr>
    </w:p>
    <w:p>
      <w:pPr>
        <w:spacing w:line="600" w:lineRule="exact"/>
        <w:jc w:val="center"/>
        <w:rPr>
          <w:rFonts w:hint="eastAsia" w:eastAsia="方正小标宋_GBK"/>
          <w:sz w:val="44"/>
          <w:szCs w:val="44"/>
        </w:rPr>
      </w:pPr>
    </w:p>
    <w:p>
      <w:pPr>
        <w:spacing w:line="600" w:lineRule="exact"/>
        <w:jc w:val="center"/>
        <w:rPr>
          <w:rFonts w:hint="eastAsia" w:eastAsia="方正小标宋_GBK"/>
          <w:sz w:val="44"/>
          <w:szCs w:val="44"/>
        </w:rPr>
      </w:pPr>
    </w:p>
    <w:p>
      <w:pPr>
        <w:spacing w:line="600" w:lineRule="exact"/>
        <w:jc w:val="center"/>
        <w:rPr>
          <w:rFonts w:hint="eastAsia" w:eastAsia="方正小标宋_GBK"/>
          <w:sz w:val="44"/>
          <w:szCs w:val="44"/>
        </w:rPr>
      </w:pPr>
    </w:p>
    <w:p>
      <w:pPr>
        <w:spacing w:line="600" w:lineRule="exact"/>
        <w:jc w:val="center"/>
        <w:rPr>
          <w:rFonts w:hint="eastAsia" w:eastAsia="方正小标宋_GBK"/>
          <w:sz w:val="44"/>
          <w:szCs w:val="44"/>
        </w:rPr>
      </w:pPr>
    </w:p>
    <w:p>
      <w:pPr>
        <w:spacing w:line="600" w:lineRule="exact"/>
        <w:jc w:val="center"/>
        <w:rPr>
          <w:rFonts w:hint="eastAsia" w:eastAsia="方正小标宋_GBK"/>
          <w:sz w:val="44"/>
          <w:szCs w:val="44"/>
        </w:rPr>
      </w:pPr>
    </w:p>
    <w:p>
      <w:pPr>
        <w:spacing w:line="600" w:lineRule="exact"/>
        <w:jc w:val="both"/>
        <w:rPr>
          <w:rFonts w:eastAsia="方正小标宋_GBK"/>
          <w:sz w:val="44"/>
          <w:szCs w:val="44"/>
        </w:rPr>
      </w:pPr>
      <w:r>
        <w:rPr>
          <w:rFonts w:hint="eastAsia" w:eastAsia="方正小标宋_GBK"/>
          <w:sz w:val="44"/>
          <w:szCs w:val="44"/>
        </w:rPr>
        <w:t>潼南区做大做强柠檬特色产业集群的实施意见</w:t>
      </w:r>
    </w:p>
    <w:p>
      <w:pPr>
        <w:spacing w:line="600" w:lineRule="exact"/>
        <w:rPr>
          <w:rFonts w:hint="eastAsia"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方正仿宋_GBK"/>
          <w:sz w:val="32"/>
          <w:szCs w:val="32"/>
        </w:rPr>
      </w:pPr>
      <w:r>
        <w:rPr>
          <w:rFonts w:hint="eastAsia" w:eastAsia="方正仿宋_GBK"/>
          <w:sz w:val="32"/>
          <w:szCs w:val="32"/>
        </w:rPr>
        <w:t>为推动成渝现代高效特色农业带建设，着力做大做强柠檬特色产业集群，加快形成潼南百亿级柠檬产业链核心区，坚定不移以柠檬产业为优势特色争创全市现代农业发展“排头兵”。结合我区实际，提出如下实施意见。</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方正黑体_GBK"/>
          <w:sz w:val="32"/>
          <w:szCs w:val="32"/>
        </w:rPr>
      </w:pPr>
      <w:r>
        <w:rPr>
          <w:rFonts w:hint="eastAsia" w:eastAsia="方正黑体_GBK"/>
          <w:sz w:val="32"/>
          <w:szCs w:val="32"/>
        </w:rPr>
        <w:t>一、总体目标</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方正仿宋_GBK"/>
          <w:sz w:val="32"/>
          <w:szCs w:val="32"/>
        </w:rPr>
      </w:pPr>
      <w:r>
        <w:rPr>
          <w:rFonts w:hint="eastAsia" w:eastAsia="方正仿宋_GBK"/>
          <w:sz w:val="32"/>
          <w:szCs w:val="32"/>
        </w:rPr>
        <w:t>以打造“国际柠檬之都”为目标，按照“建强产业链、优化供应链、提升价值链”的思路，有力提升柠檬产业集群发展能级，加快形成巩固拓展脱贫攻坚成果的主导产业、推动乡村振兴的优势产业、打造现代农业的引领产业、实现农民共同富裕的带动产业、引领大健康发展的朝阳产业。到</w:t>
      </w:r>
      <w:r>
        <w:rPr>
          <w:rFonts w:eastAsia="方正仿宋_GBK"/>
          <w:sz w:val="32"/>
          <w:szCs w:val="32"/>
        </w:rPr>
        <w:t>2025</w:t>
      </w:r>
      <w:r>
        <w:rPr>
          <w:rFonts w:hint="eastAsia" w:eastAsia="方正仿宋_GBK"/>
          <w:sz w:val="32"/>
          <w:szCs w:val="32"/>
        </w:rPr>
        <w:t>年，基本建成链条完整、体系完善、保障完备的柠檬产业集群，“潼南柠檬”产业集聚力、品牌影响力、核心竞争力优势凸显，柠檬产业综合收入超过</w:t>
      </w:r>
      <w:r>
        <w:rPr>
          <w:rFonts w:eastAsia="方正仿宋_GBK"/>
          <w:sz w:val="32"/>
          <w:szCs w:val="32"/>
        </w:rPr>
        <w:t>200</w:t>
      </w:r>
      <w:r>
        <w:rPr>
          <w:rFonts w:hint="eastAsia" w:eastAsia="方正仿宋_GBK"/>
          <w:sz w:val="32"/>
          <w:szCs w:val="32"/>
        </w:rPr>
        <w:t>亿元。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方正仿宋_GBK"/>
          <w:sz w:val="32"/>
          <w:szCs w:val="32"/>
        </w:rPr>
      </w:pPr>
      <w:r>
        <w:rPr>
          <w:rFonts w:eastAsia="方正楷体_GBK"/>
          <w:sz w:val="32"/>
          <w:szCs w:val="32"/>
        </w:rPr>
        <w:t>——</w:t>
      </w:r>
      <w:r>
        <w:rPr>
          <w:rFonts w:hint="eastAsia" w:eastAsia="方正楷体_GBK"/>
          <w:sz w:val="32"/>
          <w:szCs w:val="32"/>
        </w:rPr>
        <w:t>推进种植基地标准化。</w:t>
      </w:r>
      <w:r>
        <w:rPr>
          <w:rFonts w:hint="eastAsia" w:eastAsia="方正仿宋_GBK"/>
          <w:sz w:val="32"/>
          <w:szCs w:val="32"/>
        </w:rPr>
        <w:t>加大柠檬基础研究，打造品种培优、科技示范、绿色生态的优质柠檬生产基地，构建琼江柠檬产业示范基地走廊。全区种植面积稳定在</w:t>
      </w:r>
      <w:r>
        <w:rPr>
          <w:rFonts w:eastAsia="方正仿宋_GBK"/>
          <w:sz w:val="32"/>
          <w:szCs w:val="32"/>
        </w:rPr>
        <w:t>32</w:t>
      </w:r>
      <w:r>
        <w:rPr>
          <w:rFonts w:hint="eastAsia" w:eastAsia="方正仿宋_GBK"/>
          <w:sz w:val="32"/>
          <w:szCs w:val="32"/>
        </w:rPr>
        <w:t>万亩以上，鲜果年产量达到</w:t>
      </w:r>
      <w:r>
        <w:rPr>
          <w:rFonts w:eastAsia="方正仿宋_GBK"/>
          <w:sz w:val="32"/>
          <w:szCs w:val="32"/>
        </w:rPr>
        <w:t>50</w:t>
      </w:r>
      <w:r>
        <w:rPr>
          <w:rFonts w:hint="eastAsia" w:eastAsia="方正仿宋_GBK"/>
          <w:sz w:val="32"/>
          <w:szCs w:val="32"/>
        </w:rPr>
        <w:t>万吨，建成标准化柠檬种植园</w:t>
      </w:r>
      <w:r>
        <w:rPr>
          <w:rFonts w:eastAsia="方正仿宋_GBK"/>
          <w:sz w:val="32"/>
          <w:szCs w:val="32"/>
        </w:rPr>
        <w:t>1000</w:t>
      </w:r>
      <w:r>
        <w:rPr>
          <w:rFonts w:hint="eastAsia" w:eastAsia="方正仿宋_GBK"/>
          <w:sz w:val="32"/>
          <w:szCs w:val="32"/>
        </w:rPr>
        <w:t>亩以上</w:t>
      </w:r>
      <w:r>
        <w:rPr>
          <w:rFonts w:eastAsia="方正仿宋_GBK"/>
          <w:sz w:val="32"/>
          <w:szCs w:val="32"/>
        </w:rPr>
        <w:t>10</w:t>
      </w:r>
      <w:r>
        <w:rPr>
          <w:rFonts w:hint="eastAsia" w:eastAsia="方正仿宋_GBK"/>
          <w:sz w:val="32"/>
          <w:szCs w:val="32"/>
        </w:rPr>
        <w:t>个、</w:t>
      </w:r>
      <w:r>
        <w:rPr>
          <w:rFonts w:eastAsia="方正仿宋_GBK"/>
          <w:sz w:val="32"/>
          <w:szCs w:val="32"/>
        </w:rPr>
        <w:t>500</w:t>
      </w:r>
      <w:r>
        <w:rPr>
          <w:rFonts w:hint="eastAsia" w:eastAsia="方正仿宋_GBK"/>
          <w:sz w:val="32"/>
          <w:szCs w:val="32"/>
        </w:rPr>
        <w:t>亩以上</w:t>
      </w:r>
      <w:r>
        <w:rPr>
          <w:rFonts w:eastAsia="方正仿宋_GBK"/>
          <w:sz w:val="32"/>
          <w:szCs w:val="32"/>
        </w:rPr>
        <w:t>20</w:t>
      </w:r>
      <w:r>
        <w:rPr>
          <w:rFonts w:hint="eastAsia" w:eastAsia="方正仿宋_GBK"/>
          <w:sz w:val="32"/>
          <w:szCs w:val="32"/>
        </w:rPr>
        <w:t>个、</w:t>
      </w:r>
      <w:r>
        <w:rPr>
          <w:rFonts w:eastAsia="方正仿宋_GBK"/>
          <w:sz w:val="32"/>
          <w:szCs w:val="32"/>
        </w:rPr>
        <w:t>200</w:t>
      </w:r>
      <w:r>
        <w:rPr>
          <w:rFonts w:hint="eastAsia" w:eastAsia="方正仿宋_GBK"/>
          <w:sz w:val="32"/>
          <w:szCs w:val="32"/>
        </w:rPr>
        <w:t>亩以上</w:t>
      </w:r>
      <w:r>
        <w:rPr>
          <w:rFonts w:eastAsia="方正仿宋_GBK"/>
          <w:sz w:val="32"/>
          <w:szCs w:val="32"/>
        </w:rPr>
        <w:t>100</w:t>
      </w:r>
      <w:r>
        <w:rPr>
          <w:rFonts w:hint="eastAsia" w:eastAsia="方正仿宋_GBK"/>
          <w:sz w:val="32"/>
          <w:szCs w:val="32"/>
        </w:rPr>
        <w:t>个。</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方正仿宋_GBK"/>
          <w:sz w:val="32"/>
          <w:szCs w:val="32"/>
        </w:rPr>
      </w:pPr>
      <w:r>
        <w:rPr>
          <w:rFonts w:eastAsia="方正楷体_GBK"/>
          <w:sz w:val="32"/>
          <w:szCs w:val="32"/>
        </w:rPr>
        <w:t>——</w:t>
      </w:r>
      <w:r>
        <w:rPr>
          <w:rFonts w:hint="eastAsia" w:eastAsia="方正楷体_GBK"/>
          <w:sz w:val="32"/>
          <w:szCs w:val="32"/>
        </w:rPr>
        <w:t>推进物流加工体系化。</w:t>
      </w:r>
      <w:r>
        <w:rPr>
          <w:rFonts w:hint="eastAsia" w:eastAsia="方正仿宋_GBK"/>
          <w:sz w:val="32"/>
          <w:szCs w:val="32"/>
        </w:rPr>
        <w:t>建设产地初加工与精深加工分工合理、齐头并进的“</w:t>
      </w:r>
      <w:r>
        <w:rPr>
          <w:rFonts w:eastAsia="方正仿宋_GBK"/>
          <w:sz w:val="32"/>
          <w:szCs w:val="32"/>
        </w:rPr>
        <w:t>1+N</w:t>
      </w:r>
      <w:r>
        <w:rPr>
          <w:rFonts w:hint="eastAsia" w:eastAsia="方正仿宋_GBK"/>
          <w:sz w:val="32"/>
          <w:szCs w:val="32"/>
        </w:rPr>
        <w:t>”加工产业体系，物流与加工一体发展、集约利用的“核心保障仓</w:t>
      </w:r>
      <w:r>
        <w:rPr>
          <w:rFonts w:eastAsia="方正仿宋_GBK"/>
          <w:sz w:val="32"/>
          <w:szCs w:val="32"/>
        </w:rPr>
        <w:t>+</w:t>
      </w:r>
      <w:r>
        <w:rPr>
          <w:rFonts w:hint="eastAsia" w:eastAsia="方正仿宋_GBK"/>
          <w:sz w:val="32"/>
          <w:szCs w:val="32"/>
        </w:rPr>
        <w:t>产地服务仓”冷链物流体系。集聚龙头企业</w:t>
      </w:r>
      <w:r>
        <w:rPr>
          <w:rFonts w:eastAsia="方正仿宋_GBK"/>
          <w:sz w:val="32"/>
          <w:szCs w:val="32"/>
        </w:rPr>
        <w:t>20</w:t>
      </w:r>
      <w:r>
        <w:rPr>
          <w:rFonts w:hint="eastAsia" w:eastAsia="方正仿宋_GBK"/>
          <w:sz w:val="32"/>
          <w:szCs w:val="32"/>
        </w:rPr>
        <w:t>家以上，柠檬深加工能力达到</w:t>
      </w:r>
      <w:r>
        <w:rPr>
          <w:rFonts w:eastAsia="方正仿宋_GBK"/>
          <w:sz w:val="32"/>
          <w:szCs w:val="32"/>
        </w:rPr>
        <w:t>40</w:t>
      </w:r>
      <w:r>
        <w:rPr>
          <w:rFonts w:hint="eastAsia" w:eastAsia="方正仿宋_GBK"/>
          <w:sz w:val="32"/>
          <w:szCs w:val="32"/>
        </w:rPr>
        <w:t>万吨，加工转化率达到</w:t>
      </w:r>
      <w:r>
        <w:rPr>
          <w:rFonts w:eastAsia="方正仿宋_GBK"/>
          <w:sz w:val="32"/>
          <w:szCs w:val="32"/>
        </w:rPr>
        <w:t>80%</w:t>
      </w:r>
      <w:r>
        <w:rPr>
          <w:rFonts w:hint="eastAsia" w:eastAsia="方正仿宋_GBK"/>
          <w:sz w:val="32"/>
          <w:szCs w:val="32"/>
        </w:rPr>
        <w:t>，柠檬产地冷藏能力达到</w:t>
      </w:r>
      <w:r>
        <w:rPr>
          <w:rFonts w:eastAsia="方正仿宋_GBK"/>
          <w:sz w:val="32"/>
          <w:szCs w:val="32"/>
        </w:rPr>
        <w:t>30</w:t>
      </w:r>
      <w:r>
        <w:rPr>
          <w:rFonts w:hint="eastAsia" w:eastAsia="方正仿宋_GBK"/>
          <w:sz w:val="32"/>
          <w:szCs w:val="32"/>
        </w:rPr>
        <w:t>万吨。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方正仿宋_GBK"/>
          <w:sz w:val="32"/>
          <w:szCs w:val="32"/>
        </w:rPr>
      </w:pPr>
      <w:r>
        <w:rPr>
          <w:rFonts w:eastAsia="方正楷体_GBK"/>
          <w:sz w:val="32"/>
          <w:szCs w:val="32"/>
        </w:rPr>
        <w:t>——</w:t>
      </w:r>
      <w:r>
        <w:rPr>
          <w:rFonts w:hint="eastAsia" w:eastAsia="方正楷体_GBK"/>
          <w:sz w:val="32"/>
          <w:szCs w:val="32"/>
        </w:rPr>
        <w:t>打造市场供应集聚地。</w:t>
      </w:r>
      <w:r>
        <w:rPr>
          <w:rFonts w:hint="eastAsia" w:eastAsia="方正仿宋_GBK"/>
          <w:sz w:val="32"/>
          <w:szCs w:val="32"/>
        </w:rPr>
        <w:t>聚焦国际国内大市场、大流通、大消费，推动市场拓展，引领消费升级，提升“潼南柠檬”品牌价值。创建潼南柠檬地理标志产品，打造国际柠檬交易中心、国家外贸转型升级基地（柠檬），年出口总额达到</w:t>
      </w:r>
      <w:r>
        <w:rPr>
          <w:rFonts w:eastAsia="方正仿宋_GBK"/>
          <w:sz w:val="32"/>
          <w:szCs w:val="32"/>
        </w:rPr>
        <w:t>5000</w:t>
      </w:r>
      <w:r>
        <w:rPr>
          <w:rFonts w:hint="eastAsia" w:eastAsia="方正仿宋_GBK"/>
          <w:sz w:val="32"/>
          <w:szCs w:val="32"/>
        </w:rPr>
        <w:t>万美元。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方正仿宋_GBK"/>
          <w:sz w:val="32"/>
          <w:szCs w:val="32"/>
        </w:rPr>
      </w:pPr>
      <w:r>
        <w:rPr>
          <w:rFonts w:eastAsia="方正楷体_GBK"/>
          <w:sz w:val="32"/>
          <w:szCs w:val="32"/>
        </w:rPr>
        <w:t>——</w:t>
      </w:r>
      <w:r>
        <w:rPr>
          <w:rFonts w:hint="eastAsia" w:eastAsia="方正楷体_GBK"/>
          <w:sz w:val="32"/>
          <w:szCs w:val="32"/>
        </w:rPr>
        <w:t>打造科技创新策源地。</w:t>
      </w:r>
      <w:r>
        <w:rPr>
          <w:rFonts w:hint="eastAsia" w:eastAsia="方正仿宋_GBK"/>
          <w:sz w:val="32"/>
          <w:szCs w:val="32"/>
        </w:rPr>
        <w:t>加快柠檬新品种研发、加工技术攻关，支持科研成果转化利用，强化技术装备集成，抢占柠檬产业科技创新制高点。建设国家柠檬工程技术中心、国家柠檬产业技术创新中心，与西南大学共建全国农业科技现代化先行区，柠檬产业科技贡献率高于全区其他产业平均水平</w:t>
      </w:r>
      <w:r>
        <w:rPr>
          <w:rFonts w:eastAsia="方正仿宋_GBK"/>
          <w:sz w:val="32"/>
          <w:szCs w:val="32"/>
        </w:rPr>
        <w:t>30%</w:t>
      </w:r>
      <w:r>
        <w:rPr>
          <w:rFonts w:hint="eastAsia" w:eastAsia="方正仿宋_GBK"/>
          <w:sz w:val="32"/>
          <w:szCs w:val="32"/>
        </w:rPr>
        <w:t>以上。</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方正黑体_GBK"/>
          <w:sz w:val="32"/>
          <w:szCs w:val="32"/>
        </w:rPr>
      </w:pPr>
      <w:r>
        <w:rPr>
          <w:rFonts w:hint="eastAsia" w:eastAsia="方正黑体_GBK"/>
          <w:sz w:val="32"/>
          <w:szCs w:val="32"/>
        </w:rPr>
        <w:t>二、重点任务</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方正仿宋_GBK"/>
          <w:sz w:val="32"/>
          <w:szCs w:val="32"/>
          <w:highlight w:val="yellow"/>
        </w:rPr>
      </w:pPr>
      <w:r>
        <w:rPr>
          <w:rFonts w:hint="eastAsia" w:eastAsia="方正楷体_GBK"/>
          <w:sz w:val="32"/>
          <w:szCs w:val="32"/>
        </w:rPr>
        <w:t>（一）提档升级柠檬产业基地。</w:t>
      </w:r>
      <w:r>
        <w:rPr>
          <w:rFonts w:hint="eastAsia" w:eastAsia="方正仿宋_GBK"/>
          <w:sz w:val="32"/>
          <w:szCs w:val="32"/>
        </w:rPr>
        <w:t>稳定基地规模，</w:t>
      </w:r>
      <w:r>
        <w:rPr>
          <w:rFonts w:hint="eastAsia" w:ascii="方正仿宋_GBK" w:eastAsia="方正仿宋_GBK"/>
          <w:sz w:val="32"/>
          <w:szCs w:val="32"/>
        </w:rPr>
        <w:t>统筹利用园地、永久基本农田外的一般耕地拓展基地面积</w:t>
      </w:r>
      <w:r>
        <w:rPr>
          <w:rFonts w:hint="eastAsia" w:eastAsia="方正仿宋_GBK"/>
          <w:sz w:val="32"/>
          <w:szCs w:val="32"/>
        </w:rPr>
        <w:t>，支持农民合作社、家庭农场适度规模种植，鼓励龙头企业自主建设示范基地。实施“潼南柠檬”标准园创建行动，提升基地标准，推动生产宜机化、水肥一体化、管控智能化、品种优良化、绿色有机化种植，支持柠檬基地按照标准园规范改造升级，在崇龛、柏梓、塘坝、小渡、太安、双江、古溪、龙形等镇打造一批柠檬标准化生产示范基地和出口备案基地。加强品质管控和疫病防控，深化与西南大学、重庆农科院科技创新合作，推行土壤改良、地力提升，推广示范无籽、抗病毒强新品种，建立柠檬产业标准化、全链条质量安全可追溯体系。到</w:t>
      </w:r>
      <w:r>
        <w:rPr>
          <w:rFonts w:eastAsia="方正仿宋_GBK"/>
          <w:sz w:val="32"/>
          <w:szCs w:val="32"/>
        </w:rPr>
        <w:t>2025</w:t>
      </w:r>
      <w:r>
        <w:rPr>
          <w:rFonts w:hint="eastAsia" w:eastAsia="方正仿宋_GBK"/>
          <w:sz w:val="32"/>
          <w:szCs w:val="32"/>
        </w:rPr>
        <w:t>年，新建标准化柠檬基地</w:t>
      </w:r>
      <w:r>
        <w:rPr>
          <w:rFonts w:eastAsia="方正仿宋_GBK"/>
          <w:sz w:val="32"/>
          <w:szCs w:val="32"/>
        </w:rPr>
        <w:t>5</w:t>
      </w:r>
      <w:r>
        <w:rPr>
          <w:rFonts w:hint="eastAsia" w:eastAsia="方正仿宋_GBK"/>
          <w:sz w:val="32"/>
          <w:szCs w:val="32"/>
        </w:rPr>
        <w:t>万亩，建成高标准柠檬出口备案基地</w:t>
      </w:r>
      <w:r>
        <w:rPr>
          <w:rFonts w:eastAsia="方正仿宋_GBK"/>
          <w:sz w:val="32"/>
          <w:szCs w:val="32"/>
        </w:rPr>
        <w:t>5</w:t>
      </w:r>
      <w:r>
        <w:rPr>
          <w:rFonts w:hint="eastAsia" w:eastAsia="方正仿宋_GBK"/>
          <w:sz w:val="32"/>
          <w:szCs w:val="32"/>
        </w:rPr>
        <w:t>万亩。</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方正仿宋_GBK"/>
          <w:sz w:val="32"/>
          <w:szCs w:val="32"/>
        </w:rPr>
      </w:pPr>
      <w:r>
        <w:rPr>
          <w:rFonts w:hint="eastAsia" w:eastAsia="方正楷体_GBK"/>
          <w:sz w:val="32"/>
          <w:szCs w:val="32"/>
        </w:rPr>
        <w:t>（二）大力发展冷链仓储物流。</w:t>
      </w:r>
      <w:r>
        <w:rPr>
          <w:rFonts w:hint="eastAsia" w:eastAsia="方正仿宋_GBK"/>
          <w:sz w:val="32"/>
          <w:szCs w:val="32"/>
        </w:rPr>
        <w:t>按照“</w:t>
      </w:r>
      <w:r>
        <w:rPr>
          <w:rFonts w:eastAsia="方正仿宋_GBK"/>
          <w:sz w:val="32"/>
          <w:szCs w:val="32"/>
        </w:rPr>
        <w:t>1+4+N</w:t>
      </w:r>
      <w:r>
        <w:rPr>
          <w:rFonts w:hint="eastAsia" w:eastAsia="方正仿宋_GBK"/>
          <w:sz w:val="32"/>
          <w:szCs w:val="32"/>
        </w:rPr>
        <w:t>”布局规划，构建柠檬产业冷链仓储体系，创建全国冷链物流重点示范区。高标准打造国际农产品加工园现代物流中心，支持精深加工企业配套建设仓储设施，建成“潼南绿”城市配送中心柠檬核心保障仓。加快建设崇龛、塘坝、古溪、太安等</w:t>
      </w:r>
      <w:r>
        <w:rPr>
          <w:rFonts w:eastAsia="方正仿宋_GBK"/>
          <w:sz w:val="32"/>
          <w:szCs w:val="32"/>
        </w:rPr>
        <w:t>4</w:t>
      </w:r>
      <w:r>
        <w:rPr>
          <w:rFonts w:hint="eastAsia" w:eastAsia="方正仿宋_GBK"/>
          <w:sz w:val="32"/>
          <w:szCs w:val="32"/>
        </w:rPr>
        <w:t>个镇级冷链仓储中心，大力扶持种植户就近建设产地冷藏仓。推动冷链物流功能拓展、全链贯通，打造一批集柠檬初选加工、仓储服务、销售流通于一体的储运保障基地，提高冷链物流社会化服务水平，年培育</w:t>
      </w:r>
      <w:r>
        <w:rPr>
          <w:rFonts w:eastAsia="方正仿宋_GBK"/>
          <w:sz w:val="32"/>
          <w:szCs w:val="32"/>
        </w:rPr>
        <w:t>2000</w:t>
      </w:r>
      <w:r>
        <w:rPr>
          <w:rFonts w:hint="eastAsia" w:eastAsia="方正仿宋_GBK"/>
          <w:sz w:val="32"/>
          <w:szCs w:val="32"/>
        </w:rPr>
        <w:t>吨以上大型综合储运企业</w:t>
      </w:r>
      <w:r>
        <w:rPr>
          <w:rFonts w:eastAsia="方正仿宋_GBK"/>
          <w:sz w:val="32"/>
          <w:szCs w:val="32"/>
        </w:rPr>
        <w:t>3</w:t>
      </w:r>
      <w:r>
        <w:rPr>
          <w:rFonts w:hint="eastAsia" w:eastAsia="方正仿宋_GBK"/>
          <w:sz w:val="32"/>
          <w:szCs w:val="32"/>
        </w:rPr>
        <w:t>家以上。</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方正仿宋_GBK"/>
          <w:sz w:val="32"/>
          <w:szCs w:val="32"/>
        </w:rPr>
      </w:pPr>
      <w:r>
        <w:rPr>
          <w:rFonts w:hint="eastAsia" w:eastAsia="方正楷体_GBK"/>
          <w:sz w:val="32"/>
          <w:szCs w:val="32"/>
        </w:rPr>
        <w:t>（三）培育壮大精深加工集群。</w:t>
      </w:r>
      <w:r>
        <w:rPr>
          <w:rFonts w:hint="eastAsia" w:eastAsia="方正仿宋_GBK"/>
          <w:sz w:val="32"/>
          <w:szCs w:val="32"/>
        </w:rPr>
        <w:t>高标准建设以柠檬为主导的国际农产品加工产业园，规划拓展到</w:t>
      </w:r>
      <w:r>
        <w:rPr>
          <w:rFonts w:eastAsia="方正仿宋_GBK"/>
          <w:sz w:val="32"/>
          <w:szCs w:val="32"/>
        </w:rPr>
        <w:t>5</w:t>
      </w:r>
      <w:r>
        <w:rPr>
          <w:rFonts w:hint="eastAsia" w:eastAsia="方正仿宋_GBK"/>
          <w:sz w:val="32"/>
          <w:szCs w:val="32"/>
        </w:rPr>
        <w:t>平方公里。启动建设崇龛、塘坝等柠檬主产地加工园，就近实现初加工集聚、商品化处理，打通产销“最初一公里”。精准聚焦柠檬产业“强龙头、补链条”，突出招大引强、招优引优，加快集聚一批领军型、加工型、外向型龙头企业入驻，构建绿色高效柠檬产品加工体系。积极开展加工技术攻关和创新运用，支持企业集成创制一批科技含量高、适用性广的柠檬加工工艺及配套装备，开发生产一批“名特优”柠檬产品。加快实施柠檬产业“三年行动”计划，推动柠檬龙头加工企业技术创新、产业升级，鼓励和支持企业上市。到</w:t>
      </w:r>
      <w:r>
        <w:rPr>
          <w:rFonts w:eastAsia="方正仿宋_GBK"/>
          <w:sz w:val="32"/>
          <w:szCs w:val="32"/>
        </w:rPr>
        <w:t>2025</w:t>
      </w:r>
      <w:r>
        <w:rPr>
          <w:rFonts w:hint="eastAsia" w:eastAsia="方正仿宋_GBK"/>
          <w:sz w:val="32"/>
          <w:szCs w:val="32"/>
        </w:rPr>
        <w:t>年，建成国家柠檬众创空间，新引进柠檬精深加工企业</w:t>
      </w:r>
      <w:r>
        <w:rPr>
          <w:rFonts w:eastAsia="方正仿宋_GBK"/>
          <w:sz w:val="32"/>
          <w:szCs w:val="32"/>
        </w:rPr>
        <w:t>10</w:t>
      </w:r>
      <w:r>
        <w:rPr>
          <w:rFonts w:hint="eastAsia" w:eastAsia="方正仿宋_GBK"/>
          <w:sz w:val="32"/>
          <w:szCs w:val="32"/>
        </w:rPr>
        <w:t>家以上，新培育亿元级柠檬加工企业</w:t>
      </w:r>
      <w:r>
        <w:rPr>
          <w:rFonts w:eastAsia="方正仿宋_GBK"/>
          <w:sz w:val="32"/>
          <w:szCs w:val="32"/>
        </w:rPr>
        <w:t>5</w:t>
      </w:r>
      <w:r>
        <w:rPr>
          <w:rFonts w:hint="eastAsia" w:eastAsia="方正仿宋_GBK"/>
          <w:sz w:val="32"/>
          <w:szCs w:val="32"/>
        </w:rPr>
        <w:t>家，创建中国驰名商标</w:t>
      </w:r>
      <w:r>
        <w:rPr>
          <w:rFonts w:eastAsia="方正仿宋_GBK"/>
          <w:sz w:val="32"/>
          <w:szCs w:val="32"/>
        </w:rPr>
        <w:t>2</w:t>
      </w:r>
      <w:r>
        <w:rPr>
          <w:rFonts w:hint="eastAsia" w:eastAsia="方正仿宋_GBK"/>
          <w:sz w:val="32"/>
          <w:szCs w:val="32"/>
        </w:rPr>
        <w:t>个以上，柠檬加工产值超过</w:t>
      </w:r>
      <w:r>
        <w:rPr>
          <w:rFonts w:eastAsia="方正仿宋_GBK"/>
          <w:sz w:val="32"/>
          <w:szCs w:val="32"/>
        </w:rPr>
        <w:t>100</w:t>
      </w:r>
      <w:r>
        <w:rPr>
          <w:rFonts w:hint="eastAsia" w:eastAsia="方正仿宋_GBK"/>
          <w:sz w:val="32"/>
          <w:szCs w:val="32"/>
        </w:rPr>
        <w:t>亿元。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方正仿宋_GBK"/>
          <w:sz w:val="32"/>
          <w:szCs w:val="32"/>
        </w:rPr>
      </w:pPr>
      <w:r>
        <w:rPr>
          <w:rFonts w:hint="eastAsia" w:eastAsia="方正楷体_GBK"/>
          <w:sz w:val="32"/>
          <w:szCs w:val="32"/>
        </w:rPr>
        <w:t>（四）加速构建现代营销体系。</w:t>
      </w:r>
      <w:r>
        <w:rPr>
          <w:rFonts w:hint="eastAsia" w:eastAsia="方正仿宋_GBK"/>
          <w:sz w:val="32"/>
          <w:szCs w:val="32"/>
        </w:rPr>
        <w:t>积极融入国际大市场、国内大循环，联动知名电商平台和大型批发市场，培育一批柠檬专销龙头企业和专业经纪人队伍，创建全国农产品（柠檬）产地市场，打造国际柠檬交易中心。不遗余力开拓国际市场，依托龙头企业建设对外出口直通平台，在新加坡、香港等国家（地区）建立柠檬海外仓、协同中心，大力发展加工贸易出口。实施“潼南柠檬”品牌培育行动，大力提升“潼南柠檬”区域品牌价值，整合运用现有品牌资源，积极支持开展绿色、有机食品认证，争创“潼南柠檬”地理标志产品。深度开发琼江乡村振兴走廊休闲旅游市场和精品路线，持续办好国际柠檬节，提升特色旅游产品、大健康文化，推动农文旅融合发展。加大柠檬宣传，挖掘展示柠檬特色文化，培养市民消费柠檬习惯。到</w:t>
      </w:r>
      <w:r>
        <w:rPr>
          <w:rFonts w:eastAsia="方正仿宋_GBK"/>
          <w:sz w:val="32"/>
          <w:szCs w:val="32"/>
        </w:rPr>
        <w:t>2025</w:t>
      </w:r>
      <w:r>
        <w:rPr>
          <w:rFonts w:hint="eastAsia" w:eastAsia="方正仿宋_GBK"/>
          <w:sz w:val="32"/>
          <w:szCs w:val="32"/>
        </w:rPr>
        <w:t>年，培育柠檬营销龙头企业</w:t>
      </w:r>
      <w:r>
        <w:rPr>
          <w:rFonts w:eastAsia="方正仿宋_GBK"/>
          <w:sz w:val="32"/>
          <w:szCs w:val="32"/>
        </w:rPr>
        <w:t>20</w:t>
      </w:r>
      <w:r>
        <w:rPr>
          <w:rFonts w:hint="eastAsia" w:eastAsia="方正仿宋_GBK"/>
          <w:sz w:val="32"/>
          <w:szCs w:val="32"/>
        </w:rPr>
        <w:t>家、营销经纪人</w:t>
      </w:r>
      <w:r>
        <w:rPr>
          <w:rFonts w:eastAsia="方正仿宋_GBK"/>
          <w:sz w:val="32"/>
          <w:szCs w:val="32"/>
        </w:rPr>
        <w:t>150</w:t>
      </w:r>
      <w:r>
        <w:rPr>
          <w:rFonts w:hint="eastAsia" w:eastAsia="方正仿宋_GBK"/>
          <w:sz w:val="32"/>
          <w:szCs w:val="32"/>
        </w:rPr>
        <w:t>人，新增柠檬绿色、有机产品</w:t>
      </w:r>
      <w:r>
        <w:rPr>
          <w:rFonts w:eastAsia="方正仿宋_GBK"/>
          <w:sz w:val="32"/>
          <w:szCs w:val="32"/>
        </w:rPr>
        <w:t>5</w:t>
      </w:r>
      <w:r>
        <w:rPr>
          <w:rFonts w:hint="eastAsia" w:eastAsia="方正仿宋_GBK"/>
          <w:sz w:val="32"/>
          <w:szCs w:val="32"/>
        </w:rPr>
        <w:t>个以上。</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方正楷体_GBK"/>
          <w:sz w:val="32"/>
          <w:szCs w:val="32"/>
        </w:rPr>
      </w:pPr>
      <w:r>
        <w:rPr>
          <w:rFonts w:hint="eastAsia" w:eastAsia="方正楷体_GBK"/>
          <w:sz w:val="32"/>
          <w:szCs w:val="32"/>
        </w:rPr>
        <w:t>（五）持续提升科技创新水平。</w:t>
      </w:r>
      <w:r>
        <w:rPr>
          <w:rFonts w:hint="eastAsia" w:eastAsia="方正仿宋_GBK"/>
          <w:sz w:val="32"/>
          <w:szCs w:val="32"/>
        </w:rPr>
        <w:t>以创建全国农业科技现代化先行区为契机，加速科研平台搭建和成果转化运用，加快打造国家柠檬工程技术中心、国家柠檬产业技术创新中心、区域性柠檬良种繁育中心。依托“龙头企业</w:t>
      </w:r>
      <w:r>
        <w:rPr>
          <w:rFonts w:eastAsia="方正仿宋_GBK"/>
          <w:sz w:val="32"/>
          <w:szCs w:val="32"/>
        </w:rPr>
        <w:t>+</w:t>
      </w:r>
      <w:r>
        <w:rPr>
          <w:rFonts w:hint="eastAsia" w:eastAsia="方正仿宋_GBK"/>
          <w:sz w:val="32"/>
          <w:szCs w:val="32"/>
        </w:rPr>
        <w:t>科研院所”深度融合，组建柠檬产业科技创新联盟，建设南昌大学重庆研究院，深化与中国农科院、西南大学、重庆市农科院战略合作，支持创建重点实验室、技术创新中心等研发平台，鼓励开展柠檬基础性研究。注重柠檬种植技术创新示范，加快脱毒种苗、绿色生产、智能农机装备等研发运用，在太安罐坝打造特色农机产业示范园，示范推广新品种、新技术、新模式、新机具。聚焦柠檬全果加工技术攻关，研发低碳减污加工贮运、柠檬副产物综合利用等新技术。到</w:t>
      </w:r>
      <w:r>
        <w:rPr>
          <w:rFonts w:eastAsia="方正仿宋_GBK"/>
          <w:sz w:val="32"/>
          <w:szCs w:val="32"/>
        </w:rPr>
        <w:t>2025</w:t>
      </w:r>
      <w:r>
        <w:rPr>
          <w:rFonts w:hint="eastAsia" w:eastAsia="方正仿宋_GBK"/>
          <w:sz w:val="32"/>
          <w:szCs w:val="32"/>
        </w:rPr>
        <w:t>年，推广应用柠檬新技术</w:t>
      </w:r>
      <w:r>
        <w:rPr>
          <w:rFonts w:eastAsia="方正仿宋_GBK"/>
          <w:sz w:val="32"/>
          <w:szCs w:val="32"/>
        </w:rPr>
        <w:t>50</w:t>
      </w:r>
      <w:r>
        <w:rPr>
          <w:rFonts w:hint="eastAsia" w:eastAsia="方正仿宋_GBK"/>
          <w:sz w:val="32"/>
          <w:szCs w:val="32"/>
        </w:rPr>
        <w:t>项，申报国家发明专利</w:t>
      </w:r>
      <w:r>
        <w:rPr>
          <w:rFonts w:eastAsia="方正仿宋_GBK"/>
          <w:sz w:val="32"/>
          <w:szCs w:val="32"/>
        </w:rPr>
        <w:t>10</w:t>
      </w:r>
      <w:r>
        <w:rPr>
          <w:rFonts w:hint="eastAsia" w:eastAsia="方正仿宋_GBK"/>
          <w:sz w:val="32"/>
          <w:szCs w:val="32"/>
        </w:rPr>
        <w:t>项以上。</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方正黑体_GBK"/>
          <w:sz w:val="32"/>
          <w:szCs w:val="32"/>
        </w:rPr>
      </w:pPr>
      <w:r>
        <w:rPr>
          <w:rFonts w:hint="eastAsia" w:eastAsia="方正黑体_GBK"/>
          <w:sz w:val="32"/>
          <w:szCs w:val="32"/>
        </w:rPr>
        <w:t>三、保障措施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方正楷体_GBK"/>
          <w:sz w:val="32"/>
          <w:szCs w:val="32"/>
        </w:rPr>
      </w:pPr>
      <w:r>
        <w:rPr>
          <w:rFonts w:hint="eastAsia" w:eastAsia="方正楷体_GBK"/>
          <w:sz w:val="32"/>
          <w:szCs w:val="32"/>
        </w:rPr>
        <w:t>（一）建立定期研究协调机制。</w:t>
      </w:r>
      <w:r>
        <w:rPr>
          <w:rFonts w:hint="eastAsia" w:eastAsia="方正仿宋_GBK"/>
          <w:sz w:val="32"/>
          <w:szCs w:val="32"/>
        </w:rPr>
        <w:t>区政府建立联席会议制度，定期加强统筹协调。主要负责同志作为第一会议召集人，原则上每季度听取一次工作汇报，研究柠檬产业发展重大问题。分管负责同志牵头成立工作专班，集中精力负责抓好柠檬产业发展，定期研判新形势、落实新要求，每月一次调度推进具体事项。区政府督查办定期开展专项督查，将行业部门履职情况纳入年度综合目标考核。</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方正楷体_GBK"/>
          <w:sz w:val="32"/>
          <w:szCs w:val="32"/>
        </w:rPr>
      </w:pPr>
      <w:r>
        <w:rPr>
          <w:rFonts w:hint="eastAsia" w:eastAsia="方正楷体_GBK"/>
          <w:sz w:val="32"/>
          <w:szCs w:val="32"/>
        </w:rPr>
        <w:t>（二）发挥财政资金撬动作用。</w:t>
      </w:r>
      <w:r>
        <w:rPr>
          <w:rFonts w:hint="eastAsia" w:eastAsia="方正仿宋_GBK"/>
          <w:sz w:val="32"/>
          <w:szCs w:val="32"/>
        </w:rPr>
        <w:t>区财政统筹资金设立农业产业发展风险补偿金，五年内规模达到</w:t>
      </w:r>
      <w:r>
        <w:rPr>
          <w:rFonts w:eastAsia="方正仿宋_GBK"/>
          <w:sz w:val="32"/>
          <w:szCs w:val="32"/>
        </w:rPr>
        <w:t>1</w:t>
      </w:r>
      <w:r>
        <w:rPr>
          <w:rFonts w:hint="eastAsia" w:eastAsia="方正仿宋_GBK"/>
          <w:sz w:val="32"/>
          <w:szCs w:val="32"/>
        </w:rPr>
        <w:t>亿元以上，撬动资金重点投入柠檬产业标准园创建、仓储物流、龙头企业等。每年集中整合涉农资金</w:t>
      </w:r>
      <w:r>
        <w:rPr>
          <w:rFonts w:eastAsia="方正仿宋_GBK"/>
          <w:sz w:val="32"/>
          <w:szCs w:val="32"/>
        </w:rPr>
        <w:t>1000</w:t>
      </w:r>
      <w:r>
        <w:rPr>
          <w:rFonts w:hint="eastAsia" w:eastAsia="方正仿宋_GBK"/>
          <w:sz w:val="32"/>
          <w:szCs w:val="32"/>
        </w:rPr>
        <w:t>万元以上，重点投入基地设施、科技创新、品牌营销等。提高财政持资金间接补助比重，持续完善农业保险、贴息政策，实现柠檬产业全覆盖。</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方正楷体_GBK"/>
          <w:sz w:val="32"/>
          <w:szCs w:val="32"/>
        </w:rPr>
      </w:pPr>
      <w:r>
        <w:rPr>
          <w:rFonts w:hint="eastAsia" w:eastAsia="方正楷体_GBK"/>
          <w:sz w:val="32"/>
          <w:szCs w:val="32"/>
        </w:rPr>
        <w:t>（三）精准运用金融服务政策。</w:t>
      </w:r>
      <w:r>
        <w:rPr>
          <w:rFonts w:hint="eastAsia" w:eastAsia="方正仿宋_GBK"/>
          <w:sz w:val="32"/>
          <w:szCs w:val="32"/>
        </w:rPr>
        <w:t>积极引导金融资源重点向柠檬产业倾斜，支持金融机构增加对柠檬基地建设、冷链仓储、精深加工企业等的信贷投放。拓展信用担保服务领域，支持融资租赁机构开展柠檬精深加工核心设备、智能生产线等融资租赁业务。用足用活各种扶持政策，鼓励支持有条件的龙头企业上市融资、发行债券。</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方正楷体_GBK"/>
          <w:sz w:val="32"/>
          <w:szCs w:val="32"/>
        </w:rPr>
      </w:pPr>
      <w:r>
        <w:rPr>
          <w:rFonts w:hint="eastAsia" w:eastAsia="方正楷体_GBK"/>
          <w:sz w:val="32"/>
          <w:szCs w:val="32"/>
        </w:rPr>
        <w:t>（四）强化紧缺要素服务保障。</w:t>
      </w:r>
      <w:r>
        <w:rPr>
          <w:rFonts w:hint="eastAsia" w:eastAsia="方正仿宋_GBK"/>
          <w:sz w:val="32"/>
          <w:szCs w:val="32"/>
        </w:rPr>
        <w:t>落实用地保障，全力保障柠檬一二三产业融合发展投资项目用地，严格落实农业设施用地相关政策。强化技术指导，与科研院校合作引进一批柠檬产、供、销、研高层次人才，建立柠檬科技特派员精准服务机制，持续加强柠檬标准化生产、疫病防控技术指导服务。提升社会服务，充分发挥产业协会、技术联盟在组织协调等方面优势，大力发展新型农业社会化服务组织开展柠檬全产业链专业化服务。加强营销推广，统筹利用“潼南柠檬”品牌资源，充分利用媒体资源推广柠檬特色农产品，鼓励支持柠檬企业、种植户参加国内外展会，增强潼南柠檬品牌影响力和竞争力。</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方正楷体_GBK"/>
          <w:sz w:val="32"/>
          <w:szCs w:val="32"/>
        </w:rPr>
      </w:pPr>
      <w:r>
        <w:rPr>
          <w:rFonts w:hint="eastAsia" w:eastAsia="方正楷体_GBK"/>
          <w:sz w:val="32"/>
          <w:szCs w:val="32"/>
        </w:rPr>
        <w:t>（五）健全联农带农利益联结。</w:t>
      </w:r>
      <w:r>
        <w:rPr>
          <w:rFonts w:hint="eastAsia" w:eastAsia="方正仿宋_GBK"/>
          <w:sz w:val="32"/>
          <w:szCs w:val="32"/>
        </w:rPr>
        <w:t>密切关注柠檬市场供求及价格动态，加强综合研判和趋势分析，强化风险评估和预测预警，激励保护农户积极性，增加农民在产业增值环节的参与度，让柠檬产业成为群众的致富产业。大力推行农村“三变”改革、“三社”融合，鼓励村集体牵头组建土地股份专业合作社，带头创建标准化柠檬产业园，将政策扶持与联农带农效果挂钩，保障农民承包土地入股收益和柠檬产业增值收益。积极实施柠檬产业项目财政补助资金股权化改革，盘活农村“三资”入股各类柠檬经营主体。健全风险防范机制，规范柠檬新型农业经营主体租赁农地行为，落实工商资本租赁农地分级备案制度。</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eastAsia="方正仿宋_GBK"/>
          <w:kern w:val="0"/>
          <w:sz w:val="32"/>
          <w:szCs w:val="32"/>
        </w:rPr>
      </w:pPr>
      <w:r>
        <w:rPr>
          <w:rFonts w:hint="eastAsia" w:eastAsia="方正仿宋_GBK"/>
          <w:kern w:val="0"/>
          <w:sz w:val="32"/>
          <w:szCs w:val="32"/>
        </w:rPr>
        <w:t>本实施意见自文件公布之日起施行，《重庆市潼南区人民政府关于加快柠檬产业发展的实施意见》（潼南府发</w:t>
      </w:r>
      <w:r>
        <w:rPr>
          <w:rFonts w:hint="eastAsia" w:eastAsia="方正小标宋_GBK"/>
          <w:kern w:val="0"/>
          <w:sz w:val="32"/>
          <w:szCs w:val="32"/>
        </w:rPr>
        <w:t>〔</w:t>
      </w:r>
      <w:r>
        <w:rPr>
          <w:rFonts w:eastAsia="方正仿宋_GBK"/>
          <w:kern w:val="0"/>
          <w:sz w:val="32"/>
          <w:szCs w:val="32"/>
        </w:rPr>
        <w:t>2018</w:t>
      </w:r>
      <w:r>
        <w:rPr>
          <w:rFonts w:hint="eastAsia" w:eastAsia="方正小标宋_GBK"/>
          <w:kern w:val="0"/>
          <w:sz w:val="32"/>
          <w:szCs w:val="32"/>
        </w:rPr>
        <w:t>〕</w:t>
      </w:r>
      <w:r>
        <w:rPr>
          <w:rFonts w:eastAsia="方正仿宋_GBK"/>
          <w:kern w:val="0"/>
          <w:sz w:val="32"/>
          <w:szCs w:val="32"/>
        </w:rPr>
        <w:t>7</w:t>
      </w:r>
      <w:r>
        <w:rPr>
          <w:rFonts w:hint="eastAsia" w:eastAsia="方正仿宋_GBK"/>
          <w:kern w:val="0"/>
          <w:sz w:val="32"/>
          <w:szCs w:val="32"/>
        </w:rPr>
        <w:t>号）同时废止。</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方正小标宋_GBK"/>
          <w:sz w:val="44"/>
          <w:szCs w:val="44"/>
        </w:rPr>
      </w:pPr>
      <w:r>
        <w:rPr>
          <w:rFonts w:hint="eastAsia" w:eastAsia="方正仿宋_GBK"/>
          <w:sz w:val="32"/>
          <w:szCs w:val="32"/>
        </w:rPr>
        <w:t>附件：</w:t>
      </w:r>
      <w:r>
        <w:rPr>
          <w:rFonts w:eastAsia="方正仿宋_GBK"/>
          <w:sz w:val="32"/>
          <w:szCs w:val="32"/>
        </w:rPr>
        <w:t>1.</w:t>
      </w:r>
      <w:r>
        <w:rPr>
          <w:rFonts w:hint="eastAsia" w:eastAsia="方正仿宋_GBK"/>
          <w:sz w:val="32"/>
          <w:szCs w:val="32"/>
        </w:rPr>
        <w:t>做大做强柠檬产业集群重点任务清单</w:t>
      </w:r>
    </w:p>
    <w:p>
      <w:pPr>
        <w:keepNext w:val="0"/>
        <w:keepLines w:val="0"/>
        <w:pageBreakBefore w:val="0"/>
        <w:widowControl w:val="0"/>
        <w:kinsoku/>
        <w:wordWrap/>
        <w:overflowPunct/>
        <w:topLinePunct w:val="0"/>
        <w:autoSpaceDE/>
        <w:autoSpaceDN/>
        <w:bidi w:val="0"/>
        <w:adjustRightInd/>
        <w:snapToGrid/>
        <w:spacing w:line="600" w:lineRule="exact"/>
        <w:ind w:firstLine="1600" w:firstLineChars="500"/>
        <w:jc w:val="left"/>
        <w:textAlignment w:val="auto"/>
        <w:rPr>
          <w:rFonts w:eastAsia="方正仿宋_GBK"/>
          <w:sz w:val="32"/>
          <w:szCs w:val="32"/>
        </w:rPr>
      </w:pPr>
      <w:r>
        <w:rPr>
          <w:rFonts w:eastAsia="方正仿宋_GBK"/>
          <w:sz w:val="32"/>
          <w:szCs w:val="32"/>
        </w:rPr>
        <w:t>2.</w:t>
      </w:r>
      <w:r>
        <w:rPr>
          <w:rFonts w:hint="eastAsia" w:eastAsia="方正仿宋_GBK"/>
          <w:sz w:val="32"/>
          <w:szCs w:val="32"/>
        </w:rPr>
        <w:t>做大做强柠檬产业集群有关政策措施</w:t>
      </w:r>
    </w:p>
    <w:p>
      <w:pPr>
        <w:keepNext w:val="0"/>
        <w:keepLines w:val="0"/>
        <w:pageBreakBefore w:val="0"/>
        <w:widowControl w:val="0"/>
        <w:kinsoku/>
        <w:wordWrap/>
        <w:overflowPunct/>
        <w:topLinePunct w:val="0"/>
        <w:autoSpaceDE/>
        <w:autoSpaceDN/>
        <w:bidi w:val="0"/>
        <w:adjustRightInd/>
        <w:snapToGrid/>
        <w:spacing w:line="600" w:lineRule="exact"/>
        <w:textAlignment w:val="auto"/>
        <w:sectPr>
          <w:headerReference r:id="rId3" w:type="default"/>
          <w:footerReference r:id="rId4" w:type="default"/>
          <w:footerReference r:id="rId5" w:type="even"/>
          <w:pgSz w:w="11906" w:h="16838"/>
          <w:pgMar w:top="1962" w:right="1474" w:bottom="1848" w:left="1588" w:header="851" w:footer="992" w:gutter="0"/>
          <w:cols w:space="720" w:num="1"/>
          <w:docGrid w:type="linesAndChars" w:linePitch="312" w:charSpace="0"/>
        </w:sectPr>
      </w:pPr>
    </w:p>
    <w:p>
      <w:pPr>
        <w:spacing w:line="520" w:lineRule="exact"/>
        <w:rPr>
          <w:rFonts w:eastAsia="方正黑体_GBK"/>
          <w:sz w:val="32"/>
          <w:szCs w:val="32"/>
        </w:rPr>
      </w:pPr>
      <w:r>
        <w:rPr>
          <w:rFonts w:hint="eastAsia" w:eastAsia="方正黑体_GBK"/>
          <w:sz w:val="32"/>
          <w:szCs w:val="32"/>
        </w:rPr>
        <w:t>附件</w:t>
      </w:r>
      <w:r>
        <w:rPr>
          <w:rFonts w:eastAsia="方正黑体_GBK"/>
          <w:sz w:val="32"/>
          <w:szCs w:val="32"/>
        </w:rPr>
        <w:t>1</w:t>
      </w:r>
    </w:p>
    <w:p>
      <w:pPr>
        <w:spacing w:line="520" w:lineRule="exact"/>
        <w:jc w:val="center"/>
        <w:rPr>
          <w:rFonts w:hint="eastAsia" w:eastAsia="方正小标宋_GBK"/>
          <w:sz w:val="44"/>
          <w:szCs w:val="44"/>
        </w:rPr>
      </w:pPr>
    </w:p>
    <w:p>
      <w:pPr>
        <w:spacing w:line="520" w:lineRule="exact"/>
        <w:jc w:val="center"/>
      </w:pPr>
      <w:r>
        <w:rPr>
          <w:rFonts w:hint="eastAsia" w:eastAsia="方正小标宋_GBK"/>
          <w:sz w:val="44"/>
          <w:szCs w:val="44"/>
        </w:rPr>
        <w:t>做大做强柠檬产业集群重点任务清单</w:t>
      </w:r>
    </w:p>
    <w:p>
      <w:pPr>
        <w:pStyle w:val="2"/>
      </w:pPr>
    </w:p>
    <w:tbl>
      <w:tblPr>
        <w:tblStyle w:val="11"/>
        <w:tblW w:w="136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4"/>
        <w:gridCol w:w="1840"/>
        <w:gridCol w:w="5243"/>
        <w:gridCol w:w="1870"/>
        <w:gridCol w:w="2205"/>
        <w:gridCol w:w="13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tblHeader/>
          <w:jc w:val="center"/>
        </w:trPr>
        <w:tc>
          <w:tcPr>
            <w:tcW w:w="1094" w:type="dxa"/>
            <w:vAlign w:val="center"/>
          </w:tcPr>
          <w:p>
            <w:pPr>
              <w:pStyle w:val="6"/>
              <w:spacing w:line="320" w:lineRule="exact"/>
              <w:ind w:firstLine="0" w:firstLineChars="0"/>
              <w:jc w:val="center"/>
              <w:rPr>
                <w:rFonts w:ascii="Times New Roman" w:hAnsi="Times New Roman" w:eastAsia="方正黑体_GBK"/>
                <w:sz w:val="24"/>
                <w:szCs w:val="24"/>
              </w:rPr>
            </w:pPr>
            <w:r>
              <w:rPr>
                <w:rFonts w:hint="eastAsia" w:ascii="Times New Roman" w:hAnsi="Times New Roman" w:eastAsia="方正黑体_GBK"/>
                <w:sz w:val="24"/>
                <w:szCs w:val="24"/>
              </w:rPr>
              <w:t>序号</w:t>
            </w:r>
          </w:p>
        </w:tc>
        <w:tc>
          <w:tcPr>
            <w:tcW w:w="1840" w:type="dxa"/>
            <w:vAlign w:val="center"/>
          </w:tcPr>
          <w:p>
            <w:pPr>
              <w:pStyle w:val="6"/>
              <w:spacing w:line="320" w:lineRule="exact"/>
              <w:ind w:firstLine="0" w:firstLineChars="0"/>
              <w:jc w:val="center"/>
              <w:rPr>
                <w:rFonts w:ascii="Times New Roman" w:hAnsi="Times New Roman" w:eastAsia="方正黑体_GBK"/>
                <w:sz w:val="24"/>
                <w:szCs w:val="24"/>
              </w:rPr>
            </w:pPr>
            <w:r>
              <w:rPr>
                <w:rFonts w:hint="eastAsia" w:ascii="Times New Roman" w:hAnsi="Times New Roman" w:eastAsia="方正黑体_GBK"/>
                <w:sz w:val="24"/>
                <w:szCs w:val="24"/>
              </w:rPr>
              <w:t>重点任务</w:t>
            </w:r>
          </w:p>
        </w:tc>
        <w:tc>
          <w:tcPr>
            <w:tcW w:w="5243" w:type="dxa"/>
            <w:vAlign w:val="center"/>
          </w:tcPr>
          <w:p>
            <w:pPr>
              <w:pStyle w:val="6"/>
              <w:spacing w:line="320" w:lineRule="exact"/>
              <w:ind w:firstLine="480"/>
              <w:jc w:val="center"/>
              <w:rPr>
                <w:rFonts w:ascii="Times New Roman" w:hAnsi="Times New Roman" w:eastAsia="方正黑体_GBK"/>
                <w:sz w:val="24"/>
                <w:szCs w:val="24"/>
              </w:rPr>
            </w:pPr>
            <w:r>
              <w:rPr>
                <w:rFonts w:hint="eastAsia" w:ascii="Times New Roman" w:hAnsi="Times New Roman" w:eastAsia="方正黑体_GBK"/>
                <w:sz w:val="24"/>
                <w:szCs w:val="24"/>
              </w:rPr>
              <w:t>目标内容</w:t>
            </w:r>
          </w:p>
        </w:tc>
        <w:tc>
          <w:tcPr>
            <w:tcW w:w="1870" w:type="dxa"/>
            <w:vAlign w:val="center"/>
          </w:tcPr>
          <w:p>
            <w:pPr>
              <w:pStyle w:val="6"/>
              <w:spacing w:line="320" w:lineRule="exact"/>
              <w:ind w:firstLine="0" w:firstLineChars="0"/>
              <w:jc w:val="center"/>
              <w:rPr>
                <w:rFonts w:ascii="Times New Roman" w:hAnsi="Times New Roman" w:eastAsia="方正黑体_GBK"/>
                <w:sz w:val="24"/>
                <w:szCs w:val="24"/>
              </w:rPr>
            </w:pPr>
            <w:r>
              <w:rPr>
                <w:rFonts w:hint="eastAsia" w:ascii="Times New Roman" w:hAnsi="Times New Roman" w:eastAsia="方正黑体_GBK"/>
                <w:sz w:val="24"/>
                <w:szCs w:val="24"/>
              </w:rPr>
              <w:t>牵头单位</w:t>
            </w:r>
          </w:p>
        </w:tc>
        <w:tc>
          <w:tcPr>
            <w:tcW w:w="2205" w:type="dxa"/>
            <w:vAlign w:val="center"/>
          </w:tcPr>
          <w:p>
            <w:pPr>
              <w:pStyle w:val="6"/>
              <w:spacing w:line="320" w:lineRule="exact"/>
              <w:ind w:firstLine="0" w:firstLineChars="0"/>
              <w:jc w:val="center"/>
              <w:rPr>
                <w:rFonts w:ascii="Times New Roman" w:hAnsi="Times New Roman" w:eastAsia="方正黑体_GBK"/>
                <w:sz w:val="24"/>
                <w:szCs w:val="24"/>
              </w:rPr>
            </w:pPr>
            <w:r>
              <w:rPr>
                <w:rFonts w:hint="eastAsia" w:ascii="Times New Roman" w:hAnsi="Times New Roman" w:eastAsia="方正黑体_GBK"/>
                <w:sz w:val="24"/>
                <w:szCs w:val="24"/>
              </w:rPr>
              <w:t>配合单位</w:t>
            </w:r>
          </w:p>
        </w:tc>
        <w:tc>
          <w:tcPr>
            <w:tcW w:w="1350" w:type="dxa"/>
            <w:vAlign w:val="center"/>
          </w:tcPr>
          <w:p>
            <w:pPr>
              <w:pStyle w:val="6"/>
              <w:spacing w:line="320" w:lineRule="exact"/>
              <w:ind w:firstLine="0" w:firstLineChars="0"/>
              <w:jc w:val="center"/>
              <w:rPr>
                <w:rFonts w:ascii="Times New Roman" w:hAnsi="Times New Roman" w:eastAsia="方正黑体_GBK"/>
                <w:sz w:val="24"/>
                <w:szCs w:val="24"/>
              </w:rPr>
            </w:pPr>
            <w:r>
              <w:rPr>
                <w:rFonts w:hint="eastAsia" w:ascii="Times New Roman" w:hAnsi="Times New Roman" w:eastAsia="方正黑体_GBK"/>
                <w:sz w:val="24"/>
                <w:szCs w:val="24"/>
              </w:rPr>
              <w:t>完成时限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0" w:hRule="atLeast"/>
          <w:jc w:val="center"/>
        </w:trPr>
        <w:tc>
          <w:tcPr>
            <w:tcW w:w="1094" w:type="dxa"/>
            <w:vMerge w:val="restart"/>
            <w:vAlign w:val="center"/>
          </w:tcPr>
          <w:p>
            <w:pPr>
              <w:pStyle w:val="6"/>
              <w:spacing w:line="360" w:lineRule="exact"/>
              <w:ind w:firstLine="0" w:firstLineChars="0"/>
              <w:jc w:val="center"/>
              <w:rPr>
                <w:rFonts w:ascii="Times New Roman" w:hAnsi="Times New Roman"/>
                <w:sz w:val="24"/>
                <w:szCs w:val="24"/>
              </w:rPr>
            </w:pPr>
            <w:r>
              <w:rPr>
                <w:rFonts w:ascii="Times New Roman" w:hAnsi="Times New Roman"/>
                <w:sz w:val="24"/>
                <w:szCs w:val="24"/>
              </w:rPr>
              <w:t>1</w:t>
            </w:r>
          </w:p>
        </w:tc>
        <w:tc>
          <w:tcPr>
            <w:tcW w:w="1840" w:type="dxa"/>
            <w:vMerge w:val="restart"/>
            <w:vAlign w:val="center"/>
          </w:tcPr>
          <w:p>
            <w:pPr>
              <w:pStyle w:val="6"/>
              <w:spacing w:line="360" w:lineRule="exact"/>
              <w:ind w:firstLine="0" w:firstLineChars="0"/>
              <w:jc w:val="center"/>
              <w:rPr>
                <w:rFonts w:ascii="Times New Roman" w:hAnsi="Times New Roman"/>
                <w:sz w:val="24"/>
                <w:szCs w:val="24"/>
              </w:rPr>
            </w:pPr>
            <w:r>
              <w:rPr>
                <w:rFonts w:hint="eastAsia" w:ascii="Times New Roman" w:hAnsi="Times New Roman"/>
                <w:sz w:val="24"/>
                <w:szCs w:val="24"/>
              </w:rPr>
              <w:t>实施“潼南柠檬”标准园创建行动计划</w:t>
            </w:r>
          </w:p>
        </w:tc>
        <w:tc>
          <w:tcPr>
            <w:tcW w:w="5243" w:type="dxa"/>
            <w:vAlign w:val="center"/>
          </w:tcPr>
          <w:p>
            <w:pPr>
              <w:pStyle w:val="6"/>
              <w:spacing w:line="360" w:lineRule="exact"/>
              <w:ind w:firstLine="0" w:firstLineChars="0"/>
              <w:jc w:val="both"/>
              <w:rPr>
                <w:rFonts w:ascii="Times New Roman" w:hAnsi="Times New Roman"/>
                <w:sz w:val="24"/>
                <w:szCs w:val="24"/>
              </w:rPr>
            </w:pPr>
            <w:r>
              <w:rPr>
                <w:rFonts w:ascii="Times New Roman" w:hAnsi="Times New Roman"/>
                <w:sz w:val="24"/>
                <w:szCs w:val="24"/>
              </w:rPr>
              <w:t>1.</w:t>
            </w:r>
            <w:r>
              <w:rPr>
                <w:rFonts w:hint="eastAsia" w:ascii="Times New Roman" w:hAnsi="Times New Roman"/>
                <w:sz w:val="24"/>
                <w:szCs w:val="24"/>
              </w:rPr>
              <w:t>提升基地标准化水平。在崇龛、柏梓、塘坝、小渡、太安、双江、古溪、龙形等镇新建标柠檬基地</w:t>
            </w:r>
            <w:r>
              <w:rPr>
                <w:rFonts w:ascii="Times New Roman" w:hAnsi="Times New Roman"/>
                <w:sz w:val="24"/>
                <w:szCs w:val="24"/>
              </w:rPr>
              <w:t>5</w:t>
            </w:r>
            <w:r>
              <w:rPr>
                <w:rFonts w:hint="eastAsia" w:ascii="Times New Roman" w:hAnsi="Times New Roman"/>
                <w:sz w:val="24"/>
                <w:szCs w:val="24"/>
              </w:rPr>
              <w:t>万亩，创建标准化柠檬种植园</w:t>
            </w:r>
            <w:r>
              <w:rPr>
                <w:rFonts w:ascii="Times New Roman" w:hAnsi="Times New Roman"/>
                <w:sz w:val="24"/>
                <w:szCs w:val="24"/>
              </w:rPr>
              <w:t>1000</w:t>
            </w:r>
            <w:r>
              <w:rPr>
                <w:rFonts w:hint="eastAsia" w:ascii="Times New Roman" w:hAnsi="Times New Roman"/>
                <w:sz w:val="24"/>
                <w:szCs w:val="24"/>
              </w:rPr>
              <w:t>亩以上</w:t>
            </w:r>
            <w:r>
              <w:rPr>
                <w:rFonts w:ascii="Times New Roman" w:hAnsi="Times New Roman"/>
                <w:sz w:val="24"/>
                <w:szCs w:val="24"/>
              </w:rPr>
              <w:t>10</w:t>
            </w:r>
            <w:r>
              <w:rPr>
                <w:rFonts w:hint="eastAsia" w:ascii="Times New Roman" w:hAnsi="Times New Roman"/>
                <w:sz w:val="24"/>
                <w:szCs w:val="24"/>
              </w:rPr>
              <w:t>个、</w:t>
            </w:r>
            <w:r>
              <w:rPr>
                <w:rFonts w:ascii="Times New Roman" w:hAnsi="Times New Roman"/>
                <w:sz w:val="24"/>
                <w:szCs w:val="24"/>
              </w:rPr>
              <w:t>500</w:t>
            </w:r>
            <w:r>
              <w:rPr>
                <w:rFonts w:hint="eastAsia" w:ascii="Times New Roman" w:hAnsi="Times New Roman"/>
                <w:sz w:val="24"/>
                <w:szCs w:val="24"/>
              </w:rPr>
              <w:t>亩以上</w:t>
            </w:r>
            <w:r>
              <w:rPr>
                <w:rFonts w:ascii="Times New Roman" w:hAnsi="Times New Roman"/>
                <w:sz w:val="24"/>
                <w:szCs w:val="24"/>
              </w:rPr>
              <w:t>20</w:t>
            </w:r>
            <w:r>
              <w:rPr>
                <w:rFonts w:hint="eastAsia" w:ascii="Times New Roman" w:hAnsi="Times New Roman"/>
                <w:sz w:val="24"/>
                <w:szCs w:val="24"/>
              </w:rPr>
              <w:t>个、</w:t>
            </w:r>
            <w:r>
              <w:rPr>
                <w:rFonts w:ascii="Times New Roman" w:hAnsi="Times New Roman"/>
                <w:sz w:val="24"/>
                <w:szCs w:val="24"/>
              </w:rPr>
              <w:t>200</w:t>
            </w:r>
            <w:r>
              <w:rPr>
                <w:rFonts w:hint="eastAsia" w:ascii="Times New Roman" w:hAnsi="Times New Roman"/>
                <w:sz w:val="24"/>
                <w:szCs w:val="24"/>
              </w:rPr>
              <w:t>亩以上</w:t>
            </w:r>
            <w:r>
              <w:rPr>
                <w:rFonts w:ascii="Times New Roman" w:hAnsi="Times New Roman"/>
                <w:sz w:val="24"/>
                <w:szCs w:val="24"/>
              </w:rPr>
              <w:t>100</w:t>
            </w:r>
            <w:r>
              <w:rPr>
                <w:rFonts w:hint="eastAsia" w:ascii="Times New Roman" w:hAnsi="Times New Roman"/>
                <w:sz w:val="24"/>
                <w:szCs w:val="24"/>
              </w:rPr>
              <w:t>个。</w:t>
            </w:r>
          </w:p>
          <w:p>
            <w:pPr>
              <w:pStyle w:val="6"/>
              <w:spacing w:line="360" w:lineRule="exact"/>
              <w:ind w:firstLine="0" w:firstLineChars="0"/>
              <w:jc w:val="both"/>
              <w:rPr>
                <w:rFonts w:ascii="Times New Roman" w:hAnsi="Times New Roman"/>
                <w:sz w:val="24"/>
                <w:szCs w:val="24"/>
              </w:rPr>
            </w:pPr>
            <w:r>
              <w:rPr>
                <w:rFonts w:hint="eastAsia" w:ascii="Times New Roman" w:hAnsi="Times New Roman"/>
                <w:sz w:val="24"/>
                <w:szCs w:val="24"/>
              </w:rPr>
              <w:t>打造标准化示范基地。鼓励支持重点企业建设</w:t>
            </w:r>
            <w:r>
              <w:rPr>
                <w:rFonts w:ascii="Times New Roman" w:hAnsi="Times New Roman"/>
                <w:sz w:val="24"/>
                <w:szCs w:val="24"/>
              </w:rPr>
              <w:t>5000</w:t>
            </w:r>
            <w:r>
              <w:rPr>
                <w:rFonts w:hint="eastAsia" w:ascii="Times New Roman" w:hAnsi="Times New Roman"/>
                <w:sz w:val="24"/>
                <w:szCs w:val="24"/>
              </w:rPr>
              <w:t>亩以上标准化示范基地。</w:t>
            </w:r>
          </w:p>
        </w:tc>
        <w:tc>
          <w:tcPr>
            <w:tcW w:w="1870" w:type="dxa"/>
            <w:vMerge w:val="restart"/>
            <w:vAlign w:val="center"/>
          </w:tcPr>
          <w:p>
            <w:pPr>
              <w:pStyle w:val="6"/>
              <w:spacing w:line="360" w:lineRule="exact"/>
              <w:ind w:firstLine="0" w:firstLineChars="0"/>
              <w:jc w:val="center"/>
              <w:rPr>
                <w:rFonts w:ascii="Times New Roman" w:hAnsi="Times New Roman"/>
                <w:sz w:val="24"/>
                <w:szCs w:val="24"/>
              </w:rPr>
            </w:pPr>
            <w:r>
              <w:rPr>
                <w:rFonts w:hint="eastAsia" w:ascii="Times New Roman" w:hAnsi="Times New Roman"/>
                <w:sz w:val="24"/>
                <w:szCs w:val="24"/>
              </w:rPr>
              <w:t>区农业农村委</w:t>
            </w:r>
          </w:p>
        </w:tc>
        <w:tc>
          <w:tcPr>
            <w:tcW w:w="2205" w:type="dxa"/>
            <w:vAlign w:val="center"/>
          </w:tcPr>
          <w:p>
            <w:pPr>
              <w:spacing w:line="360" w:lineRule="exact"/>
              <w:jc w:val="center"/>
              <w:rPr>
                <w:rFonts w:eastAsia="方正仿宋_GBK"/>
                <w:sz w:val="24"/>
                <w:szCs w:val="24"/>
              </w:rPr>
            </w:pPr>
            <w:r>
              <w:rPr>
                <w:rFonts w:hint="eastAsia" w:eastAsia="方正仿宋_GBK"/>
                <w:sz w:val="24"/>
                <w:szCs w:val="24"/>
              </w:rPr>
              <w:t>有关镇街</w:t>
            </w:r>
          </w:p>
        </w:tc>
        <w:tc>
          <w:tcPr>
            <w:tcW w:w="1350" w:type="dxa"/>
            <w:vAlign w:val="center"/>
          </w:tcPr>
          <w:p>
            <w:pPr>
              <w:pStyle w:val="6"/>
              <w:spacing w:line="360" w:lineRule="exact"/>
              <w:ind w:firstLine="0" w:firstLineChars="0"/>
              <w:jc w:val="center"/>
              <w:rPr>
                <w:rFonts w:ascii="Times New Roman" w:hAnsi="Times New Roman"/>
                <w:sz w:val="24"/>
                <w:szCs w:val="24"/>
              </w:rPr>
            </w:pPr>
            <w:r>
              <w:rPr>
                <w:rFonts w:ascii="Times New Roman" w:hAnsi="Times New Roman"/>
                <w:sz w:val="24"/>
                <w:szCs w:val="24"/>
              </w:rPr>
              <w:t>2025</w:t>
            </w:r>
            <w:r>
              <w:rPr>
                <w:rFonts w:hint="eastAsia" w:ascii="Times New Roman" w:hAnsi="Times New Roman"/>
                <w:sz w:val="24"/>
                <w:szCs w:val="24"/>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jc w:val="center"/>
        </w:trPr>
        <w:tc>
          <w:tcPr>
            <w:tcW w:w="1094" w:type="dxa"/>
            <w:vMerge w:val="continue"/>
            <w:vAlign w:val="center"/>
          </w:tcPr>
          <w:p>
            <w:pPr>
              <w:pStyle w:val="6"/>
              <w:spacing w:line="360" w:lineRule="exact"/>
              <w:ind w:firstLine="0" w:firstLineChars="0"/>
              <w:jc w:val="center"/>
              <w:rPr>
                <w:rFonts w:ascii="Times New Roman" w:hAnsi="Times New Roman"/>
                <w:sz w:val="24"/>
                <w:szCs w:val="24"/>
              </w:rPr>
            </w:pPr>
          </w:p>
        </w:tc>
        <w:tc>
          <w:tcPr>
            <w:tcW w:w="1840" w:type="dxa"/>
            <w:vMerge w:val="continue"/>
            <w:vAlign w:val="center"/>
          </w:tcPr>
          <w:p>
            <w:pPr>
              <w:pStyle w:val="6"/>
              <w:spacing w:line="360" w:lineRule="exact"/>
              <w:ind w:firstLine="0" w:firstLineChars="0"/>
              <w:jc w:val="center"/>
              <w:rPr>
                <w:rFonts w:ascii="Times New Roman" w:hAnsi="Times New Roman"/>
                <w:sz w:val="24"/>
                <w:szCs w:val="24"/>
              </w:rPr>
            </w:pPr>
          </w:p>
        </w:tc>
        <w:tc>
          <w:tcPr>
            <w:tcW w:w="5243" w:type="dxa"/>
            <w:vAlign w:val="center"/>
          </w:tcPr>
          <w:p>
            <w:pPr>
              <w:pStyle w:val="6"/>
              <w:spacing w:line="360" w:lineRule="exact"/>
              <w:ind w:firstLine="0" w:firstLineChars="0"/>
              <w:jc w:val="both"/>
              <w:rPr>
                <w:rFonts w:ascii="Times New Roman" w:hAnsi="Times New Roman"/>
                <w:sz w:val="24"/>
                <w:szCs w:val="24"/>
              </w:rPr>
            </w:pPr>
            <w:r>
              <w:rPr>
                <w:rFonts w:ascii="Times New Roman" w:hAnsi="Times New Roman"/>
                <w:sz w:val="24"/>
                <w:szCs w:val="24"/>
              </w:rPr>
              <w:t>2.</w:t>
            </w:r>
            <w:r>
              <w:rPr>
                <w:rFonts w:hint="eastAsia" w:ascii="Times New Roman" w:hAnsi="Times New Roman"/>
                <w:sz w:val="24"/>
                <w:szCs w:val="24"/>
              </w:rPr>
              <w:t>加强新品种新技术示范推广。与西南大学、重庆市农科院、南昌大学等合作打造新技术、新品种示范基地</w:t>
            </w:r>
            <w:r>
              <w:rPr>
                <w:rFonts w:ascii="Times New Roman" w:hAnsi="Times New Roman"/>
                <w:sz w:val="24"/>
                <w:szCs w:val="24"/>
              </w:rPr>
              <w:t>3</w:t>
            </w:r>
            <w:r>
              <w:rPr>
                <w:rFonts w:hint="eastAsia" w:ascii="Times New Roman" w:hAnsi="Times New Roman"/>
                <w:sz w:val="24"/>
                <w:szCs w:val="24"/>
              </w:rPr>
              <w:t>个、每个</w:t>
            </w:r>
            <w:r>
              <w:rPr>
                <w:rFonts w:ascii="Times New Roman" w:hAnsi="Times New Roman"/>
                <w:sz w:val="24"/>
                <w:szCs w:val="24"/>
              </w:rPr>
              <w:t>500</w:t>
            </w:r>
            <w:r>
              <w:rPr>
                <w:rFonts w:hint="eastAsia" w:ascii="Times New Roman" w:hAnsi="Times New Roman"/>
                <w:sz w:val="24"/>
                <w:szCs w:val="24"/>
              </w:rPr>
              <w:t>亩以上。</w:t>
            </w:r>
          </w:p>
        </w:tc>
        <w:tc>
          <w:tcPr>
            <w:tcW w:w="1870" w:type="dxa"/>
            <w:vMerge w:val="continue"/>
            <w:vAlign w:val="center"/>
          </w:tcPr>
          <w:p>
            <w:pPr>
              <w:pStyle w:val="6"/>
              <w:spacing w:line="360" w:lineRule="exact"/>
              <w:ind w:firstLine="0" w:firstLineChars="0"/>
              <w:jc w:val="center"/>
              <w:rPr>
                <w:rFonts w:ascii="Times New Roman" w:hAnsi="Times New Roman"/>
                <w:sz w:val="24"/>
                <w:szCs w:val="24"/>
              </w:rPr>
            </w:pPr>
          </w:p>
        </w:tc>
        <w:tc>
          <w:tcPr>
            <w:tcW w:w="2205" w:type="dxa"/>
            <w:vAlign w:val="center"/>
          </w:tcPr>
          <w:p>
            <w:pPr>
              <w:pStyle w:val="6"/>
              <w:spacing w:line="360" w:lineRule="exact"/>
              <w:ind w:firstLine="0" w:firstLineChars="0"/>
              <w:jc w:val="center"/>
              <w:rPr>
                <w:rFonts w:ascii="Times New Roman" w:hAnsi="Times New Roman"/>
                <w:sz w:val="24"/>
                <w:szCs w:val="24"/>
              </w:rPr>
            </w:pPr>
            <w:r>
              <w:rPr>
                <w:rFonts w:hint="eastAsia" w:ascii="Times New Roman" w:hAnsi="Times New Roman"/>
                <w:sz w:val="24"/>
                <w:szCs w:val="24"/>
              </w:rPr>
              <w:t>区农投集团</w:t>
            </w:r>
          </w:p>
          <w:p>
            <w:pPr>
              <w:spacing w:line="360" w:lineRule="exact"/>
              <w:jc w:val="center"/>
              <w:rPr>
                <w:rFonts w:eastAsia="方正仿宋_GBK"/>
                <w:sz w:val="24"/>
                <w:szCs w:val="24"/>
              </w:rPr>
            </w:pPr>
            <w:r>
              <w:rPr>
                <w:rFonts w:hint="eastAsia" w:eastAsia="方正仿宋_GBK"/>
                <w:sz w:val="24"/>
                <w:szCs w:val="24"/>
              </w:rPr>
              <w:t>有关镇街</w:t>
            </w:r>
          </w:p>
        </w:tc>
        <w:tc>
          <w:tcPr>
            <w:tcW w:w="1350" w:type="dxa"/>
            <w:vAlign w:val="center"/>
          </w:tcPr>
          <w:p>
            <w:pPr>
              <w:pStyle w:val="6"/>
              <w:spacing w:line="360" w:lineRule="exact"/>
              <w:ind w:firstLine="0" w:firstLineChars="0"/>
              <w:jc w:val="center"/>
              <w:rPr>
                <w:rFonts w:ascii="Times New Roman" w:hAnsi="Times New Roman"/>
                <w:sz w:val="24"/>
                <w:szCs w:val="24"/>
              </w:rPr>
            </w:pPr>
            <w:r>
              <w:rPr>
                <w:rFonts w:ascii="Times New Roman" w:hAnsi="Times New Roman"/>
                <w:sz w:val="24"/>
                <w:szCs w:val="24"/>
              </w:rPr>
              <w:t>2022</w:t>
            </w:r>
            <w:r>
              <w:rPr>
                <w:rFonts w:hint="eastAsia" w:ascii="Times New Roman" w:hAnsi="Times New Roman"/>
                <w:sz w:val="24"/>
                <w:szCs w:val="24"/>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jc w:val="center"/>
        </w:trPr>
        <w:tc>
          <w:tcPr>
            <w:tcW w:w="1094" w:type="dxa"/>
            <w:vMerge w:val="continue"/>
            <w:vAlign w:val="center"/>
          </w:tcPr>
          <w:p>
            <w:pPr>
              <w:pStyle w:val="6"/>
              <w:spacing w:line="360" w:lineRule="exact"/>
              <w:ind w:firstLine="0" w:firstLineChars="0"/>
              <w:jc w:val="center"/>
              <w:rPr>
                <w:rFonts w:ascii="Times New Roman" w:hAnsi="Times New Roman"/>
                <w:sz w:val="24"/>
                <w:szCs w:val="24"/>
              </w:rPr>
            </w:pPr>
          </w:p>
        </w:tc>
        <w:tc>
          <w:tcPr>
            <w:tcW w:w="1840" w:type="dxa"/>
            <w:vMerge w:val="continue"/>
            <w:vAlign w:val="center"/>
          </w:tcPr>
          <w:p>
            <w:pPr>
              <w:pStyle w:val="6"/>
              <w:spacing w:line="360" w:lineRule="exact"/>
              <w:ind w:firstLine="0" w:firstLineChars="0"/>
              <w:jc w:val="center"/>
              <w:rPr>
                <w:rFonts w:ascii="Times New Roman" w:hAnsi="Times New Roman"/>
                <w:sz w:val="24"/>
                <w:szCs w:val="24"/>
              </w:rPr>
            </w:pPr>
          </w:p>
        </w:tc>
        <w:tc>
          <w:tcPr>
            <w:tcW w:w="5243" w:type="dxa"/>
            <w:vAlign w:val="center"/>
          </w:tcPr>
          <w:p>
            <w:pPr>
              <w:pStyle w:val="6"/>
              <w:spacing w:line="360" w:lineRule="exact"/>
              <w:ind w:firstLine="0" w:firstLineChars="0"/>
              <w:jc w:val="both"/>
              <w:rPr>
                <w:rFonts w:ascii="Times New Roman" w:hAnsi="Times New Roman"/>
                <w:sz w:val="24"/>
                <w:szCs w:val="24"/>
              </w:rPr>
            </w:pPr>
            <w:r>
              <w:rPr>
                <w:rFonts w:ascii="Times New Roman" w:hAnsi="Times New Roman"/>
                <w:sz w:val="24"/>
                <w:szCs w:val="24"/>
              </w:rPr>
              <w:t>3.</w:t>
            </w:r>
            <w:r>
              <w:rPr>
                <w:rFonts w:hint="eastAsia" w:ascii="Times New Roman" w:hAnsi="Times New Roman"/>
                <w:sz w:val="24"/>
                <w:szCs w:val="24"/>
              </w:rPr>
              <w:t>打造出口备案基地。在崇龛、柏梓、塘坝、小渡、太安、双江、古溪、龙形等镇建成高标准柠檬出口备案基地</w:t>
            </w:r>
            <w:r>
              <w:rPr>
                <w:rFonts w:ascii="Times New Roman" w:hAnsi="Times New Roman"/>
                <w:sz w:val="24"/>
                <w:szCs w:val="24"/>
              </w:rPr>
              <w:t>5</w:t>
            </w:r>
            <w:r>
              <w:rPr>
                <w:rFonts w:hint="eastAsia" w:ascii="Times New Roman" w:hAnsi="Times New Roman"/>
                <w:sz w:val="24"/>
                <w:szCs w:val="24"/>
              </w:rPr>
              <w:t>万亩，打造国家外贸转型升级基地（柠檬）示范基地。</w:t>
            </w:r>
          </w:p>
        </w:tc>
        <w:tc>
          <w:tcPr>
            <w:tcW w:w="1870" w:type="dxa"/>
            <w:vAlign w:val="center"/>
          </w:tcPr>
          <w:p>
            <w:pPr>
              <w:pStyle w:val="6"/>
              <w:spacing w:line="360" w:lineRule="exact"/>
              <w:ind w:firstLine="0" w:firstLineChars="0"/>
              <w:jc w:val="center"/>
              <w:rPr>
                <w:rFonts w:ascii="Times New Roman" w:hAnsi="Times New Roman"/>
                <w:sz w:val="24"/>
                <w:szCs w:val="24"/>
              </w:rPr>
            </w:pPr>
            <w:r>
              <w:rPr>
                <w:rFonts w:hint="eastAsia" w:ascii="Times New Roman" w:hAnsi="Times New Roman"/>
                <w:sz w:val="24"/>
                <w:szCs w:val="24"/>
              </w:rPr>
              <w:t>区商务委</w:t>
            </w:r>
          </w:p>
        </w:tc>
        <w:tc>
          <w:tcPr>
            <w:tcW w:w="2205" w:type="dxa"/>
            <w:vAlign w:val="center"/>
          </w:tcPr>
          <w:p>
            <w:pPr>
              <w:pStyle w:val="6"/>
              <w:spacing w:line="360" w:lineRule="exact"/>
              <w:ind w:firstLine="0" w:firstLineChars="0"/>
              <w:jc w:val="center"/>
              <w:rPr>
                <w:rFonts w:ascii="Times New Roman" w:hAnsi="Times New Roman"/>
                <w:sz w:val="24"/>
                <w:szCs w:val="24"/>
              </w:rPr>
            </w:pPr>
            <w:r>
              <w:rPr>
                <w:rFonts w:hint="eastAsia" w:ascii="Times New Roman" w:hAnsi="Times New Roman"/>
                <w:spacing w:val="-23"/>
                <w:sz w:val="24"/>
                <w:szCs w:val="24"/>
              </w:rPr>
              <w:t>区农业农村委</w:t>
            </w:r>
          </w:p>
        </w:tc>
        <w:tc>
          <w:tcPr>
            <w:tcW w:w="1350" w:type="dxa"/>
            <w:vAlign w:val="center"/>
          </w:tcPr>
          <w:p>
            <w:pPr>
              <w:pStyle w:val="6"/>
              <w:spacing w:line="360" w:lineRule="exact"/>
              <w:ind w:firstLine="0" w:firstLineChars="0"/>
              <w:jc w:val="center"/>
              <w:rPr>
                <w:rFonts w:ascii="Times New Roman" w:hAnsi="Times New Roman"/>
                <w:sz w:val="24"/>
                <w:szCs w:val="24"/>
              </w:rPr>
            </w:pPr>
            <w:r>
              <w:rPr>
                <w:rFonts w:ascii="Times New Roman" w:hAnsi="Times New Roman"/>
                <w:sz w:val="24"/>
                <w:szCs w:val="24"/>
              </w:rPr>
              <w:t>2025</w:t>
            </w:r>
            <w:r>
              <w:rPr>
                <w:rFonts w:hint="eastAsia" w:ascii="Times New Roman" w:hAnsi="Times New Roman"/>
                <w:sz w:val="24"/>
                <w:szCs w:val="24"/>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4" w:hRule="atLeast"/>
          <w:jc w:val="center"/>
        </w:trPr>
        <w:tc>
          <w:tcPr>
            <w:tcW w:w="1094" w:type="dxa"/>
            <w:vAlign w:val="center"/>
          </w:tcPr>
          <w:p>
            <w:pPr>
              <w:pStyle w:val="6"/>
              <w:spacing w:line="360" w:lineRule="exact"/>
              <w:ind w:firstLine="0" w:firstLineChars="0"/>
              <w:jc w:val="center"/>
              <w:rPr>
                <w:rFonts w:ascii="Times New Roman" w:hAnsi="Times New Roman"/>
                <w:sz w:val="24"/>
                <w:szCs w:val="24"/>
              </w:rPr>
            </w:pPr>
            <w:r>
              <w:rPr>
                <w:rFonts w:ascii="Times New Roman" w:hAnsi="Times New Roman"/>
                <w:sz w:val="24"/>
                <w:szCs w:val="24"/>
              </w:rPr>
              <w:t>2</w:t>
            </w:r>
          </w:p>
        </w:tc>
        <w:tc>
          <w:tcPr>
            <w:tcW w:w="1840" w:type="dxa"/>
            <w:vAlign w:val="center"/>
          </w:tcPr>
          <w:p>
            <w:pPr>
              <w:pStyle w:val="6"/>
              <w:spacing w:line="360" w:lineRule="exact"/>
              <w:ind w:firstLine="0" w:firstLineChars="0"/>
              <w:jc w:val="center"/>
              <w:rPr>
                <w:rFonts w:ascii="Times New Roman" w:hAnsi="Times New Roman"/>
                <w:sz w:val="24"/>
                <w:szCs w:val="24"/>
              </w:rPr>
            </w:pPr>
            <w:r>
              <w:rPr>
                <w:rFonts w:hint="eastAsia" w:ascii="Times New Roman" w:hAnsi="Times New Roman"/>
                <w:sz w:val="24"/>
                <w:szCs w:val="24"/>
              </w:rPr>
              <w:t>实施“潼南柠檬”品牌培育行动计划</w:t>
            </w:r>
          </w:p>
        </w:tc>
        <w:tc>
          <w:tcPr>
            <w:tcW w:w="5243" w:type="dxa"/>
            <w:vAlign w:val="center"/>
          </w:tcPr>
          <w:p>
            <w:pPr>
              <w:pStyle w:val="6"/>
              <w:spacing w:line="360" w:lineRule="exact"/>
              <w:ind w:firstLine="0" w:firstLineChars="0"/>
              <w:jc w:val="both"/>
              <w:rPr>
                <w:rFonts w:ascii="Times New Roman" w:hAnsi="Times New Roman"/>
                <w:sz w:val="24"/>
                <w:szCs w:val="24"/>
              </w:rPr>
            </w:pPr>
            <w:r>
              <w:rPr>
                <w:rFonts w:ascii="Times New Roman" w:hAnsi="Times New Roman"/>
                <w:sz w:val="24"/>
                <w:szCs w:val="24"/>
              </w:rPr>
              <w:t>1.</w:t>
            </w:r>
            <w:r>
              <w:rPr>
                <w:rFonts w:hint="eastAsia" w:ascii="Times New Roman" w:hAnsi="Times New Roman"/>
                <w:sz w:val="24"/>
                <w:szCs w:val="24"/>
              </w:rPr>
              <w:t>塑造核心品牌。申报创建“潼南柠檬”地理标志产品。加强“潼南柠檬”品牌资源整合、授权管理，大力推广使用“潼南柠檬”区域品牌，增强品牌竞争力和影响力。</w:t>
            </w:r>
          </w:p>
        </w:tc>
        <w:tc>
          <w:tcPr>
            <w:tcW w:w="1870" w:type="dxa"/>
            <w:vAlign w:val="center"/>
          </w:tcPr>
          <w:p>
            <w:pPr>
              <w:pStyle w:val="6"/>
              <w:spacing w:line="360" w:lineRule="exact"/>
              <w:ind w:firstLine="0" w:firstLineChars="0"/>
              <w:jc w:val="center"/>
              <w:rPr>
                <w:rFonts w:ascii="Times New Roman" w:hAnsi="Times New Roman"/>
                <w:spacing w:val="-20"/>
                <w:sz w:val="24"/>
                <w:szCs w:val="24"/>
              </w:rPr>
            </w:pPr>
            <w:r>
              <w:rPr>
                <w:rFonts w:hint="eastAsia" w:ascii="Times New Roman" w:hAnsi="Times New Roman"/>
                <w:sz w:val="24"/>
                <w:szCs w:val="24"/>
              </w:rPr>
              <w:t>区农业农村委</w:t>
            </w:r>
          </w:p>
        </w:tc>
        <w:tc>
          <w:tcPr>
            <w:tcW w:w="2205" w:type="dxa"/>
            <w:vAlign w:val="center"/>
          </w:tcPr>
          <w:p>
            <w:pPr>
              <w:pStyle w:val="6"/>
              <w:spacing w:line="360" w:lineRule="exact"/>
              <w:ind w:firstLine="0" w:firstLineChars="0"/>
              <w:jc w:val="center"/>
              <w:rPr>
                <w:rFonts w:ascii="Times New Roman" w:hAnsi="Times New Roman"/>
                <w:sz w:val="24"/>
                <w:szCs w:val="24"/>
              </w:rPr>
            </w:pPr>
            <w:r>
              <w:rPr>
                <w:rFonts w:hint="eastAsia" w:ascii="Times New Roman" w:hAnsi="Times New Roman"/>
                <w:sz w:val="24"/>
                <w:szCs w:val="24"/>
              </w:rPr>
              <w:t>潼南市场监管局</w:t>
            </w:r>
          </w:p>
          <w:p>
            <w:pPr>
              <w:pStyle w:val="6"/>
              <w:spacing w:line="360" w:lineRule="exact"/>
              <w:ind w:firstLine="0" w:firstLineChars="0"/>
              <w:jc w:val="center"/>
              <w:rPr>
                <w:rFonts w:ascii="Times New Roman" w:hAnsi="Times New Roman"/>
                <w:spacing w:val="-40"/>
                <w:sz w:val="24"/>
                <w:szCs w:val="24"/>
              </w:rPr>
            </w:pPr>
            <w:r>
              <w:rPr>
                <w:rFonts w:hint="eastAsia" w:ascii="Times New Roman" w:hAnsi="Times New Roman"/>
                <w:sz w:val="24"/>
                <w:szCs w:val="24"/>
              </w:rPr>
              <w:t>区农投集团</w:t>
            </w:r>
          </w:p>
        </w:tc>
        <w:tc>
          <w:tcPr>
            <w:tcW w:w="1350" w:type="dxa"/>
            <w:vAlign w:val="center"/>
          </w:tcPr>
          <w:p>
            <w:pPr>
              <w:pStyle w:val="6"/>
              <w:spacing w:line="360" w:lineRule="exact"/>
              <w:ind w:firstLine="0" w:firstLineChars="0"/>
              <w:jc w:val="center"/>
              <w:rPr>
                <w:rFonts w:ascii="Times New Roman" w:hAnsi="Times New Roman"/>
                <w:sz w:val="24"/>
                <w:szCs w:val="24"/>
              </w:rPr>
            </w:pPr>
            <w:r>
              <w:rPr>
                <w:rFonts w:ascii="Times New Roman" w:hAnsi="Times New Roman"/>
                <w:sz w:val="24"/>
                <w:szCs w:val="24"/>
              </w:rPr>
              <w:t>2025</w:t>
            </w:r>
            <w:r>
              <w:rPr>
                <w:rFonts w:hint="eastAsia" w:ascii="Times New Roman" w:hAnsi="Times New Roman"/>
                <w:sz w:val="24"/>
                <w:szCs w:val="24"/>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jc w:val="center"/>
        </w:trPr>
        <w:tc>
          <w:tcPr>
            <w:tcW w:w="1094" w:type="dxa"/>
            <w:vMerge w:val="restart"/>
            <w:vAlign w:val="center"/>
          </w:tcPr>
          <w:p>
            <w:pPr>
              <w:pStyle w:val="6"/>
              <w:spacing w:line="360" w:lineRule="exact"/>
              <w:ind w:firstLine="0" w:firstLineChars="0"/>
              <w:jc w:val="center"/>
              <w:rPr>
                <w:rFonts w:ascii="Times New Roman" w:hAnsi="Times New Roman"/>
                <w:sz w:val="24"/>
                <w:szCs w:val="24"/>
              </w:rPr>
            </w:pPr>
            <w:r>
              <w:rPr>
                <w:rFonts w:ascii="Times New Roman" w:hAnsi="Times New Roman"/>
                <w:sz w:val="24"/>
                <w:szCs w:val="24"/>
              </w:rPr>
              <w:t>2</w:t>
            </w:r>
          </w:p>
        </w:tc>
        <w:tc>
          <w:tcPr>
            <w:tcW w:w="1840" w:type="dxa"/>
            <w:vMerge w:val="restart"/>
            <w:vAlign w:val="center"/>
          </w:tcPr>
          <w:p>
            <w:pPr>
              <w:pStyle w:val="6"/>
              <w:spacing w:line="360" w:lineRule="exact"/>
              <w:ind w:firstLine="0" w:firstLineChars="0"/>
              <w:jc w:val="center"/>
              <w:rPr>
                <w:rFonts w:ascii="Times New Roman" w:hAnsi="Times New Roman"/>
                <w:sz w:val="24"/>
                <w:szCs w:val="24"/>
              </w:rPr>
            </w:pPr>
            <w:r>
              <w:rPr>
                <w:rFonts w:hint="eastAsia" w:ascii="Times New Roman" w:hAnsi="Times New Roman"/>
                <w:sz w:val="24"/>
                <w:szCs w:val="24"/>
              </w:rPr>
              <w:t>实施“潼南柠檬”品牌培育行动计划</w:t>
            </w:r>
          </w:p>
        </w:tc>
        <w:tc>
          <w:tcPr>
            <w:tcW w:w="5243" w:type="dxa"/>
            <w:vAlign w:val="center"/>
          </w:tcPr>
          <w:p>
            <w:pPr>
              <w:pStyle w:val="6"/>
              <w:spacing w:line="360" w:lineRule="exact"/>
              <w:ind w:firstLine="0" w:firstLineChars="0"/>
              <w:jc w:val="both"/>
              <w:rPr>
                <w:rFonts w:ascii="Times New Roman" w:hAnsi="Times New Roman"/>
                <w:sz w:val="24"/>
                <w:szCs w:val="24"/>
              </w:rPr>
            </w:pPr>
            <w:r>
              <w:rPr>
                <w:rFonts w:ascii="Times New Roman" w:hAnsi="Times New Roman"/>
                <w:sz w:val="24"/>
                <w:szCs w:val="24"/>
              </w:rPr>
              <w:t>2.</w:t>
            </w:r>
            <w:r>
              <w:rPr>
                <w:rFonts w:hint="eastAsia" w:ascii="Times New Roman" w:hAnsi="Times New Roman"/>
                <w:sz w:val="24"/>
                <w:szCs w:val="24"/>
              </w:rPr>
              <w:t>培育产品品牌。鼓励支持企业打造企业品牌、产品品牌，力争“名特优”加工产品品牌</w:t>
            </w:r>
            <w:r>
              <w:rPr>
                <w:rFonts w:ascii="Times New Roman" w:hAnsi="Times New Roman"/>
                <w:sz w:val="24"/>
                <w:szCs w:val="24"/>
              </w:rPr>
              <w:t>10</w:t>
            </w:r>
            <w:r>
              <w:rPr>
                <w:rFonts w:hint="eastAsia" w:ascii="Times New Roman" w:hAnsi="Times New Roman"/>
                <w:sz w:val="24"/>
                <w:szCs w:val="24"/>
              </w:rPr>
              <w:t>个以上。</w:t>
            </w:r>
          </w:p>
        </w:tc>
        <w:tc>
          <w:tcPr>
            <w:tcW w:w="1870" w:type="dxa"/>
            <w:vAlign w:val="center"/>
          </w:tcPr>
          <w:p>
            <w:pPr>
              <w:pStyle w:val="6"/>
              <w:spacing w:line="360" w:lineRule="exact"/>
              <w:ind w:firstLine="0" w:firstLineChars="0"/>
              <w:jc w:val="center"/>
              <w:rPr>
                <w:rFonts w:ascii="Times New Roman" w:hAnsi="Times New Roman"/>
                <w:sz w:val="24"/>
                <w:szCs w:val="24"/>
              </w:rPr>
            </w:pPr>
            <w:r>
              <w:rPr>
                <w:rFonts w:hint="eastAsia" w:ascii="Times New Roman" w:hAnsi="Times New Roman"/>
                <w:sz w:val="24"/>
                <w:szCs w:val="24"/>
              </w:rPr>
              <w:t>区农业农村委</w:t>
            </w:r>
          </w:p>
        </w:tc>
        <w:tc>
          <w:tcPr>
            <w:tcW w:w="2205" w:type="dxa"/>
            <w:vAlign w:val="center"/>
          </w:tcPr>
          <w:p>
            <w:pPr>
              <w:pStyle w:val="6"/>
              <w:spacing w:line="360" w:lineRule="exact"/>
              <w:ind w:firstLine="0" w:firstLineChars="0"/>
              <w:jc w:val="center"/>
              <w:rPr>
                <w:rFonts w:ascii="Times New Roman" w:hAnsi="Times New Roman"/>
                <w:sz w:val="24"/>
                <w:szCs w:val="24"/>
              </w:rPr>
            </w:pPr>
            <w:r>
              <w:rPr>
                <w:rFonts w:hint="eastAsia" w:ascii="Times New Roman" w:hAnsi="Times New Roman"/>
                <w:sz w:val="24"/>
                <w:szCs w:val="24"/>
              </w:rPr>
              <w:t>区农投集团</w:t>
            </w:r>
          </w:p>
        </w:tc>
        <w:tc>
          <w:tcPr>
            <w:tcW w:w="1350" w:type="dxa"/>
            <w:vAlign w:val="center"/>
          </w:tcPr>
          <w:p>
            <w:pPr>
              <w:pStyle w:val="6"/>
              <w:spacing w:line="360" w:lineRule="exact"/>
              <w:ind w:firstLine="0" w:firstLineChars="0"/>
              <w:jc w:val="center"/>
              <w:rPr>
                <w:rFonts w:ascii="Times New Roman" w:hAnsi="Times New Roman"/>
                <w:sz w:val="24"/>
                <w:szCs w:val="24"/>
              </w:rPr>
            </w:pPr>
            <w:r>
              <w:rPr>
                <w:rFonts w:ascii="Times New Roman" w:hAnsi="Times New Roman"/>
                <w:sz w:val="24"/>
                <w:szCs w:val="24"/>
              </w:rPr>
              <w:t>2025</w:t>
            </w:r>
            <w:r>
              <w:rPr>
                <w:rFonts w:hint="eastAsia" w:ascii="Times New Roman" w:hAnsi="Times New Roman"/>
                <w:sz w:val="24"/>
                <w:szCs w:val="24"/>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0" w:hRule="atLeast"/>
          <w:jc w:val="center"/>
        </w:trPr>
        <w:tc>
          <w:tcPr>
            <w:tcW w:w="1094" w:type="dxa"/>
            <w:vMerge w:val="continue"/>
            <w:vAlign w:val="center"/>
          </w:tcPr>
          <w:p>
            <w:pPr>
              <w:pStyle w:val="6"/>
              <w:spacing w:line="360" w:lineRule="exact"/>
              <w:ind w:firstLine="0" w:firstLineChars="0"/>
              <w:jc w:val="center"/>
              <w:rPr>
                <w:rFonts w:ascii="Times New Roman" w:hAnsi="Times New Roman"/>
                <w:sz w:val="24"/>
                <w:szCs w:val="24"/>
              </w:rPr>
            </w:pPr>
          </w:p>
        </w:tc>
        <w:tc>
          <w:tcPr>
            <w:tcW w:w="1840" w:type="dxa"/>
            <w:vMerge w:val="continue"/>
            <w:vAlign w:val="center"/>
          </w:tcPr>
          <w:p>
            <w:pPr>
              <w:pStyle w:val="6"/>
              <w:spacing w:line="360" w:lineRule="exact"/>
              <w:ind w:firstLine="0" w:firstLineChars="0"/>
              <w:jc w:val="center"/>
              <w:rPr>
                <w:rFonts w:ascii="Times New Roman" w:hAnsi="Times New Roman"/>
                <w:sz w:val="24"/>
                <w:szCs w:val="24"/>
              </w:rPr>
            </w:pPr>
          </w:p>
        </w:tc>
        <w:tc>
          <w:tcPr>
            <w:tcW w:w="5243" w:type="dxa"/>
            <w:vAlign w:val="center"/>
          </w:tcPr>
          <w:p>
            <w:pPr>
              <w:pStyle w:val="6"/>
              <w:spacing w:line="360" w:lineRule="exact"/>
              <w:ind w:firstLine="0" w:firstLineChars="0"/>
              <w:jc w:val="both"/>
              <w:rPr>
                <w:rFonts w:ascii="Times New Roman" w:hAnsi="Times New Roman"/>
                <w:sz w:val="24"/>
                <w:szCs w:val="24"/>
              </w:rPr>
            </w:pPr>
            <w:r>
              <w:rPr>
                <w:rFonts w:ascii="Times New Roman" w:hAnsi="Times New Roman"/>
                <w:sz w:val="24"/>
                <w:szCs w:val="24"/>
              </w:rPr>
              <w:t>3.</w:t>
            </w:r>
            <w:r>
              <w:rPr>
                <w:rFonts w:hint="eastAsia" w:ascii="Times New Roman" w:hAnsi="Times New Roman"/>
                <w:sz w:val="24"/>
                <w:szCs w:val="24"/>
              </w:rPr>
              <w:t>拓展市场渠道。支持搭建对外出口直通平台，每年组织柠檬企业参加国际国内展会。</w:t>
            </w:r>
          </w:p>
        </w:tc>
        <w:tc>
          <w:tcPr>
            <w:tcW w:w="1870" w:type="dxa"/>
            <w:vAlign w:val="center"/>
          </w:tcPr>
          <w:p>
            <w:pPr>
              <w:pStyle w:val="6"/>
              <w:spacing w:line="360" w:lineRule="exact"/>
              <w:ind w:firstLine="0" w:firstLineChars="0"/>
              <w:jc w:val="center"/>
              <w:rPr>
                <w:rFonts w:ascii="Times New Roman" w:hAnsi="Times New Roman"/>
                <w:sz w:val="24"/>
                <w:szCs w:val="24"/>
              </w:rPr>
            </w:pPr>
            <w:r>
              <w:rPr>
                <w:rFonts w:hint="eastAsia" w:ascii="Times New Roman" w:hAnsi="Times New Roman"/>
                <w:sz w:val="24"/>
                <w:szCs w:val="24"/>
              </w:rPr>
              <w:t>区商务委</w:t>
            </w:r>
          </w:p>
        </w:tc>
        <w:tc>
          <w:tcPr>
            <w:tcW w:w="2205" w:type="dxa"/>
            <w:vAlign w:val="center"/>
          </w:tcPr>
          <w:p>
            <w:pPr>
              <w:pStyle w:val="6"/>
              <w:spacing w:line="360" w:lineRule="exact"/>
              <w:ind w:firstLine="0" w:firstLineChars="0"/>
              <w:jc w:val="center"/>
              <w:rPr>
                <w:rFonts w:ascii="Times New Roman" w:hAnsi="Times New Roman"/>
                <w:sz w:val="24"/>
                <w:szCs w:val="24"/>
              </w:rPr>
            </w:pPr>
            <w:r>
              <w:rPr>
                <w:rFonts w:hint="eastAsia" w:ascii="Times New Roman" w:hAnsi="Times New Roman"/>
                <w:sz w:val="24"/>
                <w:szCs w:val="24"/>
              </w:rPr>
              <w:t>区农业农村委</w:t>
            </w:r>
          </w:p>
          <w:p>
            <w:pPr>
              <w:pStyle w:val="6"/>
              <w:spacing w:line="360" w:lineRule="exact"/>
              <w:ind w:firstLine="0" w:firstLineChars="0"/>
              <w:jc w:val="center"/>
              <w:rPr>
                <w:rFonts w:ascii="Times New Roman" w:hAnsi="Times New Roman"/>
                <w:sz w:val="24"/>
                <w:szCs w:val="24"/>
              </w:rPr>
            </w:pPr>
            <w:r>
              <w:rPr>
                <w:rFonts w:hint="eastAsia" w:ascii="Times New Roman" w:hAnsi="Times New Roman"/>
                <w:sz w:val="24"/>
                <w:szCs w:val="24"/>
              </w:rPr>
              <w:t>区农投集团</w:t>
            </w:r>
          </w:p>
        </w:tc>
        <w:tc>
          <w:tcPr>
            <w:tcW w:w="1350" w:type="dxa"/>
            <w:vAlign w:val="center"/>
          </w:tcPr>
          <w:p>
            <w:pPr>
              <w:pStyle w:val="6"/>
              <w:spacing w:line="360" w:lineRule="exact"/>
              <w:ind w:firstLine="0" w:firstLineChars="0"/>
              <w:jc w:val="center"/>
              <w:rPr>
                <w:rFonts w:ascii="Times New Roman" w:hAnsi="Times New Roman"/>
                <w:sz w:val="24"/>
                <w:szCs w:val="24"/>
              </w:rPr>
            </w:pPr>
            <w:r>
              <w:rPr>
                <w:rFonts w:ascii="Times New Roman" w:hAnsi="Times New Roman"/>
                <w:sz w:val="24"/>
                <w:szCs w:val="24"/>
              </w:rPr>
              <w:t>2025</w:t>
            </w:r>
            <w:r>
              <w:rPr>
                <w:rFonts w:hint="eastAsia" w:ascii="Times New Roman" w:hAnsi="Times New Roman"/>
                <w:sz w:val="24"/>
                <w:szCs w:val="24"/>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7" w:hRule="atLeast"/>
          <w:jc w:val="center"/>
        </w:trPr>
        <w:tc>
          <w:tcPr>
            <w:tcW w:w="1094" w:type="dxa"/>
            <w:vMerge w:val="restart"/>
            <w:vAlign w:val="center"/>
          </w:tcPr>
          <w:p>
            <w:pPr>
              <w:pStyle w:val="6"/>
              <w:spacing w:line="360" w:lineRule="exact"/>
              <w:ind w:firstLine="0" w:firstLineChars="0"/>
              <w:jc w:val="center"/>
              <w:rPr>
                <w:rFonts w:ascii="Times New Roman" w:hAnsi="Times New Roman"/>
                <w:sz w:val="24"/>
                <w:szCs w:val="24"/>
              </w:rPr>
            </w:pPr>
            <w:r>
              <w:rPr>
                <w:rFonts w:ascii="Times New Roman" w:hAnsi="Times New Roman"/>
                <w:sz w:val="24"/>
                <w:szCs w:val="24"/>
              </w:rPr>
              <w:t>3</w:t>
            </w:r>
          </w:p>
        </w:tc>
        <w:tc>
          <w:tcPr>
            <w:tcW w:w="1840" w:type="dxa"/>
            <w:vMerge w:val="restart"/>
            <w:vAlign w:val="center"/>
          </w:tcPr>
          <w:p>
            <w:pPr>
              <w:pStyle w:val="6"/>
              <w:spacing w:line="360" w:lineRule="exact"/>
              <w:ind w:firstLine="0" w:firstLineChars="0"/>
              <w:jc w:val="center"/>
              <w:rPr>
                <w:rFonts w:ascii="Times New Roman" w:hAnsi="Times New Roman"/>
                <w:sz w:val="24"/>
                <w:szCs w:val="24"/>
              </w:rPr>
            </w:pPr>
            <w:r>
              <w:rPr>
                <w:rFonts w:hint="eastAsia" w:ascii="Times New Roman" w:hAnsi="Times New Roman"/>
                <w:sz w:val="24"/>
                <w:szCs w:val="24"/>
              </w:rPr>
              <w:t>构建“</w:t>
            </w:r>
            <w:r>
              <w:rPr>
                <w:rFonts w:ascii="Times New Roman" w:hAnsi="Times New Roman"/>
                <w:sz w:val="24"/>
                <w:szCs w:val="24"/>
              </w:rPr>
              <w:t>1+4+N</w:t>
            </w:r>
            <w:r>
              <w:rPr>
                <w:rFonts w:hint="eastAsia" w:ascii="Times New Roman" w:hAnsi="Times New Roman"/>
                <w:sz w:val="24"/>
                <w:szCs w:val="24"/>
              </w:rPr>
              <w:t>”柠檬产业冷链仓储体系</w:t>
            </w:r>
          </w:p>
        </w:tc>
        <w:tc>
          <w:tcPr>
            <w:tcW w:w="5243" w:type="dxa"/>
            <w:vAlign w:val="center"/>
          </w:tcPr>
          <w:p>
            <w:pPr>
              <w:pStyle w:val="6"/>
              <w:spacing w:line="360" w:lineRule="exact"/>
              <w:ind w:firstLine="0" w:firstLineChars="0"/>
              <w:jc w:val="both"/>
              <w:rPr>
                <w:rFonts w:ascii="Times New Roman" w:hAnsi="Times New Roman"/>
                <w:sz w:val="24"/>
                <w:szCs w:val="24"/>
              </w:rPr>
            </w:pPr>
            <w:r>
              <w:rPr>
                <w:rFonts w:ascii="Times New Roman" w:hAnsi="Times New Roman"/>
                <w:sz w:val="24"/>
                <w:szCs w:val="24"/>
              </w:rPr>
              <w:t>1.</w:t>
            </w:r>
            <w:r>
              <w:rPr>
                <w:rFonts w:hint="eastAsia" w:ascii="Times New Roman" w:hAnsi="Times New Roman"/>
                <w:sz w:val="24"/>
                <w:szCs w:val="24"/>
              </w:rPr>
              <w:t>提升冷链物流保障能力。申报创建全国冷链物流重点示范区，到</w:t>
            </w:r>
            <w:r>
              <w:rPr>
                <w:rFonts w:ascii="Times New Roman" w:hAnsi="Times New Roman"/>
                <w:sz w:val="24"/>
                <w:szCs w:val="24"/>
              </w:rPr>
              <w:t>2025</w:t>
            </w:r>
            <w:r>
              <w:rPr>
                <w:rFonts w:hint="eastAsia" w:ascii="Times New Roman" w:hAnsi="Times New Roman"/>
                <w:sz w:val="24"/>
                <w:szCs w:val="24"/>
              </w:rPr>
              <w:t>年全区冷链仓储能力达到</w:t>
            </w:r>
            <w:r>
              <w:rPr>
                <w:rFonts w:ascii="Times New Roman" w:hAnsi="Times New Roman"/>
                <w:sz w:val="24"/>
                <w:szCs w:val="24"/>
              </w:rPr>
              <w:t>30</w:t>
            </w:r>
            <w:r>
              <w:rPr>
                <w:rFonts w:hint="eastAsia" w:ascii="Times New Roman" w:hAnsi="Times New Roman"/>
                <w:sz w:val="24"/>
                <w:szCs w:val="24"/>
              </w:rPr>
              <w:t>万吨。建成</w:t>
            </w:r>
            <w:r>
              <w:rPr>
                <w:rFonts w:ascii="Times New Roman" w:hAnsi="Times New Roman"/>
                <w:sz w:val="24"/>
                <w:szCs w:val="24"/>
              </w:rPr>
              <w:t>5</w:t>
            </w:r>
            <w:r>
              <w:rPr>
                <w:rFonts w:hint="eastAsia" w:ascii="Times New Roman" w:hAnsi="Times New Roman"/>
                <w:sz w:val="24"/>
                <w:szCs w:val="24"/>
              </w:rPr>
              <w:t>万吨“潼南绿”城市配送中心柠檬核心保障仓。支持精深加工企业配套冷链仓储运输功能，新增仓储能力</w:t>
            </w:r>
            <w:r>
              <w:rPr>
                <w:rFonts w:ascii="Times New Roman" w:hAnsi="Times New Roman"/>
                <w:sz w:val="24"/>
                <w:szCs w:val="24"/>
              </w:rPr>
              <w:t>10</w:t>
            </w:r>
            <w:r>
              <w:rPr>
                <w:rFonts w:hint="eastAsia" w:ascii="Times New Roman" w:hAnsi="Times New Roman"/>
                <w:sz w:val="24"/>
                <w:szCs w:val="24"/>
              </w:rPr>
              <w:t>万吨以上。</w:t>
            </w:r>
          </w:p>
        </w:tc>
        <w:tc>
          <w:tcPr>
            <w:tcW w:w="1870" w:type="dxa"/>
            <w:vAlign w:val="center"/>
          </w:tcPr>
          <w:p>
            <w:pPr>
              <w:pStyle w:val="6"/>
              <w:spacing w:line="360" w:lineRule="exact"/>
              <w:ind w:firstLine="0" w:firstLineChars="0"/>
              <w:jc w:val="center"/>
              <w:rPr>
                <w:rFonts w:ascii="Times New Roman" w:hAnsi="Times New Roman"/>
                <w:spacing w:val="-40"/>
                <w:sz w:val="24"/>
                <w:szCs w:val="24"/>
              </w:rPr>
            </w:pPr>
            <w:r>
              <w:rPr>
                <w:rFonts w:hint="eastAsia" w:ascii="Times New Roman" w:hAnsi="Times New Roman"/>
                <w:sz w:val="24"/>
                <w:szCs w:val="24"/>
              </w:rPr>
              <w:t>区农业农村委</w:t>
            </w:r>
          </w:p>
        </w:tc>
        <w:tc>
          <w:tcPr>
            <w:tcW w:w="2205" w:type="dxa"/>
            <w:vAlign w:val="center"/>
          </w:tcPr>
          <w:p>
            <w:pPr>
              <w:pStyle w:val="6"/>
              <w:spacing w:line="360" w:lineRule="exact"/>
              <w:ind w:firstLine="0" w:firstLineChars="0"/>
              <w:jc w:val="center"/>
              <w:rPr>
                <w:rFonts w:ascii="Times New Roman" w:hAnsi="Times New Roman"/>
                <w:sz w:val="24"/>
                <w:szCs w:val="24"/>
              </w:rPr>
            </w:pPr>
            <w:r>
              <w:rPr>
                <w:rFonts w:hint="eastAsia" w:ascii="Times New Roman" w:hAnsi="Times New Roman"/>
                <w:sz w:val="24"/>
                <w:szCs w:val="24"/>
              </w:rPr>
              <w:t>区农投集团</w:t>
            </w:r>
          </w:p>
          <w:p>
            <w:pPr>
              <w:pStyle w:val="6"/>
              <w:spacing w:line="360" w:lineRule="exact"/>
              <w:ind w:firstLine="0" w:firstLineChars="0"/>
              <w:jc w:val="center"/>
              <w:rPr>
                <w:rFonts w:ascii="Times New Roman" w:hAnsi="Times New Roman"/>
                <w:sz w:val="24"/>
                <w:szCs w:val="24"/>
              </w:rPr>
            </w:pPr>
            <w:r>
              <w:rPr>
                <w:rFonts w:hint="eastAsia" w:ascii="Times New Roman" w:hAnsi="Times New Roman"/>
                <w:sz w:val="24"/>
                <w:szCs w:val="24"/>
              </w:rPr>
              <w:t>区高新区管委会</w:t>
            </w:r>
          </w:p>
          <w:p>
            <w:pPr>
              <w:pStyle w:val="6"/>
              <w:spacing w:line="360" w:lineRule="exact"/>
              <w:ind w:firstLine="0" w:firstLineChars="0"/>
              <w:jc w:val="center"/>
              <w:rPr>
                <w:rFonts w:ascii="Times New Roman" w:hAnsi="Times New Roman"/>
                <w:sz w:val="24"/>
                <w:szCs w:val="24"/>
              </w:rPr>
            </w:pPr>
            <w:r>
              <w:rPr>
                <w:rFonts w:hint="eastAsia" w:ascii="Times New Roman" w:hAnsi="Times New Roman"/>
                <w:sz w:val="24"/>
                <w:szCs w:val="24"/>
              </w:rPr>
              <w:t>区商务委</w:t>
            </w:r>
          </w:p>
        </w:tc>
        <w:tc>
          <w:tcPr>
            <w:tcW w:w="1350" w:type="dxa"/>
            <w:vAlign w:val="center"/>
          </w:tcPr>
          <w:p>
            <w:pPr>
              <w:pStyle w:val="6"/>
              <w:spacing w:line="360" w:lineRule="exact"/>
              <w:ind w:firstLine="0" w:firstLineChars="0"/>
              <w:jc w:val="center"/>
              <w:rPr>
                <w:rFonts w:ascii="Times New Roman" w:hAnsi="Times New Roman"/>
                <w:sz w:val="24"/>
                <w:szCs w:val="24"/>
              </w:rPr>
            </w:pPr>
            <w:r>
              <w:rPr>
                <w:rFonts w:ascii="Times New Roman" w:hAnsi="Times New Roman"/>
                <w:sz w:val="24"/>
                <w:szCs w:val="24"/>
              </w:rPr>
              <w:t>2025</w:t>
            </w:r>
            <w:r>
              <w:rPr>
                <w:rFonts w:hint="eastAsia" w:ascii="Times New Roman" w:hAnsi="Times New Roman"/>
                <w:sz w:val="24"/>
                <w:szCs w:val="24"/>
              </w:rPr>
              <w:t>年</w:t>
            </w:r>
          </w:p>
          <w:p>
            <w:pPr>
              <w:pStyle w:val="6"/>
              <w:spacing w:line="360" w:lineRule="exact"/>
              <w:ind w:firstLine="0" w:firstLineChars="0"/>
              <w:jc w:val="center"/>
              <w:rPr>
                <w:rFonts w:ascii="Times New Roman" w:hAnsi="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3" w:hRule="atLeast"/>
          <w:jc w:val="center"/>
        </w:trPr>
        <w:tc>
          <w:tcPr>
            <w:tcW w:w="1094" w:type="dxa"/>
            <w:vMerge w:val="continue"/>
            <w:vAlign w:val="center"/>
          </w:tcPr>
          <w:p>
            <w:pPr>
              <w:pStyle w:val="6"/>
              <w:spacing w:line="360" w:lineRule="exact"/>
              <w:ind w:firstLine="0" w:firstLineChars="0"/>
              <w:jc w:val="center"/>
              <w:rPr>
                <w:rFonts w:ascii="Times New Roman" w:hAnsi="Times New Roman"/>
                <w:sz w:val="24"/>
                <w:szCs w:val="24"/>
              </w:rPr>
            </w:pPr>
          </w:p>
        </w:tc>
        <w:tc>
          <w:tcPr>
            <w:tcW w:w="1840" w:type="dxa"/>
            <w:vMerge w:val="continue"/>
            <w:vAlign w:val="center"/>
          </w:tcPr>
          <w:p>
            <w:pPr>
              <w:pStyle w:val="6"/>
              <w:spacing w:line="360" w:lineRule="exact"/>
              <w:ind w:firstLine="0" w:firstLineChars="0"/>
              <w:jc w:val="both"/>
              <w:rPr>
                <w:rFonts w:ascii="Times New Roman" w:hAnsi="Times New Roman"/>
                <w:sz w:val="24"/>
                <w:szCs w:val="24"/>
              </w:rPr>
            </w:pPr>
          </w:p>
        </w:tc>
        <w:tc>
          <w:tcPr>
            <w:tcW w:w="5243" w:type="dxa"/>
            <w:vAlign w:val="center"/>
          </w:tcPr>
          <w:p>
            <w:pPr>
              <w:pStyle w:val="6"/>
              <w:spacing w:line="360" w:lineRule="exact"/>
              <w:ind w:firstLine="0" w:firstLineChars="0"/>
              <w:jc w:val="both"/>
              <w:rPr>
                <w:rFonts w:ascii="Times New Roman" w:hAnsi="Times New Roman"/>
                <w:sz w:val="24"/>
                <w:szCs w:val="24"/>
              </w:rPr>
            </w:pPr>
            <w:r>
              <w:rPr>
                <w:rFonts w:ascii="Times New Roman" w:hAnsi="Times New Roman"/>
                <w:sz w:val="24"/>
                <w:szCs w:val="24"/>
              </w:rPr>
              <w:t>2.</w:t>
            </w:r>
            <w:r>
              <w:rPr>
                <w:rFonts w:hint="eastAsia" w:ascii="Times New Roman" w:hAnsi="Times New Roman"/>
                <w:sz w:val="24"/>
                <w:szCs w:val="24"/>
              </w:rPr>
              <w:t>建设镇级冷链仓储中心。在崇龛、塘坝、古溪、太安等镇加快建设冷链仓储服务中心，每个达到</w:t>
            </w:r>
            <w:r>
              <w:rPr>
                <w:rFonts w:ascii="Times New Roman" w:hAnsi="Times New Roman"/>
                <w:sz w:val="24"/>
                <w:szCs w:val="24"/>
              </w:rPr>
              <w:t>3</w:t>
            </w:r>
            <w:r>
              <w:rPr>
                <w:rFonts w:hint="eastAsia" w:ascii="Times New Roman" w:hAnsi="Times New Roman"/>
                <w:sz w:val="24"/>
                <w:szCs w:val="24"/>
              </w:rPr>
              <w:t>万吨级以上。</w:t>
            </w:r>
          </w:p>
        </w:tc>
        <w:tc>
          <w:tcPr>
            <w:tcW w:w="1870" w:type="dxa"/>
            <w:vMerge w:val="restart"/>
            <w:vAlign w:val="center"/>
          </w:tcPr>
          <w:p>
            <w:pPr>
              <w:pStyle w:val="6"/>
              <w:spacing w:line="360" w:lineRule="exact"/>
              <w:ind w:firstLine="0" w:firstLineChars="0"/>
              <w:jc w:val="center"/>
              <w:rPr>
                <w:rFonts w:ascii="Times New Roman" w:hAnsi="Times New Roman"/>
                <w:spacing w:val="-51"/>
                <w:sz w:val="24"/>
                <w:szCs w:val="24"/>
              </w:rPr>
            </w:pPr>
            <w:r>
              <w:rPr>
                <w:rFonts w:hint="eastAsia" w:ascii="Times New Roman" w:hAnsi="Times New Roman"/>
                <w:sz w:val="24"/>
                <w:szCs w:val="24"/>
              </w:rPr>
              <w:t>区农业农村委</w:t>
            </w:r>
          </w:p>
        </w:tc>
        <w:tc>
          <w:tcPr>
            <w:tcW w:w="2205" w:type="dxa"/>
            <w:vMerge w:val="restart"/>
            <w:vAlign w:val="center"/>
          </w:tcPr>
          <w:p>
            <w:pPr>
              <w:pStyle w:val="6"/>
              <w:spacing w:line="360" w:lineRule="exact"/>
              <w:ind w:firstLine="0" w:firstLineChars="0"/>
              <w:jc w:val="center"/>
              <w:rPr>
                <w:rFonts w:ascii="Times New Roman" w:hAnsi="Times New Roman"/>
                <w:sz w:val="24"/>
                <w:szCs w:val="24"/>
              </w:rPr>
            </w:pPr>
            <w:r>
              <w:rPr>
                <w:rFonts w:hint="eastAsia" w:ascii="Times New Roman" w:hAnsi="Times New Roman"/>
                <w:sz w:val="24"/>
                <w:szCs w:val="24"/>
              </w:rPr>
              <w:t>区规划自然资源局区农投集团</w:t>
            </w:r>
          </w:p>
          <w:p>
            <w:pPr>
              <w:pStyle w:val="6"/>
              <w:spacing w:line="360" w:lineRule="exact"/>
              <w:ind w:firstLine="0" w:firstLineChars="0"/>
              <w:jc w:val="center"/>
              <w:rPr>
                <w:rFonts w:ascii="Times New Roman" w:hAnsi="Times New Roman"/>
                <w:sz w:val="24"/>
                <w:szCs w:val="24"/>
              </w:rPr>
            </w:pPr>
            <w:r>
              <w:rPr>
                <w:rFonts w:hint="eastAsia" w:ascii="Times New Roman" w:hAnsi="Times New Roman"/>
                <w:sz w:val="24"/>
                <w:szCs w:val="24"/>
              </w:rPr>
              <w:t>有关镇街</w:t>
            </w:r>
          </w:p>
        </w:tc>
        <w:tc>
          <w:tcPr>
            <w:tcW w:w="1350" w:type="dxa"/>
            <w:vMerge w:val="restart"/>
            <w:vAlign w:val="center"/>
          </w:tcPr>
          <w:p>
            <w:pPr>
              <w:pStyle w:val="6"/>
              <w:spacing w:line="360" w:lineRule="exact"/>
              <w:ind w:firstLine="0" w:firstLineChars="0"/>
              <w:jc w:val="center"/>
              <w:rPr>
                <w:rFonts w:ascii="Times New Roman" w:hAnsi="Times New Roman"/>
                <w:sz w:val="24"/>
                <w:szCs w:val="24"/>
              </w:rPr>
            </w:pPr>
            <w:r>
              <w:rPr>
                <w:rFonts w:ascii="Times New Roman" w:hAnsi="Times New Roman"/>
                <w:sz w:val="24"/>
                <w:szCs w:val="24"/>
              </w:rPr>
              <w:t>2025</w:t>
            </w:r>
            <w:r>
              <w:rPr>
                <w:rFonts w:hint="eastAsia" w:ascii="Times New Roman" w:hAnsi="Times New Roman"/>
                <w:sz w:val="24"/>
                <w:szCs w:val="24"/>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2" w:hRule="atLeast"/>
          <w:jc w:val="center"/>
        </w:trPr>
        <w:tc>
          <w:tcPr>
            <w:tcW w:w="1094" w:type="dxa"/>
            <w:vMerge w:val="continue"/>
            <w:vAlign w:val="center"/>
          </w:tcPr>
          <w:p>
            <w:pPr>
              <w:pStyle w:val="6"/>
              <w:spacing w:line="360" w:lineRule="exact"/>
              <w:ind w:firstLine="0" w:firstLineChars="0"/>
              <w:jc w:val="center"/>
              <w:rPr>
                <w:rFonts w:ascii="Times New Roman" w:hAnsi="Times New Roman"/>
                <w:sz w:val="24"/>
                <w:szCs w:val="24"/>
              </w:rPr>
            </w:pPr>
          </w:p>
        </w:tc>
        <w:tc>
          <w:tcPr>
            <w:tcW w:w="1840" w:type="dxa"/>
            <w:vMerge w:val="continue"/>
            <w:vAlign w:val="center"/>
          </w:tcPr>
          <w:p>
            <w:pPr>
              <w:pStyle w:val="6"/>
              <w:spacing w:line="360" w:lineRule="exact"/>
              <w:ind w:firstLine="0" w:firstLineChars="0"/>
              <w:jc w:val="both"/>
              <w:rPr>
                <w:rFonts w:ascii="Times New Roman" w:hAnsi="Times New Roman"/>
                <w:sz w:val="24"/>
                <w:szCs w:val="24"/>
              </w:rPr>
            </w:pPr>
          </w:p>
        </w:tc>
        <w:tc>
          <w:tcPr>
            <w:tcW w:w="5243" w:type="dxa"/>
            <w:vAlign w:val="center"/>
          </w:tcPr>
          <w:p>
            <w:pPr>
              <w:pStyle w:val="6"/>
              <w:spacing w:line="360" w:lineRule="exact"/>
              <w:ind w:firstLine="0" w:firstLineChars="0"/>
              <w:jc w:val="both"/>
              <w:rPr>
                <w:rFonts w:ascii="Times New Roman" w:hAnsi="Times New Roman"/>
                <w:sz w:val="24"/>
                <w:szCs w:val="24"/>
              </w:rPr>
            </w:pPr>
            <w:r>
              <w:rPr>
                <w:rFonts w:ascii="Times New Roman" w:hAnsi="Times New Roman"/>
                <w:sz w:val="24"/>
                <w:szCs w:val="24"/>
              </w:rPr>
              <w:t>3.</w:t>
            </w:r>
            <w:r>
              <w:rPr>
                <w:rFonts w:hint="eastAsia" w:ascii="Times New Roman" w:hAnsi="Times New Roman"/>
                <w:sz w:val="24"/>
                <w:szCs w:val="24"/>
              </w:rPr>
              <w:t>大力发展产地仓。鼓励支持柠檬种植大户就近建设产地冷藏保鲜库，每年新增</w:t>
            </w:r>
            <w:r>
              <w:rPr>
                <w:rFonts w:ascii="Times New Roman" w:hAnsi="Times New Roman"/>
                <w:sz w:val="24"/>
                <w:szCs w:val="24"/>
              </w:rPr>
              <w:t>10</w:t>
            </w:r>
            <w:r>
              <w:rPr>
                <w:rFonts w:hint="eastAsia" w:ascii="Times New Roman" w:hAnsi="Times New Roman"/>
                <w:sz w:val="24"/>
                <w:szCs w:val="24"/>
              </w:rPr>
              <w:t>个以上。</w:t>
            </w:r>
          </w:p>
        </w:tc>
        <w:tc>
          <w:tcPr>
            <w:tcW w:w="1870" w:type="dxa"/>
            <w:vMerge w:val="continue"/>
            <w:vAlign w:val="center"/>
          </w:tcPr>
          <w:p>
            <w:pPr>
              <w:pStyle w:val="6"/>
              <w:spacing w:line="360" w:lineRule="exact"/>
              <w:ind w:firstLine="0" w:firstLineChars="0"/>
              <w:jc w:val="both"/>
              <w:rPr>
                <w:rFonts w:ascii="Times New Roman" w:hAnsi="Times New Roman"/>
                <w:sz w:val="24"/>
                <w:szCs w:val="24"/>
              </w:rPr>
            </w:pPr>
          </w:p>
        </w:tc>
        <w:tc>
          <w:tcPr>
            <w:tcW w:w="2205" w:type="dxa"/>
            <w:vMerge w:val="continue"/>
            <w:vAlign w:val="center"/>
          </w:tcPr>
          <w:p>
            <w:pPr>
              <w:pStyle w:val="6"/>
              <w:spacing w:line="360" w:lineRule="exact"/>
              <w:ind w:firstLine="0" w:firstLineChars="0"/>
              <w:jc w:val="center"/>
              <w:rPr>
                <w:rFonts w:ascii="Times New Roman" w:hAnsi="Times New Roman"/>
                <w:sz w:val="24"/>
                <w:szCs w:val="24"/>
              </w:rPr>
            </w:pPr>
          </w:p>
        </w:tc>
        <w:tc>
          <w:tcPr>
            <w:tcW w:w="1350" w:type="dxa"/>
            <w:vMerge w:val="continue"/>
            <w:vAlign w:val="center"/>
          </w:tcPr>
          <w:p>
            <w:pPr>
              <w:pStyle w:val="6"/>
              <w:spacing w:line="360" w:lineRule="exact"/>
              <w:ind w:firstLine="0" w:firstLineChars="0"/>
              <w:jc w:val="center"/>
              <w:rPr>
                <w:rFonts w:ascii="Times New Roman" w:hAnsi="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94" w:type="dxa"/>
            <w:vMerge w:val="restart"/>
            <w:vAlign w:val="center"/>
          </w:tcPr>
          <w:p>
            <w:pPr>
              <w:pStyle w:val="6"/>
              <w:spacing w:line="360" w:lineRule="exact"/>
              <w:ind w:firstLine="0" w:firstLineChars="0"/>
              <w:jc w:val="center"/>
              <w:rPr>
                <w:rFonts w:ascii="Times New Roman" w:hAnsi="Times New Roman"/>
                <w:sz w:val="24"/>
                <w:szCs w:val="24"/>
              </w:rPr>
            </w:pPr>
            <w:r>
              <w:rPr>
                <w:rFonts w:ascii="Times New Roman" w:hAnsi="Times New Roman"/>
                <w:sz w:val="24"/>
                <w:szCs w:val="24"/>
              </w:rPr>
              <w:t>4</w:t>
            </w:r>
          </w:p>
        </w:tc>
        <w:tc>
          <w:tcPr>
            <w:tcW w:w="1840" w:type="dxa"/>
            <w:vMerge w:val="restart"/>
            <w:vAlign w:val="center"/>
          </w:tcPr>
          <w:p>
            <w:pPr>
              <w:pStyle w:val="6"/>
              <w:spacing w:line="360" w:lineRule="exact"/>
              <w:ind w:firstLine="0" w:firstLineChars="0"/>
              <w:jc w:val="center"/>
              <w:rPr>
                <w:rFonts w:ascii="Times New Roman" w:hAnsi="Times New Roman"/>
                <w:sz w:val="24"/>
                <w:szCs w:val="24"/>
              </w:rPr>
            </w:pPr>
            <w:r>
              <w:rPr>
                <w:rFonts w:hint="eastAsia" w:ascii="Times New Roman" w:hAnsi="Times New Roman"/>
                <w:sz w:val="24"/>
                <w:szCs w:val="24"/>
              </w:rPr>
              <w:t>构建绿色高效柠檬产品加工体系</w:t>
            </w:r>
          </w:p>
        </w:tc>
        <w:tc>
          <w:tcPr>
            <w:tcW w:w="5243" w:type="dxa"/>
            <w:vAlign w:val="center"/>
          </w:tcPr>
          <w:p>
            <w:pPr>
              <w:pStyle w:val="6"/>
              <w:spacing w:line="320" w:lineRule="exact"/>
              <w:ind w:firstLine="0" w:firstLineChars="0"/>
              <w:jc w:val="both"/>
              <w:rPr>
                <w:rFonts w:ascii="Times New Roman" w:hAnsi="Times New Roman"/>
                <w:spacing w:val="-8"/>
                <w:sz w:val="24"/>
                <w:szCs w:val="24"/>
              </w:rPr>
            </w:pPr>
            <w:r>
              <w:rPr>
                <w:rFonts w:ascii="Times New Roman" w:hAnsi="Times New Roman"/>
                <w:spacing w:val="-8"/>
                <w:sz w:val="24"/>
                <w:szCs w:val="24"/>
              </w:rPr>
              <w:t>1.</w:t>
            </w:r>
            <w:r>
              <w:rPr>
                <w:rFonts w:hint="eastAsia" w:ascii="Times New Roman" w:hAnsi="Times New Roman"/>
                <w:spacing w:val="-8"/>
                <w:sz w:val="24"/>
                <w:szCs w:val="24"/>
              </w:rPr>
              <w:t>壮大柠檬精深加工。高标准规划建设</w:t>
            </w:r>
            <w:r>
              <w:rPr>
                <w:rFonts w:ascii="Times New Roman" w:hAnsi="Times New Roman"/>
                <w:spacing w:val="-8"/>
                <w:sz w:val="24"/>
                <w:szCs w:val="24"/>
              </w:rPr>
              <w:t>5</w:t>
            </w:r>
            <w:r>
              <w:rPr>
                <w:rFonts w:hint="eastAsia" w:ascii="Times New Roman" w:hAnsi="Times New Roman"/>
                <w:spacing w:val="-8"/>
                <w:sz w:val="24"/>
                <w:szCs w:val="24"/>
              </w:rPr>
              <w:t>平方公里国际农产品加工园，新引进精深加工企业</w:t>
            </w:r>
            <w:r>
              <w:rPr>
                <w:rFonts w:ascii="Times New Roman" w:hAnsi="Times New Roman"/>
                <w:spacing w:val="-8"/>
                <w:sz w:val="24"/>
                <w:szCs w:val="24"/>
              </w:rPr>
              <w:t>10</w:t>
            </w:r>
            <w:r>
              <w:rPr>
                <w:rFonts w:hint="eastAsia" w:ascii="Times New Roman" w:hAnsi="Times New Roman"/>
                <w:spacing w:val="-8"/>
                <w:sz w:val="24"/>
                <w:szCs w:val="24"/>
              </w:rPr>
              <w:t>家以上，新培育亿元级柠檬加工企业</w:t>
            </w:r>
            <w:r>
              <w:rPr>
                <w:rFonts w:ascii="Times New Roman" w:hAnsi="Times New Roman"/>
                <w:spacing w:val="-8"/>
                <w:sz w:val="24"/>
                <w:szCs w:val="24"/>
              </w:rPr>
              <w:t>5</w:t>
            </w:r>
            <w:r>
              <w:rPr>
                <w:rFonts w:hint="eastAsia" w:ascii="Times New Roman" w:hAnsi="Times New Roman"/>
                <w:spacing w:val="-8"/>
                <w:sz w:val="24"/>
                <w:szCs w:val="24"/>
              </w:rPr>
              <w:t>家以上。</w:t>
            </w:r>
          </w:p>
          <w:p>
            <w:pPr>
              <w:pStyle w:val="6"/>
              <w:spacing w:line="320" w:lineRule="exact"/>
              <w:ind w:firstLine="0" w:firstLineChars="0"/>
              <w:jc w:val="both"/>
              <w:rPr>
                <w:rFonts w:ascii="Times New Roman" w:hAnsi="Times New Roman"/>
                <w:spacing w:val="-8"/>
                <w:sz w:val="24"/>
                <w:szCs w:val="24"/>
              </w:rPr>
            </w:pPr>
            <w:r>
              <w:rPr>
                <w:rFonts w:ascii="Times New Roman" w:hAnsi="Times New Roman"/>
                <w:spacing w:val="-8"/>
                <w:sz w:val="24"/>
                <w:szCs w:val="24"/>
              </w:rPr>
              <w:t>2.</w:t>
            </w:r>
            <w:r>
              <w:rPr>
                <w:rFonts w:hint="eastAsia" w:ascii="Times New Roman" w:hAnsi="Times New Roman"/>
                <w:spacing w:val="-8"/>
                <w:sz w:val="24"/>
                <w:szCs w:val="24"/>
              </w:rPr>
              <w:t>培育加工龙头。加快实施柠檬产业“三年行动”计划，支持企业上市。</w:t>
            </w:r>
          </w:p>
        </w:tc>
        <w:tc>
          <w:tcPr>
            <w:tcW w:w="1870" w:type="dxa"/>
            <w:vAlign w:val="center"/>
          </w:tcPr>
          <w:p>
            <w:pPr>
              <w:pStyle w:val="6"/>
              <w:spacing w:line="360" w:lineRule="exact"/>
              <w:ind w:firstLine="0" w:firstLineChars="0"/>
              <w:jc w:val="center"/>
              <w:rPr>
                <w:rFonts w:ascii="Times New Roman" w:hAnsi="Times New Roman"/>
                <w:sz w:val="24"/>
                <w:szCs w:val="24"/>
              </w:rPr>
            </w:pPr>
            <w:r>
              <w:rPr>
                <w:rFonts w:hint="eastAsia" w:ascii="Times New Roman" w:hAnsi="Times New Roman"/>
                <w:sz w:val="24"/>
                <w:szCs w:val="24"/>
              </w:rPr>
              <w:t>区高新区</w:t>
            </w:r>
          </w:p>
          <w:p>
            <w:pPr>
              <w:pStyle w:val="6"/>
              <w:spacing w:line="360" w:lineRule="exact"/>
              <w:ind w:firstLine="0" w:firstLineChars="0"/>
              <w:jc w:val="center"/>
              <w:rPr>
                <w:rFonts w:ascii="Times New Roman" w:hAnsi="Times New Roman"/>
                <w:sz w:val="24"/>
                <w:szCs w:val="24"/>
              </w:rPr>
            </w:pPr>
            <w:r>
              <w:rPr>
                <w:rFonts w:hint="eastAsia" w:ascii="Times New Roman" w:hAnsi="Times New Roman"/>
                <w:sz w:val="24"/>
                <w:szCs w:val="24"/>
              </w:rPr>
              <w:t>管委会</w:t>
            </w:r>
          </w:p>
        </w:tc>
        <w:tc>
          <w:tcPr>
            <w:tcW w:w="2205" w:type="dxa"/>
            <w:vAlign w:val="center"/>
          </w:tcPr>
          <w:p>
            <w:pPr>
              <w:pStyle w:val="6"/>
              <w:spacing w:line="360" w:lineRule="exact"/>
              <w:ind w:firstLine="0" w:firstLineChars="0"/>
              <w:jc w:val="center"/>
              <w:rPr>
                <w:rFonts w:ascii="Times New Roman" w:hAnsi="Times New Roman"/>
                <w:sz w:val="24"/>
                <w:szCs w:val="24"/>
              </w:rPr>
            </w:pPr>
            <w:r>
              <w:rPr>
                <w:rFonts w:hint="eastAsia" w:ascii="Times New Roman" w:hAnsi="Times New Roman"/>
                <w:sz w:val="24"/>
                <w:szCs w:val="24"/>
              </w:rPr>
              <w:t>区经济信息委</w:t>
            </w:r>
          </w:p>
          <w:p>
            <w:pPr>
              <w:pStyle w:val="6"/>
              <w:spacing w:line="360" w:lineRule="exact"/>
              <w:ind w:firstLine="0" w:firstLineChars="0"/>
              <w:jc w:val="center"/>
              <w:rPr>
                <w:rFonts w:ascii="Times New Roman" w:hAnsi="Times New Roman"/>
                <w:sz w:val="24"/>
                <w:szCs w:val="24"/>
              </w:rPr>
            </w:pPr>
            <w:r>
              <w:rPr>
                <w:rFonts w:hint="eastAsia" w:ascii="Times New Roman" w:hAnsi="Times New Roman"/>
                <w:sz w:val="24"/>
                <w:szCs w:val="24"/>
              </w:rPr>
              <w:t>区农投集团</w:t>
            </w:r>
          </w:p>
          <w:p>
            <w:pPr>
              <w:pStyle w:val="6"/>
              <w:spacing w:line="360" w:lineRule="exact"/>
              <w:ind w:firstLine="0" w:firstLineChars="0"/>
              <w:jc w:val="center"/>
              <w:rPr>
                <w:rFonts w:ascii="Times New Roman" w:hAnsi="Times New Roman"/>
                <w:sz w:val="24"/>
                <w:szCs w:val="24"/>
              </w:rPr>
            </w:pPr>
            <w:r>
              <w:rPr>
                <w:rFonts w:hint="eastAsia" w:ascii="Times New Roman" w:hAnsi="Times New Roman"/>
                <w:sz w:val="24"/>
                <w:szCs w:val="24"/>
              </w:rPr>
              <w:t>区规划自然资源局</w:t>
            </w:r>
          </w:p>
          <w:p>
            <w:pPr>
              <w:pStyle w:val="4"/>
              <w:spacing w:line="360" w:lineRule="exact"/>
              <w:ind w:left="2940"/>
              <w:jc w:val="center"/>
              <w:rPr>
                <w:rFonts w:eastAsia="方正仿宋_GBK"/>
                <w:sz w:val="24"/>
                <w:szCs w:val="24"/>
              </w:rPr>
            </w:pPr>
          </w:p>
        </w:tc>
        <w:tc>
          <w:tcPr>
            <w:tcW w:w="1350" w:type="dxa"/>
            <w:vAlign w:val="center"/>
          </w:tcPr>
          <w:p>
            <w:pPr>
              <w:pStyle w:val="6"/>
              <w:spacing w:line="360" w:lineRule="exact"/>
              <w:ind w:firstLine="0" w:firstLineChars="0"/>
              <w:jc w:val="center"/>
              <w:rPr>
                <w:rFonts w:ascii="Times New Roman" w:hAnsi="Times New Roman"/>
                <w:sz w:val="24"/>
                <w:szCs w:val="24"/>
              </w:rPr>
            </w:pPr>
            <w:r>
              <w:rPr>
                <w:rFonts w:ascii="Times New Roman" w:hAnsi="Times New Roman"/>
                <w:sz w:val="24"/>
                <w:szCs w:val="24"/>
              </w:rPr>
              <w:t>2025</w:t>
            </w:r>
            <w:r>
              <w:rPr>
                <w:rFonts w:hint="eastAsia" w:ascii="Times New Roman" w:hAnsi="Times New Roman"/>
                <w:sz w:val="24"/>
                <w:szCs w:val="24"/>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0" w:hRule="atLeast"/>
          <w:jc w:val="center"/>
        </w:trPr>
        <w:tc>
          <w:tcPr>
            <w:tcW w:w="1094" w:type="dxa"/>
            <w:vMerge w:val="continue"/>
            <w:vAlign w:val="center"/>
          </w:tcPr>
          <w:p>
            <w:pPr>
              <w:pStyle w:val="6"/>
              <w:spacing w:line="360" w:lineRule="exact"/>
              <w:ind w:firstLine="0" w:firstLineChars="0"/>
              <w:jc w:val="center"/>
              <w:rPr>
                <w:rFonts w:ascii="Times New Roman" w:hAnsi="Times New Roman"/>
                <w:sz w:val="24"/>
                <w:szCs w:val="24"/>
              </w:rPr>
            </w:pPr>
          </w:p>
        </w:tc>
        <w:tc>
          <w:tcPr>
            <w:tcW w:w="1840" w:type="dxa"/>
            <w:vMerge w:val="continue"/>
            <w:vAlign w:val="center"/>
          </w:tcPr>
          <w:p>
            <w:pPr>
              <w:pStyle w:val="6"/>
              <w:spacing w:line="360" w:lineRule="exact"/>
              <w:ind w:firstLine="0" w:firstLineChars="0"/>
              <w:jc w:val="center"/>
              <w:rPr>
                <w:rFonts w:ascii="Times New Roman" w:hAnsi="Times New Roman"/>
                <w:sz w:val="24"/>
                <w:szCs w:val="24"/>
              </w:rPr>
            </w:pPr>
          </w:p>
        </w:tc>
        <w:tc>
          <w:tcPr>
            <w:tcW w:w="5243" w:type="dxa"/>
            <w:vAlign w:val="center"/>
          </w:tcPr>
          <w:p>
            <w:pPr>
              <w:pStyle w:val="6"/>
              <w:spacing w:line="320" w:lineRule="exact"/>
              <w:ind w:firstLine="0" w:firstLineChars="0"/>
              <w:jc w:val="both"/>
              <w:rPr>
                <w:rFonts w:ascii="Times New Roman" w:hAnsi="Times New Roman"/>
                <w:sz w:val="24"/>
                <w:szCs w:val="24"/>
              </w:rPr>
            </w:pPr>
            <w:r>
              <w:rPr>
                <w:rFonts w:ascii="Times New Roman" w:hAnsi="Times New Roman"/>
                <w:sz w:val="24"/>
                <w:szCs w:val="24"/>
              </w:rPr>
              <w:t>3.</w:t>
            </w:r>
            <w:r>
              <w:rPr>
                <w:rFonts w:hint="eastAsia" w:ascii="Times New Roman" w:hAnsi="Times New Roman"/>
                <w:sz w:val="24"/>
                <w:szCs w:val="24"/>
              </w:rPr>
              <w:t>发展产地初加工。在崇龛、塘坝等柠檬主产地布局建设初加工园，一体配套商品化处理设施，到</w:t>
            </w:r>
            <w:r>
              <w:rPr>
                <w:rFonts w:ascii="Times New Roman" w:hAnsi="Times New Roman"/>
                <w:sz w:val="24"/>
                <w:szCs w:val="24"/>
              </w:rPr>
              <w:t>2025</w:t>
            </w:r>
            <w:r>
              <w:rPr>
                <w:rFonts w:hint="eastAsia" w:ascii="Times New Roman" w:hAnsi="Times New Roman"/>
                <w:sz w:val="24"/>
                <w:szCs w:val="24"/>
              </w:rPr>
              <w:t>年建成</w:t>
            </w:r>
            <w:r>
              <w:rPr>
                <w:rFonts w:ascii="Times New Roman" w:hAnsi="Times New Roman"/>
                <w:sz w:val="24"/>
                <w:szCs w:val="24"/>
              </w:rPr>
              <w:t>4</w:t>
            </w:r>
            <w:r>
              <w:rPr>
                <w:rFonts w:hint="eastAsia" w:ascii="Times New Roman" w:hAnsi="Times New Roman"/>
                <w:sz w:val="24"/>
                <w:szCs w:val="24"/>
              </w:rPr>
              <w:t>个以上。支持新型经营主体建设分选包装线。</w:t>
            </w:r>
          </w:p>
        </w:tc>
        <w:tc>
          <w:tcPr>
            <w:tcW w:w="1870" w:type="dxa"/>
            <w:vMerge w:val="restart"/>
            <w:vAlign w:val="center"/>
          </w:tcPr>
          <w:p>
            <w:pPr>
              <w:pStyle w:val="6"/>
              <w:spacing w:line="360" w:lineRule="exact"/>
              <w:ind w:firstLine="0" w:firstLineChars="0"/>
              <w:jc w:val="center"/>
              <w:rPr>
                <w:rFonts w:ascii="Times New Roman" w:hAnsi="Times New Roman"/>
                <w:sz w:val="24"/>
                <w:szCs w:val="24"/>
              </w:rPr>
            </w:pPr>
            <w:r>
              <w:rPr>
                <w:rFonts w:hint="eastAsia" w:ascii="Times New Roman" w:hAnsi="Times New Roman"/>
                <w:sz w:val="24"/>
                <w:szCs w:val="24"/>
              </w:rPr>
              <w:t>区农业科技园区管委会</w:t>
            </w:r>
          </w:p>
        </w:tc>
        <w:tc>
          <w:tcPr>
            <w:tcW w:w="2205" w:type="dxa"/>
            <w:vMerge w:val="restart"/>
            <w:vAlign w:val="center"/>
          </w:tcPr>
          <w:p>
            <w:pPr>
              <w:pStyle w:val="6"/>
              <w:spacing w:line="360" w:lineRule="exact"/>
              <w:ind w:firstLine="0" w:firstLineChars="0"/>
              <w:jc w:val="center"/>
              <w:rPr>
                <w:rFonts w:ascii="Times New Roman" w:hAnsi="Times New Roman"/>
                <w:sz w:val="24"/>
                <w:szCs w:val="24"/>
              </w:rPr>
            </w:pPr>
            <w:r>
              <w:rPr>
                <w:rFonts w:hint="eastAsia" w:ascii="Times New Roman" w:hAnsi="Times New Roman"/>
                <w:sz w:val="24"/>
                <w:szCs w:val="24"/>
              </w:rPr>
              <w:t>区农业农村委</w:t>
            </w:r>
          </w:p>
          <w:p>
            <w:pPr>
              <w:pStyle w:val="6"/>
              <w:spacing w:line="360" w:lineRule="exact"/>
              <w:ind w:firstLine="0" w:firstLineChars="0"/>
              <w:jc w:val="center"/>
              <w:rPr>
                <w:rFonts w:ascii="Times New Roman" w:hAnsi="Times New Roman"/>
                <w:spacing w:val="-20"/>
                <w:sz w:val="24"/>
                <w:szCs w:val="24"/>
              </w:rPr>
            </w:pPr>
            <w:r>
              <w:rPr>
                <w:rFonts w:hint="eastAsia" w:ascii="Times New Roman" w:hAnsi="Times New Roman"/>
                <w:spacing w:val="-20"/>
                <w:sz w:val="24"/>
                <w:szCs w:val="24"/>
              </w:rPr>
              <w:t>有关镇街</w:t>
            </w:r>
          </w:p>
        </w:tc>
        <w:tc>
          <w:tcPr>
            <w:tcW w:w="1350" w:type="dxa"/>
            <w:vMerge w:val="restart"/>
            <w:vAlign w:val="center"/>
          </w:tcPr>
          <w:p>
            <w:pPr>
              <w:pStyle w:val="6"/>
              <w:spacing w:line="360" w:lineRule="exact"/>
              <w:ind w:firstLine="0" w:firstLineChars="0"/>
              <w:jc w:val="center"/>
              <w:rPr>
                <w:rFonts w:ascii="Times New Roman" w:hAnsi="Times New Roman"/>
                <w:sz w:val="24"/>
                <w:szCs w:val="24"/>
              </w:rPr>
            </w:pPr>
            <w:r>
              <w:rPr>
                <w:rFonts w:ascii="Times New Roman" w:hAnsi="Times New Roman"/>
                <w:sz w:val="24"/>
                <w:szCs w:val="24"/>
              </w:rPr>
              <w:t>2025</w:t>
            </w:r>
            <w:r>
              <w:rPr>
                <w:rFonts w:hint="eastAsia" w:ascii="Times New Roman" w:hAnsi="Times New Roman"/>
                <w:sz w:val="24"/>
                <w:szCs w:val="24"/>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1094" w:type="dxa"/>
            <w:vMerge w:val="continue"/>
            <w:vAlign w:val="center"/>
          </w:tcPr>
          <w:p>
            <w:pPr>
              <w:pStyle w:val="6"/>
              <w:spacing w:line="360" w:lineRule="exact"/>
              <w:ind w:firstLine="0" w:firstLineChars="0"/>
              <w:jc w:val="center"/>
              <w:rPr>
                <w:rFonts w:ascii="Times New Roman" w:hAnsi="Times New Roman"/>
                <w:sz w:val="24"/>
                <w:szCs w:val="24"/>
              </w:rPr>
            </w:pPr>
          </w:p>
        </w:tc>
        <w:tc>
          <w:tcPr>
            <w:tcW w:w="1840" w:type="dxa"/>
            <w:vMerge w:val="continue"/>
            <w:vAlign w:val="center"/>
          </w:tcPr>
          <w:p>
            <w:pPr>
              <w:pStyle w:val="6"/>
              <w:spacing w:line="360" w:lineRule="exact"/>
              <w:ind w:firstLine="0" w:firstLineChars="0"/>
              <w:jc w:val="center"/>
              <w:rPr>
                <w:rFonts w:ascii="Times New Roman" w:hAnsi="Times New Roman"/>
                <w:sz w:val="24"/>
                <w:szCs w:val="24"/>
              </w:rPr>
            </w:pPr>
          </w:p>
        </w:tc>
        <w:tc>
          <w:tcPr>
            <w:tcW w:w="5243" w:type="dxa"/>
            <w:vAlign w:val="center"/>
          </w:tcPr>
          <w:p>
            <w:pPr>
              <w:pStyle w:val="6"/>
              <w:spacing w:line="320" w:lineRule="exact"/>
              <w:ind w:firstLine="0" w:firstLineChars="0"/>
              <w:jc w:val="both"/>
              <w:rPr>
                <w:rFonts w:ascii="Times New Roman" w:hAnsi="Times New Roman"/>
                <w:sz w:val="24"/>
                <w:szCs w:val="24"/>
              </w:rPr>
            </w:pPr>
            <w:r>
              <w:rPr>
                <w:rFonts w:ascii="Times New Roman" w:hAnsi="Times New Roman"/>
                <w:sz w:val="24"/>
                <w:szCs w:val="24"/>
              </w:rPr>
              <w:t>4.</w:t>
            </w:r>
            <w:r>
              <w:rPr>
                <w:rFonts w:hint="eastAsia" w:ascii="Times New Roman" w:hAnsi="Times New Roman"/>
                <w:sz w:val="24"/>
                <w:szCs w:val="24"/>
              </w:rPr>
              <w:t>开展柠檬加工品及副产物循环利用试点。有效衔接农民合作社等新型经营主体，打造绿色高效循环利用示范企业</w:t>
            </w:r>
            <w:r>
              <w:rPr>
                <w:rFonts w:ascii="Times New Roman" w:hAnsi="Times New Roman"/>
                <w:sz w:val="24"/>
                <w:szCs w:val="24"/>
              </w:rPr>
              <w:t>2</w:t>
            </w:r>
            <w:r>
              <w:rPr>
                <w:rFonts w:hint="eastAsia" w:ascii="Times New Roman" w:hAnsi="Times New Roman"/>
                <w:sz w:val="24"/>
                <w:szCs w:val="24"/>
              </w:rPr>
              <w:t>个、示范基地</w:t>
            </w:r>
            <w:r>
              <w:rPr>
                <w:rFonts w:ascii="Times New Roman" w:hAnsi="Times New Roman"/>
                <w:sz w:val="24"/>
                <w:szCs w:val="24"/>
              </w:rPr>
              <w:t>10</w:t>
            </w:r>
            <w:r>
              <w:rPr>
                <w:rFonts w:hint="eastAsia" w:ascii="Times New Roman" w:hAnsi="Times New Roman"/>
                <w:sz w:val="24"/>
                <w:szCs w:val="24"/>
              </w:rPr>
              <w:t>个。</w:t>
            </w:r>
          </w:p>
        </w:tc>
        <w:tc>
          <w:tcPr>
            <w:tcW w:w="1870" w:type="dxa"/>
            <w:vMerge w:val="continue"/>
            <w:vAlign w:val="center"/>
          </w:tcPr>
          <w:p>
            <w:pPr>
              <w:pStyle w:val="6"/>
              <w:spacing w:line="360" w:lineRule="exact"/>
              <w:ind w:firstLine="0" w:firstLineChars="0"/>
              <w:jc w:val="center"/>
              <w:rPr>
                <w:rFonts w:ascii="Times New Roman" w:hAnsi="Times New Roman"/>
                <w:sz w:val="24"/>
                <w:szCs w:val="24"/>
              </w:rPr>
            </w:pPr>
          </w:p>
        </w:tc>
        <w:tc>
          <w:tcPr>
            <w:tcW w:w="2205" w:type="dxa"/>
            <w:vMerge w:val="continue"/>
            <w:vAlign w:val="center"/>
          </w:tcPr>
          <w:p>
            <w:pPr>
              <w:pStyle w:val="6"/>
              <w:spacing w:line="360" w:lineRule="exact"/>
              <w:ind w:firstLine="0" w:firstLineChars="0"/>
              <w:jc w:val="center"/>
              <w:rPr>
                <w:rFonts w:ascii="Times New Roman" w:hAnsi="Times New Roman"/>
                <w:spacing w:val="-20"/>
                <w:sz w:val="24"/>
                <w:szCs w:val="24"/>
              </w:rPr>
            </w:pPr>
          </w:p>
        </w:tc>
        <w:tc>
          <w:tcPr>
            <w:tcW w:w="1350" w:type="dxa"/>
            <w:vMerge w:val="continue"/>
            <w:vAlign w:val="center"/>
          </w:tcPr>
          <w:p>
            <w:pPr>
              <w:pStyle w:val="6"/>
              <w:spacing w:line="360" w:lineRule="exact"/>
              <w:ind w:firstLine="0" w:firstLineChars="0"/>
              <w:jc w:val="center"/>
              <w:rPr>
                <w:rFonts w:ascii="Times New Roman" w:hAnsi="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94" w:type="dxa"/>
            <w:vMerge w:val="restart"/>
            <w:vAlign w:val="center"/>
          </w:tcPr>
          <w:p>
            <w:pPr>
              <w:pStyle w:val="6"/>
              <w:spacing w:line="360" w:lineRule="exact"/>
              <w:ind w:firstLine="0" w:firstLineChars="0"/>
              <w:jc w:val="center"/>
              <w:rPr>
                <w:rFonts w:ascii="Times New Roman" w:hAnsi="Times New Roman"/>
                <w:sz w:val="24"/>
                <w:szCs w:val="24"/>
              </w:rPr>
            </w:pPr>
            <w:r>
              <w:rPr>
                <w:rFonts w:ascii="Times New Roman" w:hAnsi="Times New Roman"/>
                <w:sz w:val="24"/>
                <w:szCs w:val="24"/>
              </w:rPr>
              <w:t>5</w:t>
            </w:r>
          </w:p>
        </w:tc>
        <w:tc>
          <w:tcPr>
            <w:tcW w:w="1840" w:type="dxa"/>
            <w:vMerge w:val="restart"/>
            <w:vAlign w:val="center"/>
          </w:tcPr>
          <w:p>
            <w:pPr>
              <w:pStyle w:val="6"/>
              <w:spacing w:line="360" w:lineRule="exact"/>
              <w:ind w:firstLine="0" w:firstLineChars="0"/>
              <w:jc w:val="center"/>
              <w:rPr>
                <w:rFonts w:ascii="Times New Roman" w:hAnsi="Times New Roman"/>
                <w:sz w:val="24"/>
                <w:szCs w:val="24"/>
              </w:rPr>
            </w:pPr>
            <w:r>
              <w:rPr>
                <w:rFonts w:hint="eastAsia" w:ascii="Times New Roman" w:hAnsi="Times New Roman"/>
                <w:sz w:val="24"/>
                <w:szCs w:val="24"/>
              </w:rPr>
              <w:t>打造国家柠檬工程技术中心</w:t>
            </w:r>
          </w:p>
        </w:tc>
        <w:tc>
          <w:tcPr>
            <w:tcW w:w="5243" w:type="dxa"/>
            <w:vAlign w:val="center"/>
          </w:tcPr>
          <w:p>
            <w:pPr>
              <w:pStyle w:val="6"/>
              <w:spacing w:line="320" w:lineRule="exact"/>
              <w:ind w:firstLine="0" w:firstLineChars="0"/>
              <w:jc w:val="both"/>
              <w:rPr>
                <w:rFonts w:ascii="Times New Roman" w:hAnsi="Times New Roman"/>
                <w:sz w:val="24"/>
                <w:szCs w:val="24"/>
              </w:rPr>
            </w:pPr>
            <w:r>
              <w:rPr>
                <w:rFonts w:ascii="Times New Roman" w:hAnsi="Times New Roman"/>
                <w:sz w:val="24"/>
                <w:szCs w:val="24"/>
              </w:rPr>
              <w:t>1.</w:t>
            </w:r>
            <w:r>
              <w:rPr>
                <w:rFonts w:hint="eastAsia" w:ascii="Times New Roman" w:hAnsi="Times New Roman"/>
                <w:sz w:val="24"/>
                <w:szCs w:val="24"/>
              </w:rPr>
              <w:t>建设区域性柠檬良种繁育中心。升级建设柠檬脱毒种苗中心，与西南大学、重庆农科院、苏州泷泮生物等共创国家级柠檬良种繁育中心，建成无病毒组培育苗实验室，推广示范新品种</w:t>
            </w:r>
            <w:r>
              <w:rPr>
                <w:rFonts w:ascii="Times New Roman" w:hAnsi="Times New Roman"/>
                <w:sz w:val="24"/>
                <w:szCs w:val="24"/>
              </w:rPr>
              <w:t>5</w:t>
            </w:r>
            <w:r>
              <w:rPr>
                <w:rFonts w:hint="eastAsia" w:ascii="Times New Roman" w:hAnsi="Times New Roman"/>
                <w:sz w:val="24"/>
                <w:szCs w:val="24"/>
              </w:rPr>
              <w:t>个以上。</w:t>
            </w:r>
          </w:p>
        </w:tc>
        <w:tc>
          <w:tcPr>
            <w:tcW w:w="1870" w:type="dxa"/>
            <w:vAlign w:val="center"/>
          </w:tcPr>
          <w:p>
            <w:pPr>
              <w:pStyle w:val="6"/>
              <w:spacing w:line="360" w:lineRule="exact"/>
              <w:ind w:firstLine="0" w:firstLineChars="0"/>
              <w:jc w:val="center"/>
              <w:rPr>
                <w:rFonts w:ascii="Times New Roman" w:hAnsi="Times New Roman"/>
                <w:spacing w:val="-23"/>
                <w:sz w:val="24"/>
                <w:szCs w:val="24"/>
              </w:rPr>
            </w:pPr>
            <w:r>
              <w:rPr>
                <w:rFonts w:hint="eastAsia" w:ascii="Times New Roman" w:hAnsi="Times New Roman"/>
                <w:sz w:val="24"/>
                <w:szCs w:val="24"/>
              </w:rPr>
              <w:t>区农业科技园区管委会</w:t>
            </w:r>
          </w:p>
        </w:tc>
        <w:tc>
          <w:tcPr>
            <w:tcW w:w="2205" w:type="dxa"/>
            <w:vAlign w:val="center"/>
          </w:tcPr>
          <w:p>
            <w:pPr>
              <w:pStyle w:val="6"/>
              <w:spacing w:line="360" w:lineRule="exact"/>
              <w:ind w:firstLine="0" w:firstLineChars="0"/>
              <w:jc w:val="center"/>
              <w:rPr>
                <w:rFonts w:ascii="Times New Roman" w:hAnsi="Times New Roman"/>
                <w:sz w:val="24"/>
                <w:szCs w:val="24"/>
              </w:rPr>
            </w:pPr>
            <w:r>
              <w:rPr>
                <w:rFonts w:hint="eastAsia" w:ascii="Times New Roman" w:hAnsi="Times New Roman"/>
                <w:sz w:val="24"/>
                <w:szCs w:val="24"/>
              </w:rPr>
              <w:t>区农业农村委</w:t>
            </w:r>
          </w:p>
        </w:tc>
        <w:tc>
          <w:tcPr>
            <w:tcW w:w="1350" w:type="dxa"/>
            <w:vAlign w:val="center"/>
          </w:tcPr>
          <w:p>
            <w:pPr>
              <w:pStyle w:val="6"/>
              <w:spacing w:line="360" w:lineRule="exact"/>
              <w:ind w:firstLine="0" w:firstLineChars="0"/>
              <w:jc w:val="center"/>
              <w:rPr>
                <w:rFonts w:ascii="Times New Roman" w:hAnsi="Times New Roman"/>
                <w:sz w:val="24"/>
                <w:szCs w:val="24"/>
              </w:rPr>
            </w:pPr>
            <w:r>
              <w:rPr>
                <w:rFonts w:ascii="Times New Roman" w:hAnsi="Times New Roman"/>
                <w:sz w:val="24"/>
                <w:szCs w:val="24"/>
              </w:rPr>
              <w:t>2022</w:t>
            </w:r>
            <w:r>
              <w:rPr>
                <w:rFonts w:hint="eastAsia" w:ascii="Times New Roman" w:hAnsi="Times New Roman"/>
                <w:sz w:val="24"/>
                <w:szCs w:val="24"/>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094" w:type="dxa"/>
            <w:vMerge w:val="continue"/>
            <w:vAlign w:val="center"/>
          </w:tcPr>
          <w:p>
            <w:pPr>
              <w:pStyle w:val="6"/>
              <w:spacing w:line="360" w:lineRule="exact"/>
              <w:ind w:firstLine="0" w:firstLineChars="0"/>
              <w:jc w:val="center"/>
              <w:rPr>
                <w:rFonts w:ascii="Times New Roman" w:hAnsi="Times New Roman"/>
                <w:sz w:val="24"/>
                <w:szCs w:val="24"/>
              </w:rPr>
            </w:pPr>
          </w:p>
        </w:tc>
        <w:tc>
          <w:tcPr>
            <w:tcW w:w="1840" w:type="dxa"/>
            <w:vMerge w:val="continue"/>
            <w:vAlign w:val="center"/>
          </w:tcPr>
          <w:p>
            <w:pPr>
              <w:pStyle w:val="6"/>
              <w:spacing w:line="360" w:lineRule="exact"/>
              <w:ind w:firstLine="0" w:firstLineChars="0"/>
              <w:jc w:val="both"/>
              <w:rPr>
                <w:rFonts w:ascii="Times New Roman" w:hAnsi="Times New Roman"/>
                <w:sz w:val="24"/>
                <w:szCs w:val="24"/>
              </w:rPr>
            </w:pPr>
          </w:p>
        </w:tc>
        <w:tc>
          <w:tcPr>
            <w:tcW w:w="5243" w:type="dxa"/>
            <w:vAlign w:val="center"/>
          </w:tcPr>
          <w:p>
            <w:pPr>
              <w:pStyle w:val="6"/>
              <w:spacing w:line="320" w:lineRule="exact"/>
              <w:ind w:firstLine="0" w:firstLineChars="0"/>
              <w:jc w:val="both"/>
              <w:rPr>
                <w:rFonts w:ascii="Times New Roman" w:hAnsi="Times New Roman"/>
                <w:sz w:val="24"/>
                <w:szCs w:val="24"/>
              </w:rPr>
            </w:pPr>
            <w:r>
              <w:rPr>
                <w:rFonts w:ascii="Times New Roman" w:hAnsi="Times New Roman"/>
                <w:sz w:val="24"/>
                <w:szCs w:val="24"/>
              </w:rPr>
              <w:t>2.</w:t>
            </w:r>
            <w:r>
              <w:rPr>
                <w:rFonts w:hint="eastAsia" w:ascii="Times New Roman" w:hAnsi="Times New Roman"/>
                <w:sz w:val="24"/>
                <w:szCs w:val="24"/>
              </w:rPr>
              <w:t>创建国家柠檬产业技术创新中心。建成柠檬品种保存和种质资源创新中心、生态绿色柠檬栽培技术研究中心、绿色加工与资源综合利用技术研究中心、智慧农业（柠檬）大数据技术研发中心、现代山地特色高效机械化与设施设备研发中心，构建线上线下融合的柠檬全产业链绿色生态可持续发展支撑服务平台，打造柠檬绿色发展及标准化生产示范基地、先进山地特色农机装备产业化示范基地、高科技成果孵化基地。</w:t>
            </w:r>
          </w:p>
        </w:tc>
        <w:tc>
          <w:tcPr>
            <w:tcW w:w="1870" w:type="dxa"/>
            <w:vAlign w:val="center"/>
          </w:tcPr>
          <w:p>
            <w:pPr>
              <w:pStyle w:val="6"/>
              <w:spacing w:line="360" w:lineRule="exact"/>
              <w:ind w:firstLine="0" w:firstLineChars="0"/>
              <w:jc w:val="center"/>
              <w:rPr>
                <w:rFonts w:ascii="Times New Roman" w:hAnsi="Times New Roman"/>
                <w:spacing w:val="-20"/>
                <w:sz w:val="24"/>
                <w:szCs w:val="24"/>
              </w:rPr>
            </w:pPr>
            <w:r>
              <w:rPr>
                <w:rFonts w:hint="eastAsia" w:ascii="Times New Roman" w:hAnsi="Times New Roman"/>
                <w:spacing w:val="-11"/>
                <w:sz w:val="24"/>
                <w:szCs w:val="24"/>
              </w:rPr>
              <w:t>区科技局</w:t>
            </w:r>
          </w:p>
        </w:tc>
        <w:tc>
          <w:tcPr>
            <w:tcW w:w="2205" w:type="dxa"/>
            <w:vAlign w:val="center"/>
          </w:tcPr>
          <w:p>
            <w:pPr>
              <w:pStyle w:val="6"/>
              <w:spacing w:line="360" w:lineRule="exact"/>
              <w:ind w:firstLine="0" w:firstLineChars="0"/>
              <w:jc w:val="center"/>
              <w:rPr>
                <w:rFonts w:ascii="Times New Roman" w:hAnsi="Times New Roman"/>
                <w:spacing w:val="-11"/>
                <w:sz w:val="24"/>
                <w:szCs w:val="24"/>
              </w:rPr>
            </w:pPr>
            <w:r>
              <w:rPr>
                <w:rFonts w:hint="eastAsia" w:ascii="Times New Roman" w:hAnsi="Times New Roman"/>
                <w:spacing w:val="-11"/>
                <w:sz w:val="24"/>
                <w:szCs w:val="24"/>
              </w:rPr>
              <w:t>区农业农村委</w:t>
            </w:r>
          </w:p>
          <w:p>
            <w:pPr>
              <w:pStyle w:val="6"/>
              <w:spacing w:line="360" w:lineRule="exact"/>
              <w:ind w:firstLine="0" w:firstLineChars="0"/>
              <w:jc w:val="center"/>
              <w:rPr>
                <w:rFonts w:ascii="Times New Roman" w:hAnsi="Times New Roman"/>
                <w:spacing w:val="-40"/>
                <w:sz w:val="24"/>
                <w:szCs w:val="24"/>
              </w:rPr>
            </w:pPr>
            <w:r>
              <w:rPr>
                <w:rFonts w:hint="eastAsia" w:ascii="Times New Roman" w:hAnsi="Times New Roman"/>
                <w:sz w:val="24"/>
                <w:szCs w:val="24"/>
              </w:rPr>
              <w:t>区农投集团</w:t>
            </w:r>
          </w:p>
        </w:tc>
        <w:tc>
          <w:tcPr>
            <w:tcW w:w="1350" w:type="dxa"/>
            <w:vAlign w:val="center"/>
          </w:tcPr>
          <w:p>
            <w:pPr>
              <w:pStyle w:val="6"/>
              <w:spacing w:line="360" w:lineRule="exact"/>
              <w:ind w:firstLine="0" w:firstLineChars="0"/>
              <w:jc w:val="center"/>
              <w:rPr>
                <w:rFonts w:ascii="Times New Roman" w:hAnsi="Times New Roman"/>
                <w:sz w:val="24"/>
                <w:szCs w:val="24"/>
              </w:rPr>
            </w:pPr>
            <w:r>
              <w:rPr>
                <w:rFonts w:ascii="Times New Roman" w:hAnsi="Times New Roman"/>
                <w:sz w:val="24"/>
                <w:szCs w:val="24"/>
              </w:rPr>
              <w:t>2025</w:t>
            </w:r>
            <w:r>
              <w:rPr>
                <w:rFonts w:hint="eastAsia" w:ascii="Times New Roman" w:hAnsi="Times New Roman"/>
                <w:sz w:val="24"/>
                <w:szCs w:val="24"/>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5" w:hRule="atLeast"/>
          <w:jc w:val="center"/>
        </w:trPr>
        <w:tc>
          <w:tcPr>
            <w:tcW w:w="1094" w:type="dxa"/>
            <w:vAlign w:val="center"/>
          </w:tcPr>
          <w:p>
            <w:pPr>
              <w:pStyle w:val="6"/>
              <w:spacing w:line="360" w:lineRule="exact"/>
              <w:ind w:firstLine="0" w:firstLineChars="0"/>
              <w:jc w:val="center"/>
              <w:rPr>
                <w:rFonts w:ascii="Times New Roman" w:hAnsi="Times New Roman"/>
                <w:sz w:val="24"/>
                <w:szCs w:val="24"/>
              </w:rPr>
            </w:pPr>
            <w:r>
              <w:rPr>
                <w:rFonts w:ascii="Times New Roman" w:hAnsi="Times New Roman"/>
                <w:sz w:val="24"/>
                <w:szCs w:val="24"/>
              </w:rPr>
              <w:t>5</w:t>
            </w:r>
          </w:p>
        </w:tc>
        <w:tc>
          <w:tcPr>
            <w:tcW w:w="1840" w:type="dxa"/>
            <w:vAlign w:val="center"/>
          </w:tcPr>
          <w:p>
            <w:pPr>
              <w:pStyle w:val="6"/>
              <w:spacing w:line="360" w:lineRule="exact"/>
              <w:ind w:firstLine="0" w:firstLineChars="0"/>
              <w:jc w:val="center"/>
              <w:rPr>
                <w:rFonts w:ascii="Times New Roman" w:hAnsi="Times New Roman"/>
                <w:sz w:val="24"/>
                <w:szCs w:val="24"/>
              </w:rPr>
            </w:pPr>
            <w:r>
              <w:rPr>
                <w:rFonts w:hint="eastAsia" w:ascii="Times New Roman" w:hAnsi="Times New Roman"/>
                <w:sz w:val="24"/>
                <w:szCs w:val="24"/>
              </w:rPr>
              <w:t>打造国家柠檬工程技术中心</w:t>
            </w:r>
          </w:p>
        </w:tc>
        <w:tc>
          <w:tcPr>
            <w:tcW w:w="5243" w:type="dxa"/>
            <w:vAlign w:val="center"/>
          </w:tcPr>
          <w:p>
            <w:pPr>
              <w:pStyle w:val="6"/>
              <w:spacing w:line="360" w:lineRule="exact"/>
              <w:ind w:firstLine="0" w:firstLineChars="0"/>
              <w:jc w:val="both"/>
              <w:rPr>
                <w:rFonts w:ascii="Times New Roman" w:hAnsi="Times New Roman"/>
                <w:sz w:val="24"/>
                <w:szCs w:val="24"/>
              </w:rPr>
            </w:pPr>
            <w:r>
              <w:rPr>
                <w:rFonts w:ascii="Times New Roman" w:hAnsi="Times New Roman"/>
                <w:sz w:val="24"/>
                <w:szCs w:val="24"/>
              </w:rPr>
              <w:t>3.</w:t>
            </w:r>
            <w:r>
              <w:rPr>
                <w:rFonts w:hint="eastAsia" w:ascii="Times New Roman" w:hAnsi="Times New Roman"/>
                <w:sz w:val="24"/>
                <w:szCs w:val="24"/>
              </w:rPr>
              <w:t>组建柠檬产业科技创新联盟。支持企业开展全产业链科技创新和技术攻关，到</w:t>
            </w:r>
            <w:r>
              <w:rPr>
                <w:rFonts w:ascii="Times New Roman" w:hAnsi="Times New Roman"/>
                <w:sz w:val="24"/>
                <w:szCs w:val="24"/>
              </w:rPr>
              <w:t>2025</w:t>
            </w:r>
            <w:r>
              <w:rPr>
                <w:rFonts w:hint="eastAsia" w:ascii="Times New Roman" w:hAnsi="Times New Roman"/>
                <w:sz w:val="24"/>
                <w:szCs w:val="24"/>
              </w:rPr>
              <w:t>年建成国家柠檬众创空间，培育柠檬科技创新型领军企业</w:t>
            </w:r>
            <w:r>
              <w:rPr>
                <w:rFonts w:ascii="Times New Roman" w:hAnsi="Times New Roman"/>
                <w:sz w:val="24"/>
                <w:szCs w:val="24"/>
              </w:rPr>
              <w:t>3</w:t>
            </w:r>
            <w:r>
              <w:rPr>
                <w:rFonts w:hint="eastAsia" w:ascii="Times New Roman" w:hAnsi="Times New Roman"/>
                <w:sz w:val="24"/>
                <w:szCs w:val="24"/>
              </w:rPr>
              <w:t>个以上。</w:t>
            </w:r>
          </w:p>
        </w:tc>
        <w:tc>
          <w:tcPr>
            <w:tcW w:w="1870" w:type="dxa"/>
            <w:vAlign w:val="center"/>
          </w:tcPr>
          <w:p>
            <w:pPr>
              <w:pStyle w:val="6"/>
              <w:spacing w:line="360" w:lineRule="exact"/>
              <w:ind w:firstLine="0" w:firstLineChars="0"/>
              <w:jc w:val="center"/>
              <w:rPr>
                <w:rFonts w:ascii="Times New Roman" w:hAnsi="Times New Roman"/>
                <w:sz w:val="24"/>
                <w:szCs w:val="24"/>
              </w:rPr>
            </w:pPr>
            <w:r>
              <w:rPr>
                <w:rFonts w:hint="eastAsia" w:ascii="Times New Roman" w:hAnsi="Times New Roman"/>
                <w:spacing w:val="-11"/>
                <w:sz w:val="24"/>
                <w:szCs w:val="24"/>
              </w:rPr>
              <w:t>区科技局</w:t>
            </w:r>
          </w:p>
        </w:tc>
        <w:tc>
          <w:tcPr>
            <w:tcW w:w="2205" w:type="dxa"/>
            <w:vAlign w:val="center"/>
          </w:tcPr>
          <w:p>
            <w:pPr>
              <w:pStyle w:val="6"/>
              <w:spacing w:line="360" w:lineRule="exact"/>
              <w:ind w:firstLine="0" w:firstLineChars="0"/>
              <w:jc w:val="center"/>
              <w:rPr>
                <w:rFonts w:ascii="Times New Roman" w:hAnsi="Times New Roman"/>
                <w:sz w:val="24"/>
                <w:szCs w:val="24"/>
              </w:rPr>
            </w:pPr>
            <w:r>
              <w:rPr>
                <w:rFonts w:hint="eastAsia" w:ascii="Times New Roman" w:hAnsi="Times New Roman"/>
                <w:spacing w:val="-11"/>
                <w:sz w:val="24"/>
                <w:szCs w:val="24"/>
              </w:rPr>
              <w:t>区农业农村委</w:t>
            </w:r>
          </w:p>
        </w:tc>
        <w:tc>
          <w:tcPr>
            <w:tcW w:w="1350" w:type="dxa"/>
            <w:vAlign w:val="center"/>
          </w:tcPr>
          <w:p>
            <w:pPr>
              <w:pStyle w:val="6"/>
              <w:spacing w:line="360" w:lineRule="exact"/>
              <w:ind w:firstLine="0" w:firstLineChars="0"/>
              <w:jc w:val="center"/>
              <w:rPr>
                <w:rFonts w:ascii="Times New Roman" w:hAnsi="Times New Roman"/>
                <w:sz w:val="24"/>
                <w:szCs w:val="24"/>
              </w:rPr>
            </w:pPr>
            <w:r>
              <w:rPr>
                <w:rFonts w:ascii="Times New Roman" w:hAnsi="Times New Roman"/>
                <w:sz w:val="24"/>
                <w:szCs w:val="24"/>
              </w:rPr>
              <w:t>2025</w:t>
            </w:r>
            <w:r>
              <w:rPr>
                <w:rFonts w:hint="eastAsia" w:ascii="Times New Roman" w:hAnsi="Times New Roman"/>
                <w:sz w:val="24"/>
                <w:szCs w:val="24"/>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8" w:hRule="atLeast"/>
          <w:jc w:val="center"/>
        </w:trPr>
        <w:tc>
          <w:tcPr>
            <w:tcW w:w="1094" w:type="dxa"/>
            <w:vMerge w:val="restart"/>
            <w:vAlign w:val="center"/>
          </w:tcPr>
          <w:p>
            <w:pPr>
              <w:pStyle w:val="6"/>
              <w:spacing w:line="360" w:lineRule="exact"/>
              <w:ind w:firstLine="0" w:firstLineChars="0"/>
              <w:jc w:val="center"/>
              <w:rPr>
                <w:rFonts w:ascii="Times New Roman" w:hAnsi="Times New Roman"/>
                <w:sz w:val="24"/>
                <w:szCs w:val="24"/>
              </w:rPr>
            </w:pPr>
            <w:r>
              <w:rPr>
                <w:rFonts w:ascii="Times New Roman" w:hAnsi="Times New Roman"/>
                <w:sz w:val="24"/>
                <w:szCs w:val="24"/>
              </w:rPr>
              <w:t>6</w:t>
            </w:r>
          </w:p>
        </w:tc>
        <w:tc>
          <w:tcPr>
            <w:tcW w:w="1840" w:type="dxa"/>
            <w:vMerge w:val="restart"/>
            <w:vAlign w:val="center"/>
          </w:tcPr>
          <w:p>
            <w:pPr>
              <w:pStyle w:val="6"/>
              <w:spacing w:line="360" w:lineRule="exact"/>
              <w:ind w:firstLine="0" w:firstLineChars="0"/>
              <w:jc w:val="center"/>
              <w:rPr>
                <w:rFonts w:ascii="Times New Roman" w:hAnsi="Times New Roman"/>
                <w:sz w:val="24"/>
                <w:szCs w:val="24"/>
              </w:rPr>
            </w:pPr>
            <w:r>
              <w:rPr>
                <w:rFonts w:hint="eastAsia" w:ascii="Times New Roman" w:hAnsi="Times New Roman"/>
                <w:sz w:val="24"/>
                <w:szCs w:val="24"/>
              </w:rPr>
              <w:t>打造国际柠檬交易中心</w:t>
            </w:r>
          </w:p>
        </w:tc>
        <w:tc>
          <w:tcPr>
            <w:tcW w:w="5243" w:type="dxa"/>
            <w:vAlign w:val="center"/>
          </w:tcPr>
          <w:p>
            <w:pPr>
              <w:pStyle w:val="6"/>
              <w:spacing w:line="360" w:lineRule="exact"/>
              <w:ind w:firstLine="0" w:firstLineChars="0"/>
              <w:jc w:val="both"/>
              <w:rPr>
                <w:rFonts w:ascii="Times New Roman" w:hAnsi="Times New Roman"/>
                <w:sz w:val="24"/>
                <w:szCs w:val="24"/>
              </w:rPr>
            </w:pPr>
            <w:r>
              <w:rPr>
                <w:rFonts w:ascii="Times New Roman" w:hAnsi="Times New Roman"/>
                <w:sz w:val="24"/>
                <w:szCs w:val="24"/>
              </w:rPr>
              <w:t>1.</w:t>
            </w:r>
            <w:r>
              <w:rPr>
                <w:rFonts w:hint="eastAsia" w:ascii="Times New Roman" w:hAnsi="Times New Roman"/>
                <w:sz w:val="24"/>
                <w:szCs w:val="24"/>
              </w:rPr>
              <w:t>创建区域性产地市场。申报创建国家级农产品（柠檬）产地专业市场，构建集柠檬仓储、分级、流通加工、包装、分拣、销售为一体的全产业链专业市场。</w:t>
            </w:r>
          </w:p>
        </w:tc>
        <w:tc>
          <w:tcPr>
            <w:tcW w:w="1870" w:type="dxa"/>
            <w:vAlign w:val="center"/>
          </w:tcPr>
          <w:p>
            <w:pPr>
              <w:pStyle w:val="6"/>
              <w:spacing w:line="360" w:lineRule="exact"/>
              <w:ind w:firstLine="0" w:firstLineChars="0"/>
              <w:jc w:val="center"/>
              <w:rPr>
                <w:rFonts w:ascii="Times New Roman" w:hAnsi="Times New Roman"/>
                <w:sz w:val="24"/>
                <w:szCs w:val="24"/>
              </w:rPr>
            </w:pPr>
            <w:r>
              <w:rPr>
                <w:rFonts w:hint="eastAsia" w:ascii="Times New Roman" w:hAnsi="Times New Roman"/>
                <w:sz w:val="24"/>
                <w:szCs w:val="24"/>
              </w:rPr>
              <w:t>区农业农村委</w:t>
            </w:r>
          </w:p>
        </w:tc>
        <w:tc>
          <w:tcPr>
            <w:tcW w:w="2205" w:type="dxa"/>
            <w:vAlign w:val="center"/>
          </w:tcPr>
          <w:p>
            <w:pPr>
              <w:pStyle w:val="6"/>
              <w:spacing w:line="360" w:lineRule="exact"/>
              <w:ind w:firstLine="0" w:firstLineChars="0"/>
              <w:jc w:val="center"/>
              <w:rPr>
                <w:rFonts w:ascii="Times New Roman" w:hAnsi="Times New Roman"/>
                <w:sz w:val="24"/>
                <w:szCs w:val="24"/>
              </w:rPr>
            </w:pPr>
            <w:r>
              <w:rPr>
                <w:rFonts w:hint="eastAsia" w:ascii="Times New Roman" w:hAnsi="Times New Roman"/>
                <w:spacing w:val="-11"/>
                <w:sz w:val="24"/>
                <w:szCs w:val="24"/>
              </w:rPr>
              <w:t>区农投集团</w:t>
            </w:r>
          </w:p>
        </w:tc>
        <w:tc>
          <w:tcPr>
            <w:tcW w:w="1350" w:type="dxa"/>
            <w:vAlign w:val="center"/>
          </w:tcPr>
          <w:p>
            <w:pPr>
              <w:pStyle w:val="6"/>
              <w:spacing w:line="360" w:lineRule="exact"/>
              <w:ind w:firstLine="0" w:firstLineChars="0"/>
              <w:jc w:val="center"/>
              <w:rPr>
                <w:rFonts w:ascii="Times New Roman" w:hAnsi="Times New Roman"/>
                <w:sz w:val="24"/>
                <w:szCs w:val="24"/>
              </w:rPr>
            </w:pPr>
            <w:r>
              <w:rPr>
                <w:rFonts w:ascii="Times New Roman" w:hAnsi="Times New Roman"/>
                <w:sz w:val="24"/>
                <w:szCs w:val="24"/>
              </w:rPr>
              <w:t>2025</w:t>
            </w:r>
            <w:r>
              <w:rPr>
                <w:rFonts w:hint="eastAsia" w:ascii="Times New Roman" w:hAnsi="Times New Roman"/>
                <w:sz w:val="24"/>
                <w:szCs w:val="24"/>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3" w:hRule="atLeast"/>
          <w:jc w:val="center"/>
        </w:trPr>
        <w:tc>
          <w:tcPr>
            <w:tcW w:w="1094" w:type="dxa"/>
            <w:vMerge w:val="continue"/>
            <w:vAlign w:val="center"/>
          </w:tcPr>
          <w:p>
            <w:pPr>
              <w:pStyle w:val="6"/>
              <w:spacing w:line="360" w:lineRule="exact"/>
              <w:ind w:firstLine="0" w:firstLineChars="0"/>
              <w:jc w:val="center"/>
              <w:rPr>
                <w:rFonts w:ascii="Times New Roman" w:hAnsi="Times New Roman"/>
                <w:sz w:val="24"/>
                <w:szCs w:val="24"/>
              </w:rPr>
            </w:pPr>
          </w:p>
        </w:tc>
        <w:tc>
          <w:tcPr>
            <w:tcW w:w="1840" w:type="dxa"/>
            <w:vMerge w:val="continue"/>
            <w:vAlign w:val="center"/>
          </w:tcPr>
          <w:p>
            <w:pPr>
              <w:pStyle w:val="6"/>
              <w:spacing w:line="360" w:lineRule="exact"/>
              <w:ind w:firstLine="0" w:firstLineChars="0"/>
              <w:jc w:val="both"/>
              <w:rPr>
                <w:rFonts w:ascii="Times New Roman" w:hAnsi="Times New Roman"/>
                <w:sz w:val="24"/>
                <w:szCs w:val="24"/>
              </w:rPr>
            </w:pPr>
          </w:p>
        </w:tc>
        <w:tc>
          <w:tcPr>
            <w:tcW w:w="5243" w:type="dxa"/>
            <w:vAlign w:val="center"/>
          </w:tcPr>
          <w:p>
            <w:pPr>
              <w:pStyle w:val="6"/>
              <w:spacing w:line="360" w:lineRule="exact"/>
              <w:ind w:firstLine="0" w:firstLineChars="0"/>
              <w:jc w:val="both"/>
              <w:rPr>
                <w:rFonts w:ascii="Times New Roman" w:hAnsi="Times New Roman"/>
                <w:spacing w:val="-11"/>
                <w:sz w:val="24"/>
                <w:szCs w:val="24"/>
              </w:rPr>
            </w:pPr>
            <w:r>
              <w:rPr>
                <w:rFonts w:ascii="Times New Roman" w:hAnsi="Times New Roman"/>
                <w:sz w:val="24"/>
                <w:szCs w:val="24"/>
              </w:rPr>
              <w:t>2.</w:t>
            </w:r>
            <w:r>
              <w:rPr>
                <w:rFonts w:hint="eastAsia" w:ascii="Times New Roman" w:hAnsi="Times New Roman"/>
                <w:sz w:val="24"/>
                <w:szCs w:val="24"/>
              </w:rPr>
              <w:t>打造线上综合服务平台。整合渤海商品交易所、银行、担保公司、供应链管理公司等，建设柠檬交易所数据平台，集成柠檬电子交易、在线支付、行情资讯、终端采购等综合服务。</w:t>
            </w:r>
          </w:p>
        </w:tc>
        <w:tc>
          <w:tcPr>
            <w:tcW w:w="1870" w:type="dxa"/>
            <w:vAlign w:val="center"/>
          </w:tcPr>
          <w:p>
            <w:pPr>
              <w:pStyle w:val="6"/>
              <w:spacing w:line="360" w:lineRule="exact"/>
              <w:ind w:firstLine="0" w:firstLineChars="0"/>
              <w:jc w:val="center"/>
              <w:rPr>
                <w:rFonts w:ascii="Times New Roman" w:hAnsi="Times New Roman"/>
                <w:spacing w:val="-20"/>
                <w:sz w:val="24"/>
                <w:szCs w:val="24"/>
              </w:rPr>
            </w:pPr>
            <w:r>
              <w:rPr>
                <w:rFonts w:hint="eastAsia" w:ascii="Times New Roman" w:hAnsi="Times New Roman"/>
                <w:sz w:val="24"/>
                <w:szCs w:val="24"/>
              </w:rPr>
              <w:t>区商务委</w:t>
            </w:r>
          </w:p>
        </w:tc>
        <w:tc>
          <w:tcPr>
            <w:tcW w:w="2205" w:type="dxa"/>
            <w:vAlign w:val="center"/>
          </w:tcPr>
          <w:p>
            <w:pPr>
              <w:pStyle w:val="6"/>
              <w:spacing w:line="360" w:lineRule="exact"/>
              <w:ind w:firstLine="0" w:firstLineChars="0"/>
              <w:jc w:val="center"/>
              <w:rPr>
                <w:rFonts w:ascii="Times New Roman" w:hAnsi="Times New Roman"/>
                <w:sz w:val="24"/>
                <w:szCs w:val="24"/>
              </w:rPr>
            </w:pPr>
            <w:r>
              <w:rPr>
                <w:rFonts w:hint="eastAsia" w:ascii="Times New Roman" w:hAnsi="Times New Roman"/>
                <w:sz w:val="24"/>
                <w:szCs w:val="24"/>
              </w:rPr>
              <w:t>区农业农村委</w:t>
            </w:r>
          </w:p>
          <w:p>
            <w:pPr>
              <w:pStyle w:val="6"/>
              <w:spacing w:line="360" w:lineRule="exact"/>
              <w:ind w:firstLine="0" w:firstLineChars="0"/>
              <w:jc w:val="center"/>
              <w:rPr>
                <w:rFonts w:ascii="Times New Roman" w:hAnsi="Times New Roman"/>
                <w:spacing w:val="-40"/>
                <w:sz w:val="24"/>
                <w:szCs w:val="24"/>
              </w:rPr>
            </w:pPr>
            <w:r>
              <w:rPr>
                <w:rFonts w:hint="eastAsia" w:ascii="Times New Roman" w:hAnsi="Times New Roman"/>
                <w:sz w:val="24"/>
                <w:szCs w:val="24"/>
              </w:rPr>
              <w:t>区农投集团</w:t>
            </w:r>
          </w:p>
        </w:tc>
        <w:tc>
          <w:tcPr>
            <w:tcW w:w="1350" w:type="dxa"/>
            <w:vAlign w:val="center"/>
          </w:tcPr>
          <w:p>
            <w:pPr>
              <w:pStyle w:val="6"/>
              <w:spacing w:line="360" w:lineRule="exact"/>
              <w:ind w:firstLine="0" w:firstLineChars="0"/>
              <w:jc w:val="center"/>
              <w:rPr>
                <w:rFonts w:ascii="Times New Roman" w:hAnsi="Times New Roman"/>
                <w:sz w:val="24"/>
                <w:szCs w:val="24"/>
              </w:rPr>
            </w:pPr>
            <w:r>
              <w:rPr>
                <w:rFonts w:ascii="Times New Roman" w:hAnsi="Times New Roman"/>
                <w:sz w:val="24"/>
                <w:szCs w:val="24"/>
              </w:rPr>
              <w:t>2025</w:t>
            </w:r>
            <w:r>
              <w:rPr>
                <w:rFonts w:hint="eastAsia" w:ascii="Times New Roman" w:hAnsi="Times New Roman"/>
                <w:sz w:val="24"/>
                <w:szCs w:val="24"/>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6" w:hRule="atLeast"/>
          <w:jc w:val="center"/>
        </w:trPr>
        <w:tc>
          <w:tcPr>
            <w:tcW w:w="1094" w:type="dxa"/>
            <w:vMerge w:val="continue"/>
            <w:vAlign w:val="center"/>
          </w:tcPr>
          <w:p>
            <w:pPr>
              <w:pStyle w:val="6"/>
              <w:spacing w:line="360" w:lineRule="exact"/>
              <w:ind w:firstLine="0" w:firstLineChars="0"/>
              <w:jc w:val="center"/>
              <w:rPr>
                <w:rFonts w:ascii="Times New Roman" w:hAnsi="Times New Roman"/>
                <w:sz w:val="24"/>
                <w:szCs w:val="24"/>
              </w:rPr>
            </w:pPr>
          </w:p>
        </w:tc>
        <w:tc>
          <w:tcPr>
            <w:tcW w:w="1840" w:type="dxa"/>
            <w:vMerge w:val="continue"/>
            <w:vAlign w:val="center"/>
          </w:tcPr>
          <w:p>
            <w:pPr>
              <w:pStyle w:val="6"/>
              <w:spacing w:line="360" w:lineRule="exact"/>
              <w:ind w:firstLine="0" w:firstLineChars="0"/>
              <w:jc w:val="both"/>
              <w:rPr>
                <w:rFonts w:ascii="Times New Roman" w:hAnsi="Times New Roman"/>
                <w:sz w:val="24"/>
                <w:szCs w:val="24"/>
              </w:rPr>
            </w:pPr>
          </w:p>
        </w:tc>
        <w:tc>
          <w:tcPr>
            <w:tcW w:w="5243" w:type="dxa"/>
            <w:vAlign w:val="center"/>
          </w:tcPr>
          <w:p>
            <w:pPr>
              <w:pStyle w:val="6"/>
              <w:spacing w:line="360" w:lineRule="exact"/>
              <w:ind w:firstLine="0" w:firstLineChars="0"/>
              <w:jc w:val="both"/>
              <w:rPr>
                <w:rFonts w:ascii="Times New Roman" w:hAnsi="Times New Roman"/>
                <w:sz w:val="24"/>
                <w:szCs w:val="24"/>
              </w:rPr>
            </w:pPr>
            <w:r>
              <w:rPr>
                <w:rFonts w:ascii="Times New Roman" w:hAnsi="Times New Roman"/>
                <w:sz w:val="24"/>
                <w:szCs w:val="24"/>
              </w:rPr>
              <w:t>3.</w:t>
            </w:r>
            <w:r>
              <w:rPr>
                <w:rFonts w:hint="eastAsia" w:ascii="Times New Roman" w:hAnsi="Times New Roman"/>
                <w:sz w:val="24"/>
                <w:szCs w:val="24"/>
              </w:rPr>
              <w:t>构建经销商网络。培育柠檬营销龙头企业</w:t>
            </w:r>
            <w:r>
              <w:rPr>
                <w:rFonts w:ascii="Times New Roman" w:hAnsi="Times New Roman"/>
                <w:sz w:val="24"/>
                <w:szCs w:val="24"/>
              </w:rPr>
              <w:t>20</w:t>
            </w:r>
            <w:r>
              <w:rPr>
                <w:rFonts w:hint="eastAsia" w:ascii="Times New Roman" w:hAnsi="Times New Roman"/>
                <w:sz w:val="24"/>
                <w:szCs w:val="24"/>
              </w:rPr>
              <w:t>家，营销经纪人</w:t>
            </w:r>
            <w:r>
              <w:rPr>
                <w:rFonts w:ascii="Times New Roman" w:hAnsi="Times New Roman"/>
                <w:sz w:val="24"/>
                <w:szCs w:val="24"/>
              </w:rPr>
              <w:t>150</w:t>
            </w:r>
            <w:r>
              <w:rPr>
                <w:rFonts w:hint="eastAsia" w:ascii="Times New Roman" w:hAnsi="Times New Roman"/>
                <w:sz w:val="24"/>
                <w:szCs w:val="24"/>
              </w:rPr>
              <w:t>人以上。</w:t>
            </w:r>
          </w:p>
        </w:tc>
        <w:tc>
          <w:tcPr>
            <w:tcW w:w="1870" w:type="dxa"/>
            <w:vAlign w:val="center"/>
          </w:tcPr>
          <w:p>
            <w:pPr>
              <w:pStyle w:val="6"/>
              <w:spacing w:line="360" w:lineRule="exact"/>
              <w:ind w:firstLine="0" w:firstLineChars="0"/>
              <w:jc w:val="center"/>
              <w:rPr>
                <w:rFonts w:ascii="Times New Roman" w:hAnsi="Times New Roman"/>
                <w:spacing w:val="-23"/>
                <w:sz w:val="24"/>
                <w:szCs w:val="24"/>
              </w:rPr>
            </w:pPr>
            <w:r>
              <w:rPr>
                <w:rFonts w:hint="eastAsia" w:ascii="Times New Roman" w:hAnsi="Times New Roman"/>
                <w:sz w:val="24"/>
                <w:szCs w:val="24"/>
              </w:rPr>
              <w:t>区商务委</w:t>
            </w:r>
          </w:p>
        </w:tc>
        <w:tc>
          <w:tcPr>
            <w:tcW w:w="2205" w:type="dxa"/>
            <w:vAlign w:val="center"/>
          </w:tcPr>
          <w:p>
            <w:pPr>
              <w:pStyle w:val="6"/>
              <w:spacing w:line="360" w:lineRule="exact"/>
              <w:ind w:firstLine="0" w:firstLineChars="0"/>
              <w:jc w:val="center"/>
              <w:rPr>
                <w:rFonts w:ascii="Times New Roman" w:hAnsi="Times New Roman"/>
                <w:sz w:val="24"/>
                <w:szCs w:val="24"/>
              </w:rPr>
            </w:pPr>
            <w:r>
              <w:rPr>
                <w:rFonts w:hint="eastAsia" w:ascii="Times New Roman" w:hAnsi="Times New Roman"/>
                <w:sz w:val="24"/>
                <w:szCs w:val="24"/>
              </w:rPr>
              <w:t>区农业农村委</w:t>
            </w:r>
          </w:p>
          <w:p>
            <w:pPr>
              <w:pStyle w:val="6"/>
              <w:spacing w:line="360" w:lineRule="exact"/>
              <w:ind w:firstLine="0" w:firstLineChars="0"/>
              <w:jc w:val="center"/>
              <w:rPr>
                <w:rFonts w:ascii="Times New Roman" w:hAnsi="Times New Roman"/>
                <w:sz w:val="24"/>
                <w:szCs w:val="24"/>
              </w:rPr>
            </w:pPr>
            <w:r>
              <w:rPr>
                <w:rFonts w:hint="eastAsia" w:ascii="Times New Roman" w:hAnsi="Times New Roman"/>
                <w:sz w:val="24"/>
                <w:szCs w:val="24"/>
              </w:rPr>
              <w:t>区农投集团</w:t>
            </w:r>
          </w:p>
        </w:tc>
        <w:tc>
          <w:tcPr>
            <w:tcW w:w="1350" w:type="dxa"/>
            <w:vAlign w:val="center"/>
          </w:tcPr>
          <w:p>
            <w:pPr>
              <w:pStyle w:val="6"/>
              <w:spacing w:line="360" w:lineRule="exact"/>
              <w:ind w:firstLine="0" w:firstLineChars="0"/>
              <w:jc w:val="center"/>
              <w:rPr>
                <w:rFonts w:ascii="Times New Roman" w:hAnsi="Times New Roman"/>
                <w:sz w:val="24"/>
                <w:szCs w:val="24"/>
              </w:rPr>
            </w:pPr>
            <w:r>
              <w:rPr>
                <w:rFonts w:ascii="Times New Roman" w:hAnsi="Times New Roman"/>
                <w:sz w:val="24"/>
                <w:szCs w:val="24"/>
              </w:rPr>
              <w:t>2025</w:t>
            </w:r>
            <w:r>
              <w:rPr>
                <w:rFonts w:hint="eastAsia" w:ascii="Times New Roman" w:hAnsi="Times New Roman"/>
                <w:sz w:val="24"/>
                <w:szCs w:val="24"/>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0" w:hRule="atLeast"/>
          <w:jc w:val="center"/>
        </w:trPr>
        <w:tc>
          <w:tcPr>
            <w:tcW w:w="1094" w:type="dxa"/>
            <w:vAlign w:val="center"/>
          </w:tcPr>
          <w:p>
            <w:pPr>
              <w:pStyle w:val="6"/>
              <w:spacing w:line="360" w:lineRule="exact"/>
              <w:ind w:firstLine="0" w:firstLineChars="0"/>
              <w:jc w:val="center"/>
              <w:rPr>
                <w:rFonts w:ascii="Times New Roman" w:hAnsi="Times New Roman"/>
                <w:sz w:val="24"/>
                <w:szCs w:val="24"/>
              </w:rPr>
            </w:pPr>
            <w:r>
              <w:rPr>
                <w:rFonts w:ascii="Times New Roman" w:hAnsi="Times New Roman"/>
                <w:sz w:val="24"/>
                <w:szCs w:val="24"/>
              </w:rPr>
              <w:t>7</w:t>
            </w:r>
          </w:p>
        </w:tc>
        <w:tc>
          <w:tcPr>
            <w:tcW w:w="1840" w:type="dxa"/>
            <w:vAlign w:val="center"/>
          </w:tcPr>
          <w:p>
            <w:pPr>
              <w:pStyle w:val="6"/>
              <w:spacing w:line="360" w:lineRule="exact"/>
              <w:ind w:firstLine="0" w:firstLineChars="0"/>
              <w:jc w:val="center"/>
              <w:rPr>
                <w:rFonts w:ascii="Times New Roman" w:hAnsi="Times New Roman"/>
                <w:sz w:val="24"/>
                <w:szCs w:val="24"/>
              </w:rPr>
            </w:pPr>
            <w:r>
              <w:rPr>
                <w:rFonts w:hint="eastAsia" w:ascii="Times New Roman" w:hAnsi="Times New Roman"/>
                <w:sz w:val="24"/>
                <w:szCs w:val="24"/>
              </w:rPr>
              <w:t>设立柠檬产业发展风险补偿金</w:t>
            </w:r>
          </w:p>
        </w:tc>
        <w:tc>
          <w:tcPr>
            <w:tcW w:w="5243" w:type="dxa"/>
            <w:vAlign w:val="center"/>
          </w:tcPr>
          <w:p>
            <w:pPr>
              <w:pStyle w:val="6"/>
              <w:spacing w:line="360" w:lineRule="exact"/>
              <w:ind w:firstLine="0" w:firstLineChars="0"/>
              <w:jc w:val="both"/>
              <w:rPr>
                <w:rFonts w:ascii="Times New Roman" w:hAnsi="Times New Roman"/>
                <w:sz w:val="24"/>
                <w:szCs w:val="24"/>
              </w:rPr>
            </w:pPr>
            <w:r>
              <w:rPr>
                <w:rFonts w:hint="eastAsia" w:ascii="Times New Roman" w:hAnsi="Times New Roman"/>
                <w:sz w:val="24"/>
                <w:szCs w:val="24"/>
              </w:rPr>
              <w:t>区财政统筹资金设立柠檬产业发展风险补偿金，五年内规模达到</w:t>
            </w:r>
            <w:r>
              <w:rPr>
                <w:rFonts w:ascii="Times New Roman" w:hAnsi="Times New Roman"/>
                <w:sz w:val="24"/>
                <w:szCs w:val="24"/>
              </w:rPr>
              <w:t>1</w:t>
            </w:r>
            <w:r>
              <w:rPr>
                <w:rFonts w:hint="eastAsia" w:ascii="Times New Roman" w:hAnsi="Times New Roman"/>
                <w:sz w:val="24"/>
                <w:szCs w:val="24"/>
              </w:rPr>
              <w:t>亿元以上，拓宽柠檬产业融资渠道、降低融资成本，重点支持柠檬全产业链发展。</w:t>
            </w:r>
          </w:p>
        </w:tc>
        <w:tc>
          <w:tcPr>
            <w:tcW w:w="1870" w:type="dxa"/>
            <w:vAlign w:val="center"/>
          </w:tcPr>
          <w:p>
            <w:pPr>
              <w:pStyle w:val="6"/>
              <w:spacing w:line="360" w:lineRule="exact"/>
              <w:ind w:firstLine="0" w:firstLineChars="0"/>
              <w:jc w:val="center"/>
              <w:rPr>
                <w:rFonts w:ascii="Times New Roman" w:hAnsi="Times New Roman"/>
                <w:spacing w:val="-11"/>
                <w:sz w:val="24"/>
                <w:szCs w:val="24"/>
              </w:rPr>
            </w:pPr>
            <w:r>
              <w:rPr>
                <w:rFonts w:hint="eastAsia" w:ascii="Times New Roman" w:hAnsi="Times New Roman"/>
                <w:sz w:val="24"/>
                <w:szCs w:val="24"/>
              </w:rPr>
              <w:t>区农业农村委</w:t>
            </w:r>
          </w:p>
        </w:tc>
        <w:tc>
          <w:tcPr>
            <w:tcW w:w="2205" w:type="dxa"/>
            <w:vAlign w:val="center"/>
          </w:tcPr>
          <w:p>
            <w:pPr>
              <w:pStyle w:val="6"/>
              <w:spacing w:line="360" w:lineRule="exact"/>
              <w:ind w:firstLine="0" w:firstLineChars="0"/>
              <w:jc w:val="center"/>
              <w:rPr>
                <w:rFonts w:ascii="Times New Roman" w:hAnsi="Times New Roman"/>
                <w:spacing w:val="-11"/>
                <w:sz w:val="24"/>
                <w:szCs w:val="24"/>
              </w:rPr>
            </w:pPr>
            <w:r>
              <w:rPr>
                <w:rFonts w:hint="eastAsia" w:ascii="Times New Roman" w:hAnsi="Times New Roman"/>
                <w:spacing w:val="-11"/>
                <w:sz w:val="24"/>
                <w:szCs w:val="24"/>
              </w:rPr>
              <w:t>区财政局</w:t>
            </w:r>
          </w:p>
          <w:p>
            <w:pPr>
              <w:pStyle w:val="6"/>
              <w:spacing w:line="360" w:lineRule="exact"/>
              <w:ind w:firstLine="0" w:firstLineChars="0"/>
              <w:jc w:val="center"/>
              <w:rPr>
                <w:rFonts w:ascii="Times New Roman" w:hAnsi="Times New Roman"/>
                <w:spacing w:val="-11"/>
                <w:sz w:val="24"/>
                <w:szCs w:val="24"/>
              </w:rPr>
            </w:pPr>
            <w:r>
              <w:rPr>
                <w:rFonts w:hint="eastAsia" w:ascii="Times New Roman" w:hAnsi="Times New Roman"/>
                <w:spacing w:val="-11"/>
                <w:sz w:val="24"/>
                <w:szCs w:val="24"/>
              </w:rPr>
              <w:t>区农投集团</w:t>
            </w:r>
          </w:p>
        </w:tc>
        <w:tc>
          <w:tcPr>
            <w:tcW w:w="1350" w:type="dxa"/>
            <w:vAlign w:val="center"/>
          </w:tcPr>
          <w:p>
            <w:pPr>
              <w:pStyle w:val="6"/>
              <w:spacing w:line="360" w:lineRule="exact"/>
              <w:ind w:firstLine="0" w:firstLineChars="0"/>
              <w:jc w:val="center"/>
              <w:rPr>
                <w:rFonts w:ascii="Times New Roman" w:hAnsi="Times New Roman"/>
                <w:sz w:val="24"/>
                <w:szCs w:val="24"/>
              </w:rPr>
            </w:pPr>
            <w:r>
              <w:rPr>
                <w:rFonts w:ascii="Times New Roman" w:hAnsi="Times New Roman"/>
                <w:sz w:val="24"/>
                <w:szCs w:val="24"/>
              </w:rPr>
              <w:t>2021</w:t>
            </w:r>
            <w:r>
              <w:rPr>
                <w:rFonts w:hint="eastAsia" w:ascii="Times New Roman" w:hAnsi="Times New Roman"/>
                <w:sz w:val="24"/>
                <w:szCs w:val="24"/>
              </w:rPr>
              <w:t>年</w:t>
            </w:r>
          </w:p>
        </w:tc>
      </w:tr>
    </w:tbl>
    <w:p>
      <w:pPr>
        <w:pStyle w:val="9"/>
        <w:ind w:left="1060" w:hanging="640"/>
        <w:rPr>
          <w:rFonts w:ascii="Times New Roman" w:hAnsi="Times New Roman" w:eastAsia="方正黑体_GBK" w:cs="Times New Roman"/>
          <w:sz w:val="32"/>
          <w:szCs w:val="32"/>
        </w:rPr>
        <w:sectPr>
          <w:headerReference r:id="rId6" w:type="default"/>
          <w:footerReference r:id="rId7" w:type="default"/>
          <w:pgSz w:w="16838" w:h="11906" w:orient="landscape"/>
          <w:pgMar w:top="1962" w:right="1474" w:bottom="1848" w:left="1587" w:header="851" w:footer="992" w:gutter="0"/>
          <w:cols w:space="720" w:num="1"/>
          <w:docGrid w:type="linesAndChars" w:linePitch="312" w:charSpace="0"/>
        </w:sectPr>
      </w:pPr>
    </w:p>
    <w:p>
      <w:pPr>
        <w:spacing w:line="600" w:lineRule="exact"/>
        <w:rPr>
          <w:rFonts w:eastAsia="方正小标宋_GBK"/>
          <w:sz w:val="44"/>
          <w:szCs w:val="44"/>
        </w:rPr>
      </w:pPr>
      <w:r>
        <w:rPr>
          <w:rFonts w:hint="eastAsia" w:eastAsia="方正黑体_GBK"/>
          <w:sz w:val="32"/>
          <w:szCs w:val="32"/>
        </w:rPr>
        <w:t>附件</w:t>
      </w:r>
      <w:r>
        <w:rPr>
          <w:rFonts w:eastAsia="方正黑体_GBK"/>
          <w:sz w:val="32"/>
          <w:szCs w:val="32"/>
        </w:rPr>
        <w:t>2</w:t>
      </w:r>
    </w:p>
    <w:p>
      <w:pPr>
        <w:spacing w:line="600" w:lineRule="exact"/>
        <w:jc w:val="center"/>
        <w:rPr>
          <w:rFonts w:hint="eastAsia" w:eastAsia="方正小标宋_GBK"/>
          <w:sz w:val="44"/>
          <w:szCs w:val="44"/>
        </w:rPr>
      </w:pPr>
    </w:p>
    <w:p>
      <w:pPr>
        <w:spacing w:line="600" w:lineRule="exact"/>
        <w:jc w:val="center"/>
        <w:rPr>
          <w:rFonts w:eastAsia="方正小标宋_GBK"/>
          <w:kern w:val="0"/>
          <w:sz w:val="32"/>
          <w:szCs w:val="32"/>
        </w:rPr>
      </w:pPr>
      <w:r>
        <w:rPr>
          <w:rFonts w:hint="eastAsia" w:eastAsia="方正小标宋_GBK"/>
          <w:sz w:val="44"/>
          <w:szCs w:val="44"/>
        </w:rPr>
        <w:t>做大做强柠檬产业集群有关政策措施</w:t>
      </w:r>
    </w:p>
    <w:p>
      <w:pPr>
        <w:spacing w:line="600" w:lineRule="exact"/>
        <w:ind w:firstLine="640" w:firstLineChars="200"/>
        <w:rPr>
          <w:rFonts w:eastAsia="方正仿宋_GBK"/>
          <w:sz w:val="32"/>
          <w:szCs w:val="32"/>
        </w:rPr>
      </w:pPr>
    </w:p>
    <w:p>
      <w:pPr>
        <w:spacing w:line="600" w:lineRule="exact"/>
        <w:ind w:firstLine="640" w:firstLineChars="200"/>
        <w:rPr>
          <w:rFonts w:eastAsia="方正仿宋_GBK"/>
          <w:sz w:val="32"/>
          <w:szCs w:val="32"/>
        </w:rPr>
      </w:pPr>
      <w:r>
        <w:rPr>
          <w:rFonts w:hint="eastAsia" w:eastAsia="方正仿宋_GBK"/>
          <w:sz w:val="32"/>
          <w:szCs w:val="32"/>
        </w:rPr>
        <w:t>为进一步激励农业企业、农民合作社、家庭农场等新型经营主体及集体经济组织持续高质量发展柠檬产业，着力做大做强柠檬特色产业集群，加快形成潼南百亿级柠檬产业链核心区，特制订如下政策。</w:t>
      </w:r>
    </w:p>
    <w:p>
      <w:pPr>
        <w:pStyle w:val="6"/>
        <w:spacing w:line="600" w:lineRule="exact"/>
        <w:ind w:firstLine="640"/>
        <w:jc w:val="both"/>
        <w:rPr>
          <w:rFonts w:ascii="Times New Roman" w:hAnsi="Times New Roman"/>
        </w:rPr>
      </w:pPr>
      <w:r>
        <w:rPr>
          <w:rFonts w:hint="eastAsia" w:ascii="Times New Roman" w:hAnsi="Times New Roman" w:eastAsia="方正黑体_GBK"/>
        </w:rPr>
        <w:t>一、设立柠檬产业发展风险补偿金。</w:t>
      </w:r>
      <w:r>
        <w:rPr>
          <w:rFonts w:hint="eastAsia" w:ascii="Times New Roman" w:hAnsi="Times New Roman"/>
        </w:rPr>
        <w:t>以拓宽企业融资渠道、降低融资成本为功能核心，设立柠檬产业发展风险补偿金，五年内规模达到</w:t>
      </w:r>
      <w:r>
        <w:rPr>
          <w:rFonts w:ascii="Times New Roman" w:hAnsi="Times New Roman"/>
        </w:rPr>
        <w:t>1</w:t>
      </w:r>
      <w:r>
        <w:rPr>
          <w:rFonts w:hint="eastAsia" w:ascii="Times New Roman" w:hAnsi="Times New Roman"/>
        </w:rPr>
        <w:t>亿元以上。通过财政提供资金储备，与金融机构合作，为柠檬产业融资提供风险补偿，扩大信贷规模。与担保机构合作，为柠檬产业发展提供融资担保支持，推动柠檬全产业链发展。（牵头单位：区农业农村委；配合单位：区财政局、区农投集团）</w:t>
      </w:r>
    </w:p>
    <w:p>
      <w:pPr>
        <w:spacing w:line="600" w:lineRule="exact"/>
        <w:ind w:firstLine="640" w:firstLineChars="200"/>
        <w:rPr>
          <w:rFonts w:eastAsia="方正仿宋_GBK"/>
          <w:sz w:val="32"/>
          <w:szCs w:val="32"/>
        </w:rPr>
      </w:pPr>
      <w:r>
        <w:rPr>
          <w:rFonts w:hint="eastAsia" w:eastAsia="方正黑体_GBK"/>
          <w:sz w:val="32"/>
          <w:szCs w:val="32"/>
        </w:rPr>
        <w:t>二、支持柠檬产业基地标准化建设。</w:t>
      </w:r>
      <w:r>
        <w:rPr>
          <w:rFonts w:hint="eastAsia" w:eastAsia="方正仿宋_GBK"/>
          <w:sz w:val="32"/>
          <w:szCs w:val="32"/>
        </w:rPr>
        <w:t>实施柠檬标准园创建行动计划，新建柠檬标准化基地</w:t>
      </w:r>
      <w:r>
        <w:rPr>
          <w:rFonts w:eastAsia="方正仿宋_GBK"/>
          <w:sz w:val="32"/>
          <w:szCs w:val="32"/>
        </w:rPr>
        <w:t>200</w:t>
      </w:r>
      <w:r>
        <w:rPr>
          <w:rFonts w:hint="eastAsia" w:eastAsia="方正仿宋_GBK"/>
          <w:sz w:val="32"/>
          <w:szCs w:val="32"/>
        </w:rPr>
        <w:t>亩以上的每亩补助</w:t>
      </w:r>
      <w:r>
        <w:rPr>
          <w:rFonts w:eastAsia="方正仿宋_GBK"/>
          <w:sz w:val="32"/>
          <w:szCs w:val="32"/>
        </w:rPr>
        <w:t>1200</w:t>
      </w:r>
      <w:r>
        <w:rPr>
          <w:rFonts w:hint="eastAsia" w:eastAsia="方正仿宋_GBK"/>
          <w:sz w:val="32"/>
          <w:szCs w:val="32"/>
        </w:rPr>
        <w:t>元，老基地标准化改造每亩补助</w:t>
      </w:r>
      <w:r>
        <w:rPr>
          <w:rFonts w:eastAsia="方正仿宋_GBK"/>
          <w:sz w:val="32"/>
          <w:szCs w:val="32"/>
        </w:rPr>
        <w:t>400</w:t>
      </w:r>
      <w:r>
        <w:rPr>
          <w:rFonts w:hint="eastAsia" w:eastAsia="方正仿宋_GBK"/>
          <w:sz w:val="32"/>
          <w:szCs w:val="32"/>
        </w:rPr>
        <w:t>元，主要采用担保贴费、贷款贴息、农业保险等方式进行补助；在实施标准化基础上，建成柠檬出口备案基地的，每亩增加补助</w:t>
      </w:r>
      <w:r>
        <w:rPr>
          <w:rFonts w:eastAsia="方正仿宋_GBK"/>
          <w:sz w:val="32"/>
          <w:szCs w:val="32"/>
        </w:rPr>
        <w:t>200</w:t>
      </w:r>
      <w:r>
        <w:rPr>
          <w:rFonts w:hint="eastAsia" w:eastAsia="方正仿宋_GBK"/>
          <w:sz w:val="32"/>
          <w:szCs w:val="32"/>
        </w:rPr>
        <w:t>元。支持低效林改造种植柠檬，全面享受低效林改造相关政策。（牵头单位：区农业农村委；配合单位：区商务委、区林业局，有关镇街）</w:t>
      </w:r>
    </w:p>
    <w:p>
      <w:pPr>
        <w:pStyle w:val="6"/>
        <w:spacing w:line="600" w:lineRule="exact"/>
        <w:ind w:firstLine="640"/>
        <w:jc w:val="both"/>
        <w:rPr>
          <w:rFonts w:ascii="Times New Roman" w:hAnsi="Times New Roman"/>
        </w:rPr>
      </w:pPr>
      <w:r>
        <w:rPr>
          <w:rFonts w:hint="eastAsia" w:ascii="Times New Roman" w:hAnsi="Times New Roman" w:eastAsia="方正黑体_GBK"/>
          <w:szCs w:val="32"/>
        </w:rPr>
        <w:t>三、全力保障柠檬产业发展用地。</w:t>
      </w:r>
      <w:r>
        <w:rPr>
          <w:rFonts w:hint="eastAsia" w:ascii="Times New Roman" w:hAnsi="Times New Roman"/>
        </w:rPr>
        <w:t>全面落实设施农用地政策，解决柠檬企业生产用地。柠檬经营主体可将不超过用地规模的</w:t>
      </w:r>
      <w:r>
        <w:rPr>
          <w:rFonts w:ascii="Times New Roman" w:hAnsi="Times New Roman"/>
        </w:rPr>
        <w:t>5%</w:t>
      </w:r>
      <w:r>
        <w:rPr>
          <w:rFonts w:hint="eastAsia" w:ascii="方正仿宋_GBK" w:hAnsi="方正仿宋_GBK" w:cs="方正仿宋_GBK"/>
          <w:sz w:val="31"/>
          <w:szCs w:val="31"/>
          <w:shd w:val="clear" w:color="auto" w:fill="FFFFFF"/>
        </w:rPr>
        <w:t>（露天种植的以流转种植面积为准）</w:t>
      </w:r>
      <w:r>
        <w:rPr>
          <w:rFonts w:hint="eastAsia" w:ascii="Times New Roman" w:hAnsi="Times New Roman"/>
        </w:rPr>
        <w:t>用于辅助设施建设，其中，种植面积在</w:t>
      </w:r>
      <w:r>
        <w:rPr>
          <w:rFonts w:ascii="Times New Roman" w:hAnsi="Times New Roman"/>
        </w:rPr>
        <w:t>500</w:t>
      </w:r>
      <w:r>
        <w:rPr>
          <w:rFonts w:hint="eastAsia" w:ascii="Times New Roman" w:hAnsi="Times New Roman"/>
        </w:rPr>
        <w:t>亩及以下的，辅助设施用地规模控制在</w:t>
      </w:r>
      <w:r>
        <w:rPr>
          <w:rFonts w:ascii="Times New Roman" w:hAnsi="Times New Roman"/>
        </w:rPr>
        <w:t>3</w:t>
      </w:r>
      <w:r>
        <w:rPr>
          <w:rFonts w:hint="eastAsia" w:ascii="Times New Roman" w:hAnsi="Times New Roman"/>
        </w:rPr>
        <w:t>亩以内，</w:t>
      </w:r>
      <w:r>
        <w:rPr>
          <w:rFonts w:ascii="Times New Roman" w:hAnsi="Times New Roman"/>
        </w:rPr>
        <w:t> 500</w:t>
      </w:r>
      <w:r>
        <w:rPr>
          <w:rFonts w:hint="eastAsia" w:ascii="Times New Roman" w:hAnsi="Times New Roman"/>
        </w:rPr>
        <w:t>至</w:t>
      </w:r>
      <w:r>
        <w:rPr>
          <w:rFonts w:ascii="Times New Roman" w:hAnsi="Times New Roman"/>
        </w:rPr>
        <w:t>1000</w:t>
      </w:r>
      <w:r>
        <w:rPr>
          <w:rFonts w:hint="eastAsia" w:ascii="Times New Roman" w:hAnsi="Times New Roman"/>
        </w:rPr>
        <w:t>亩之间的，控制在</w:t>
      </w:r>
      <w:r>
        <w:rPr>
          <w:rFonts w:ascii="Times New Roman" w:hAnsi="Times New Roman"/>
        </w:rPr>
        <w:t>5</w:t>
      </w:r>
      <w:r>
        <w:rPr>
          <w:rFonts w:hint="eastAsia" w:ascii="Times New Roman" w:hAnsi="Times New Roman"/>
        </w:rPr>
        <w:t>亩以内，</w:t>
      </w:r>
      <w:r>
        <w:rPr>
          <w:rFonts w:ascii="Times New Roman" w:hAnsi="Times New Roman"/>
        </w:rPr>
        <w:t>1000</w:t>
      </w:r>
      <w:r>
        <w:rPr>
          <w:rFonts w:hint="eastAsia" w:ascii="Times New Roman" w:hAnsi="Times New Roman"/>
        </w:rPr>
        <w:t>亩及以上的，控制在</w:t>
      </w:r>
      <w:r>
        <w:rPr>
          <w:rFonts w:ascii="Times New Roman" w:hAnsi="Times New Roman"/>
        </w:rPr>
        <w:t>10</w:t>
      </w:r>
      <w:r>
        <w:rPr>
          <w:rFonts w:hint="eastAsia" w:ascii="Times New Roman" w:hAnsi="Times New Roman"/>
        </w:rPr>
        <w:t>亩以内。规模生产中必须兴建的自用初加工辅助设施占地原则上不超过</w:t>
      </w:r>
      <w:r>
        <w:rPr>
          <w:rFonts w:ascii="Times New Roman" w:hAnsi="Times New Roman"/>
        </w:rPr>
        <w:t>1000</w:t>
      </w:r>
      <w:r>
        <w:rPr>
          <w:rFonts w:hint="eastAsia" w:ascii="Times New Roman" w:hAnsi="Times New Roman"/>
        </w:rPr>
        <w:t>平方米。（牵头单位：区规划自然资源局；配合单位：区农业农村委、区高新区管委会，有关镇街）</w:t>
      </w:r>
    </w:p>
    <w:p>
      <w:pPr>
        <w:pStyle w:val="6"/>
        <w:spacing w:line="600" w:lineRule="exact"/>
        <w:ind w:firstLine="640"/>
        <w:jc w:val="both"/>
        <w:rPr>
          <w:rFonts w:ascii="Times New Roman" w:hAnsi="Times New Roman"/>
        </w:rPr>
      </w:pPr>
      <w:r>
        <w:rPr>
          <w:rFonts w:hint="eastAsia" w:ascii="Times New Roman" w:hAnsi="Times New Roman" w:eastAsia="方正黑体_GBK"/>
        </w:rPr>
        <w:t>四、加快发展产地冷链仓储设施。</w:t>
      </w:r>
      <w:r>
        <w:rPr>
          <w:rFonts w:hint="eastAsia" w:ascii="Times New Roman" w:hAnsi="Times New Roman"/>
        </w:rPr>
        <w:t>以拓展完善柠檬鲜果及其产品初选、仓储服务为重点，支持修建冷库设施，新建冷库面积在</w:t>
      </w:r>
      <w:r>
        <w:rPr>
          <w:rFonts w:ascii="Times New Roman" w:hAnsi="Times New Roman"/>
        </w:rPr>
        <w:t>500m</w:t>
      </w:r>
      <w:r>
        <w:rPr>
          <w:rFonts w:ascii="Times New Roman" w:hAnsi="Times New Roman"/>
          <w:vertAlign w:val="superscript"/>
        </w:rPr>
        <w:t>2</w:t>
      </w:r>
      <w:r>
        <w:rPr>
          <w:rFonts w:hint="eastAsia" w:ascii="Times New Roman" w:hAnsi="Times New Roman"/>
        </w:rPr>
        <w:t>以上、仓储能力在</w:t>
      </w:r>
      <w:r>
        <w:rPr>
          <w:rFonts w:ascii="Times New Roman" w:hAnsi="Times New Roman"/>
        </w:rPr>
        <w:t>2500</w:t>
      </w:r>
      <w:r>
        <w:rPr>
          <w:rFonts w:hint="eastAsia" w:ascii="Times New Roman" w:hAnsi="Times New Roman"/>
        </w:rPr>
        <w:t>吨以上且含初选加工设施的，每平方米补助</w:t>
      </w:r>
      <w:r>
        <w:rPr>
          <w:rFonts w:ascii="Times New Roman" w:hAnsi="Times New Roman"/>
        </w:rPr>
        <w:t>400</w:t>
      </w:r>
      <w:r>
        <w:rPr>
          <w:rFonts w:hint="eastAsia" w:ascii="Times New Roman" w:hAnsi="Times New Roman"/>
        </w:rPr>
        <w:t>元，补助总金额</w:t>
      </w:r>
      <w:r>
        <w:rPr>
          <w:rFonts w:hint="eastAsia"/>
          <w:lang w:val="zh-CN"/>
        </w:rPr>
        <w:t>不超过建设总造价的</w:t>
      </w:r>
      <w:r>
        <w:rPr>
          <w:lang w:val="zh-CN"/>
        </w:rPr>
        <w:t>30%</w:t>
      </w:r>
      <w:r>
        <w:rPr>
          <w:rFonts w:hint="eastAsia"/>
          <w:lang w:val="zh-CN"/>
        </w:rPr>
        <w:t>，</w:t>
      </w:r>
      <w:r>
        <w:rPr>
          <w:rFonts w:hint="eastAsia" w:ascii="Times New Roman" w:hAnsi="Times New Roman"/>
        </w:rPr>
        <w:t>且不超过</w:t>
      </w:r>
      <w:r>
        <w:rPr>
          <w:rFonts w:ascii="Times New Roman" w:hAnsi="Times New Roman"/>
        </w:rPr>
        <w:t>40</w:t>
      </w:r>
      <w:r>
        <w:rPr>
          <w:rFonts w:hint="eastAsia" w:ascii="Times New Roman" w:hAnsi="Times New Roman"/>
        </w:rPr>
        <w:t>万元。（牵头单位：区农业农村委；配合单位：区商务委、区高新区管委会、区农投集团）</w:t>
      </w:r>
    </w:p>
    <w:p>
      <w:pPr>
        <w:pStyle w:val="2"/>
        <w:spacing w:line="600" w:lineRule="exact"/>
        <w:ind w:left="0" w:firstLine="640" w:firstLineChars="200"/>
        <w:rPr>
          <w:rFonts w:ascii="Times New Roman" w:hAnsi="Times New Roman" w:eastAsia="方正仿宋_GBK" w:cs="Times New Roman"/>
          <w:sz w:val="32"/>
          <w:szCs w:val="32"/>
        </w:rPr>
      </w:pPr>
      <w:r>
        <w:rPr>
          <w:rFonts w:hint="eastAsia" w:ascii="Times New Roman" w:hAnsi="Times New Roman" w:eastAsia="方正黑体_GBK" w:cs="Times New Roman"/>
          <w:sz w:val="32"/>
          <w:szCs w:val="32"/>
        </w:rPr>
        <w:t>五、大力发展柠檬精深加工。</w:t>
      </w:r>
      <w:r>
        <w:rPr>
          <w:rFonts w:hint="eastAsia" w:ascii="Times New Roman" w:hAnsi="Times New Roman" w:eastAsia="方正仿宋_GBK" w:cs="Times New Roman"/>
          <w:sz w:val="32"/>
          <w:szCs w:val="32"/>
        </w:rPr>
        <w:t>在潼柠檬加工企业，享受财政资金补助、贷款贴息、融资担保、贷款风险补偿等政策。生产性设备投资超过</w:t>
      </w:r>
      <w:r>
        <w:rPr>
          <w:rFonts w:ascii="Times New Roman" w:hAnsi="Times New Roman" w:eastAsia="方正仿宋_GBK" w:cs="Times New Roman"/>
          <w:sz w:val="32"/>
          <w:szCs w:val="32"/>
        </w:rPr>
        <w:t>2000</w:t>
      </w:r>
      <w:r>
        <w:rPr>
          <w:rFonts w:hint="eastAsia" w:ascii="Times New Roman" w:hAnsi="Times New Roman" w:eastAsia="方正仿宋_GBK" w:cs="Times New Roman"/>
          <w:sz w:val="32"/>
          <w:szCs w:val="32"/>
        </w:rPr>
        <w:t>万元以上的柠檬精深加工企业，按新购置设备金额的</w:t>
      </w:r>
      <w:r>
        <w:rPr>
          <w:rFonts w:ascii="Times New Roman" w:hAnsi="Times New Roman" w:eastAsia="方正仿宋_GBK" w:cs="Times New Roman"/>
          <w:sz w:val="32"/>
          <w:szCs w:val="32"/>
        </w:rPr>
        <w:t>5%</w:t>
      </w:r>
      <w:r>
        <w:rPr>
          <w:rFonts w:hint="eastAsia" w:ascii="Times New Roman" w:hAnsi="Times New Roman" w:eastAsia="方正仿宋_GBK" w:cs="Times New Roman"/>
          <w:sz w:val="32"/>
          <w:szCs w:val="32"/>
        </w:rPr>
        <w:t>予以设备补贴，单个企业不超过</w:t>
      </w:r>
      <w:r>
        <w:rPr>
          <w:rFonts w:ascii="Times New Roman" w:hAnsi="Times New Roman" w:eastAsia="方正仿宋_GBK" w:cs="Times New Roman"/>
          <w:sz w:val="32"/>
          <w:szCs w:val="32"/>
        </w:rPr>
        <w:t>200</w:t>
      </w:r>
      <w:r>
        <w:rPr>
          <w:rFonts w:hint="eastAsia" w:ascii="Times New Roman" w:hAnsi="Times New Roman" w:eastAsia="方正仿宋_GBK" w:cs="Times New Roman"/>
          <w:sz w:val="32"/>
          <w:szCs w:val="32"/>
        </w:rPr>
        <w:t>万元。（牵头单位：区高新区管委会；配合单位：区经济信息委、区规划自然资源局、区农业农村委、区农投集团）</w:t>
      </w:r>
      <w:r>
        <w:rPr>
          <w:rFonts w:ascii="Times New Roman" w:hAnsi="Times New Roman" w:eastAsia="方正仿宋_GBK" w:cs="Times New Roman"/>
          <w:sz w:val="32"/>
          <w:szCs w:val="32"/>
        </w:rPr>
        <w:t xml:space="preserve">     </w:t>
      </w:r>
    </w:p>
    <w:p>
      <w:pPr>
        <w:pStyle w:val="6"/>
        <w:spacing w:line="600" w:lineRule="exact"/>
        <w:ind w:firstLine="640"/>
        <w:jc w:val="both"/>
        <w:rPr>
          <w:rFonts w:ascii="Times New Roman" w:hAnsi="Times New Roman"/>
        </w:rPr>
      </w:pPr>
      <w:r>
        <w:rPr>
          <w:rFonts w:hint="eastAsia" w:ascii="Times New Roman" w:hAnsi="Times New Roman" w:eastAsia="方正黑体_GBK"/>
        </w:rPr>
        <w:t>六、积极支持拓展潼南柠檬销售市场。</w:t>
      </w:r>
      <w:r>
        <w:rPr>
          <w:rFonts w:hint="eastAsia" w:ascii="Times New Roman" w:hAnsi="Times New Roman"/>
        </w:rPr>
        <w:t>在潼企业或营销大户联合体，使用“潼南柠檬”区域品牌，给予报关出口柠檬的物流补贴，</w:t>
      </w:r>
      <w:r>
        <w:rPr>
          <w:rFonts w:ascii="Times New Roman" w:hAnsi="Times New Roman"/>
        </w:rPr>
        <w:t>100</w:t>
      </w:r>
      <w:r>
        <w:rPr>
          <w:rFonts w:hint="eastAsia" w:ascii="Times New Roman" w:hAnsi="Times New Roman"/>
        </w:rPr>
        <w:t>吨（含）</w:t>
      </w:r>
      <w:r>
        <w:rPr>
          <w:rFonts w:ascii="Times New Roman" w:hAnsi="Times New Roman"/>
        </w:rPr>
        <w:t>—200</w:t>
      </w:r>
      <w:r>
        <w:rPr>
          <w:rFonts w:hint="eastAsia" w:ascii="Times New Roman" w:hAnsi="Times New Roman"/>
        </w:rPr>
        <w:t>吨，每吨补助</w:t>
      </w:r>
      <w:r>
        <w:rPr>
          <w:rFonts w:ascii="Times New Roman" w:hAnsi="Times New Roman"/>
        </w:rPr>
        <w:t>60</w:t>
      </w:r>
      <w:r>
        <w:rPr>
          <w:rFonts w:hint="eastAsia" w:ascii="Times New Roman" w:hAnsi="Times New Roman"/>
        </w:rPr>
        <w:t>元；</w:t>
      </w:r>
      <w:r>
        <w:rPr>
          <w:rFonts w:ascii="Times New Roman" w:hAnsi="Times New Roman"/>
        </w:rPr>
        <w:t>200</w:t>
      </w:r>
      <w:r>
        <w:rPr>
          <w:rFonts w:hint="eastAsia" w:ascii="Times New Roman" w:hAnsi="Times New Roman"/>
        </w:rPr>
        <w:t>吨（含）</w:t>
      </w:r>
      <w:r>
        <w:rPr>
          <w:rFonts w:ascii="Times New Roman" w:hAnsi="Times New Roman"/>
        </w:rPr>
        <w:t>—500</w:t>
      </w:r>
      <w:r>
        <w:rPr>
          <w:rFonts w:hint="eastAsia" w:ascii="Times New Roman" w:hAnsi="Times New Roman"/>
        </w:rPr>
        <w:t>吨，每吨补助</w:t>
      </w:r>
      <w:r>
        <w:rPr>
          <w:rFonts w:ascii="Times New Roman" w:hAnsi="Times New Roman"/>
        </w:rPr>
        <w:t>70</w:t>
      </w:r>
      <w:r>
        <w:rPr>
          <w:rFonts w:hint="eastAsia" w:ascii="Times New Roman" w:hAnsi="Times New Roman"/>
        </w:rPr>
        <w:t>元；</w:t>
      </w:r>
      <w:r>
        <w:rPr>
          <w:rFonts w:ascii="Times New Roman" w:hAnsi="Times New Roman"/>
        </w:rPr>
        <w:t>500</w:t>
      </w:r>
      <w:r>
        <w:rPr>
          <w:rFonts w:hint="eastAsia" w:ascii="Times New Roman" w:hAnsi="Times New Roman"/>
        </w:rPr>
        <w:t>吨（含）</w:t>
      </w:r>
      <w:r>
        <w:rPr>
          <w:rFonts w:ascii="Times New Roman" w:hAnsi="Times New Roman"/>
        </w:rPr>
        <w:t>—1000</w:t>
      </w:r>
      <w:r>
        <w:rPr>
          <w:rFonts w:hint="eastAsia" w:ascii="Times New Roman" w:hAnsi="Times New Roman"/>
        </w:rPr>
        <w:t>吨，每吨补助</w:t>
      </w:r>
      <w:r>
        <w:rPr>
          <w:rFonts w:ascii="Times New Roman" w:hAnsi="Times New Roman"/>
        </w:rPr>
        <w:t>80</w:t>
      </w:r>
      <w:r>
        <w:rPr>
          <w:rFonts w:hint="eastAsia" w:ascii="Times New Roman" w:hAnsi="Times New Roman"/>
        </w:rPr>
        <w:t>元；</w:t>
      </w:r>
      <w:r>
        <w:rPr>
          <w:rFonts w:ascii="Times New Roman" w:hAnsi="Times New Roman"/>
        </w:rPr>
        <w:t>1000</w:t>
      </w:r>
      <w:r>
        <w:rPr>
          <w:rFonts w:hint="eastAsia" w:ascii="Times New Roman" w:hAnsi="Times New Roman"/>
        </w:rPr>
        <w:t>吨（含）以上，每吨补助</w:t>
      </w:r>
      <w:r>
        <w:rPr>
          <w:rFonts w:ascii="Times New Roman" w:hAnsi="Times New Roman"/>
        </w:rPr>
        <w:t>85</w:t>
      </w:r>
      <w:r>
        <w:rPr>
          <w:rFonts w:hint="eastAsia" w:ascii="Times New Roman" w:hAnsi="Times New Roman"/>
        </w:rPr>
        <w:t>元。</w:t>
      </w:r>
      <w:r>
        <w:rPr>
          <w:rFonts w:hint="eastAsia" w:ascii="Times New Roman" w:hAnsi="Times New Roman"/>
          <w:szCs w:val="32"/>
        </w:rPr>
        <w:t>鼓励潼南柠檬拓展网络销售渠道，凡通过电商销售潼南柠檬，年销售</w:t>
      </w:r>
      <w:r>
        <w:rPr>
          <w:rFonts w:ascii="Times New Roman" w:hAnsi="Times New Roman"/>
          <w:szCs w:val="32"/>
        </w:rPr>
        <w:t>10</w:t>
      </w:r>
      <w:r>
        <w:rPr>
          <w:rFonts w:hint="eastAsia" w:ascii="Times New Roman" w:hAnsi="Times New Roman"/>
          <w:szCs w:val="32"/>
        </w:rPr>
        <w:t>万单及以上且年销售额满</w:t>
      </w:r>
      <w:r>
        <w:rPr>
          <w:rFonts w:ascii="Times New Roman" w:hAnsi="Times New Roman"/>
          <w:szCs w:val="32"/>
        </w:rPr>
        <w:t>500</w:t>
      </w:r>
      <w:r>
        <w:rPr>
          <w:rFonts w:hint="eastAsia" w:ascii="Times New Roman" w:hAnsi="Times New Roman"/>
          <w:szCs w:val="32"/>
        </w:rPr>
        <w:t>万元及以上的电商法人企业，给予销售总额的</w:t>
      </w:r>
      <w:r>
        <w:rPr>
          <w:rFonts w:ascii="Times New Roman" w:hAnsi="Times New Roman"/>
          <w:szCs w:val="32"/>
        </w:rPr>
        <w:t>1%</w:t>
      </w:r>
      <w:r>
        <w:rPr>
          <w:rFonts w:hint="eastAsia" w:ascii="Times New Roman" w:hAnsi="Times New Roman"/>
          <w:szCs w:val="32"/>
        </w:rPr>
        <w:t>一次性奖励，最高不超过</w:t>
      </w:r>
      <w:r>
        <w:rPr>
          <w:rFonts w:ascii="Times New Roman" w:hAnsi="Times New Roman"/>
          <w:szCs w:val="32"/>
        </w:rPr>
        <w:t>50</w:t>
      </w:r>
      <w:r>
        <w:rPr>
          <w:rFonts w:hint="eastAsia" w:ascii="Times New Roman" w:hAnsi="Times New Roman"/>
          <w:szCs w:val="32"/>
        </w:rPr>
        <w:t>万元。</w:t>
      </w:r>
      <w:r>
        <w:rPr>
          <w:rFonts w:hint="eastAsia" w:ascii="Times New Roman" w:hAnsi="Times New Roman"/>
        </w:rPr>
        <w:t>（牵头单位：区商务委；配合单位：区农业农村委、区农投集团）</w:t>
      </w:r>
      <w:r>
        <w:rPr>
          <w:rFonts w:ascii="Times New Roman" w:hAnsi="Times New Roman"/>
        </w:rPr>
        <w:t xml:space="preserve">   </w:t>
      </w:r>
    </w:p>
    <w:p>
      <w:pPr>
        <w:pStyle w:val="6"/>
        <w:spacing w:line="600" w:lineRule="exact"/>
        <w:ind w:firstLine="640"/>
        <w:jc w:val="both"/>
        <w:rPr>
          <w:rFonts w:ascii="Times New Roman" w:hAnsi="Times New Roman"/>
        </w:rPr>
      </w:pPr>
      <w:r>
        <w:rPr>
          <w:rFonts w:hint="eastAsia" w:ascii="Times New Roman" w:hAnsi="Times New Roman" w:eastAsia="方正黑体_GBK"/>
        </w:rPr>
        <w:t>七、加强柠檬品牌创建支持。</w:t>
      </w:r>
      <w:r>
        <w:rPr>
          <w:rFonts w:hint="eastAsia" w:ascii="Times New Roman" w:hAnsi="Times New Roman"/>
        </w:rPr>
        <w:t>被国家级或者权威国际鉴定机构认定为有机农产品、绿色食品的，分别给予企业</w:t>
      </w:r>
      <w:r>
        <w:rPr>
          <w:rFonts w:ascii="Times New Roman" w:hAnsi="Times New Roman"/>
        </w:rPr>
        <w:t>10</w:t>
      </w:r>
      <w:r>
        <w:rPr>
          <w:rFonts w:hint="eastAsia" w:ascii="Times New Roman" w:hAnsi="Times New Roman"/>
        </w:rPr>
        <w:t>万元、</w:t>
      </w:r>
      <w:r>
        <w:rPr>
          <w:rFonts w:ascii="Times New Roman" w:hAnsi="Times New Roman"/>
        </w:rPr>
        <w:t>5</w:t>
      </w:r>
      <w:r>
        <w:rPr>
          <w:rFonts w:hint="eastAsia" w:ascii="Times New Roman" w:hAnsi="Times New Roman"/>
        </w:rPr>
        <w:t>万元的一次性奖励；对获得中国驰名商标的，给予企业</w:t>
      </w:r>
      <w:r>
        <w:rPr>
          <w:rFonts w:ascii="Times New Roman" w:hAnsi="Times New Roman"/>
        </w:rPr>
        <w:t>30</w:t>
      </w:r>
      <w:r>
        <w:rPr>
          <w:rFonts w:hint="eastAsia" w:ascii="Times New Roman" w:hAnsi="Times New Roman"/>
        </w:rPr>
        <w:t>万元的一次性奖励。对规范使用“潼南柠檬”商标的企业，使用标识</w:t>
      </w:r>
      <w:r>
        <w:rPr>
          <w:rFonts w:ascii="Times New Roman" w:hAnsi="Times New Roman"/>
        </w:rPr>
        <w:t>1000</w:t>
      </w:r>
      <w:r>
        <w:rPr>
          <w:rFonts w:hint="eastAsia" w:ascii="Times New Roman" w:hAnsi="Times New Roman"/>
        </w:rPr>
        <w:t>万个以上的，给予补助</w:t>
      </w:r>
      <w:r>
        <w:rPr>
          <w:rFonts w:ascii="Times New Roman" w:hAnsi="Times New Roman"/>
        </w:rPr>
        <w:t>1</w:t>
      </w:r>
      <w:r>
        <w:rPr>
          <w:rFonts w:hint="eastAsia" w:ascii="Times New Roman" w:hAnsi="Times New Roman"/>
        </w:rPr>
        <w:t>万元；印刷并使用潼南柠檬外包装箱（盒）</w:t>
      </w:r>
      <w:r>
        <w:rPr>
          <w:rFonts w:ascii="Times New Roman" w:hAnsi="Times New Roman"/>
        </w:rPr>
        <w:t>10</w:t>
      </w:r>
      <w:r>
        <w:rPr>
          <w:rFonts w:hint="eastAsia" w:ascii="Times New Roman" w:hAnsi="Times New Roman"/>
        </w:rPr>
        <w:t>万个以上的，补助</w:t>
      </w:r>
      <w:r>
        <w:rPr>
          <w:rFonts w:ascii="Times New Roman" w:hAnsi="Times New Roman"/>
        </w:rPr>
        <w:t>1</w:t>
      </w:r>
      <w:r>
        <w:rPr>
          <w:rFonts w:hint="eastAsia" w:ascii="Times New Roman" w:hAnsi="Times New Roman"/>
        </w:rPr>
        <w:t>万元。（牵头单位：区农业农村委；配合单位：区商务委、潼南市场监管局）</w:t>
      </w:r>
    </w:p>
    <w:p>
      <w:pPr>
        <w:pStyle w:val="6"/>
        <w:spacing w:line="600" w:lineRule="exact"/>
        <w:ind w:firstLine="640"/>
        <w:jc w:val="both"/>
        <w:rPr>
          <w:rFonts w:ascii="Times New Roman" w:hAnsi="Times New Roman"/>
        </w:rPr>
      </w:pPr>
      <w:r>
        <w:rPr>
          <w:rFonts w:hint="eastAsia" w:ascii="Times New Roman" w:hAnsi="Times New Roman" w:eastAsia="方正黑体_GBK"/>
        </w:rPr>
        <w:t>八、提升柠檬产业科技创新水平。</w:t>
      </w:r>
      <w:r>
        <w:rPr>
          <w:rFonts w:hint="eastAsia" w:ascii="Times New Roman" w:hAnsi="Times New Roman"/>
        </w:rPr>
        <w:t>首次认定为国家高新技术企业的，一次性奖励</w:t>
      </w:r>
      <w:r>
        <w:rPr>
          <w:rFonts w:ascii="Times New Roman" w:hAnsi="Times New Roman"/>
        </w:rPr>
        <w:t>30</w:t>
      </w:r>
      <w:r>
        <w:rPr>
          <w:rFonts w:hint="eastAsia" w:ascii="Times New Roman" w:hAnsi="Times New Roman"/>
        </w:rPr>
        <w:t>万元，复审通过的奖励</w:t>
      </w:r>
      <w:r>
        <w:rPr>
          <w:rFonts w:ascii="Times New Roman" w:hAnsi="Times New Roman"/>
        </w:rPr>
        <w:t>10</w:t>
      </w:r>
      <w:r>
        <w:rPr>
          <w:rFonts w:hint="eastAsia" w:ascii="Times New Roman" w:hAnsi="Times New Roman"/>
        </w:rPr>
        <w:t>万元；新认定的高成长科技企业一次性奖励</w:t>
      </w:r>
      <w:r>
        <w:rPr>
          <w:rFonts w:ascii="Times New Roman" w:hAnsi="Times New Roman"/>
        </w:rPr>
        <w:t>10</w:t>
      </w:r>
      <w:r>
        <w:rPr>
          <w:rFonts w:hint="eastAsia" w:ascii="Times New Roman" w:hAnsi="Times New Roman"/>
        </w:rPr>
        <w:t>万元；成功创建市级重点实验室、工程研究中心、技术创新中心、新型研发机构等一次性奖励</w:t>
      </w:r>
      <w:r>
        <w:rPr>
          <w:rFonts w:ascii="Times New Roman" w:hAnsi="Times New Roman"/>
        </w:rPr>
        <w:t>20</w:t>
      </w:r>
      <w:r>
        <w:rPr>
          <w:rFonts w:hint="eastAsia" w:ascii="Times New Roman" w:hAnsi="Times New Roman"/>
        </w:rPr>
        <w:t>万元；新认定的国家级、市级技术创新战略联盟分别一次性奖励</w:t>
      </w:r>
      <w:r>
        <w:rPr>
          <w:rFonts w:ascii="Times New Roman" w:hAnsi="Times New Roman"/>
        </w:rPr>
        <w:t>50</w:t>
      </w:r>
      <w:r>
        <w:rPr>
          <w:rFonts w:hint="eastAsia" w:ascii="Times New Roman" w:hAnsi="Times New Roman"/>
        </w:rPr>
        <w:t>万元、</w:t>
      </w:r>
      <w:r>
        <w:rPr>
          <w:rFonts w:ascii="Times New Roman" w:hAnsi="Times New Roman"/>
        </w:rPr>
        <w:t>20</w:t>
      </w:r>
      <w:r>
        <w:rPr>
          <w:rFonts w:hint="eastAsia" w:ascii="Times New Roman" w:hAnsi="Times New Roman"/>
        </w:rPr>
        <w:t>万元。（牵头单位：区科技局；配合单位：区经济信息委、区农业农村委、区农投集团）</w:t>
      </w:r>
    </w:p>
    <w:p>
      <w:pPr>
        <w:widowControl/>
        <w:spacing w:line="600" w:lineRule="exact"/>
        <w:ind w:firstLine="640" w:firstLineChars="200"/>
      </w:pPr>
      <w:r>
        <w:rPr>
          <w:rFonts w:hint="eastAsia" w:eastAsia="方正黑体_GBK"/>
          <w:sz w:val="32"/>
        </w:rPr>
        <w:t>九、挖掘展示柠檬特色文化。</w:t>
      </w:r>
      <w:r>
        <w:rPr>
          <w:rFonts w:hint="eastAsia" w:eastAsia="方正仿宋_GBK"/>
          <w:sz w:val="32"/>
        </w:rPr>
        <w:t>以潼南柠檬为主题的文学创作、文艺创作、摄影作品、科研论文，获得国家级、市级表彰或发表，分别奖励</w:t>
      </w:r>
      <w:r>
        <w:rPr>
          <w:rFonts w:eastAsia="方正仿宋_GBK"/>
          <w:sz w:val="32"/>
        </w:rPr>
        <w:t>0.5</w:t>
      </w:r>
      <w:r>
        <w:rPr>
          <w:rFonts w:hint="eastAsia" w:eastAsia="方正仿宋_GBK"/>
          <w:sz w:val="32"/>
        </w:rPr>
        <w:t>万元、</w:t>
      </w:r>
      <w:r>
        <w:rPr>
          <w:rFonts w:eastAsia="方正仿宋_GBK"/>
          <w:sz w:val="32"/>
        </w:rPr>
        <w:t>0.3</w:t>
      </w:r>
      <w:r>
        <w:rPr>
          <w:rFonts w:hint="eastAsia" w:eastAsia="方正仿宋_GBK"/>
          <w:sz w:val="32"/>
        </w:rPr>
        <w:t>万元；以柠檬为特色的旅游商品或文创产品，获得国家级、市级表彰，分别奖励</w:t>
      </w:r>
      <w:r>
        <w:rPr>
          <w:rFonts w:eastAsia="方正仿宋_GBK"/>
          <w:sz w:val="32"/>
        </w:rPr>
        <w:t>0.5</w:t>
      </w:r>
      <w:r>
        <w:rPr>
          <w:rFonts w:hint="eastAsia" w:eastAsia="方正仿宋_GBK"/>
          <w:sz w:val="32"/>
        </w:rPr>
        <w:t>万元、</w:t>
      </w:r>
      <w:r>
        <w:rPr>
          <w:rFonts w:eastAsia="方正仿宋_GBK"/>
          <w:sz w:val="32"/>
        </w:rPr>
        <w:t>0.3</w:t>
      </w:r>
      <w:r>
        <w:rPr>
          <w:rFonts w:hint="eastAsia" w:eastAsia="方正仿宋_GBK"/>
          <w:sz w:val="32"/>
        </w:rPr>
        <w:t>万元（相同旅游商品或文创产品按最高奖励补助，不重复计奖）。（牵头单位：区文化旅游委；配合单位：潼南市场监管局）</w:t>
      </w:r>
    </w:p>
    <w:p/>
    <w:p/>
    <w:p/>
    <w:p/>
    <w:p>
      <w:pPr>
        <w:pStyle w:val="2"/>
      </w:pPr>
    </w:p>
    <w:p/>
    <w:p>
      <w:pPr>
        <w:pStyle w:val="2"/>
      </w:pPr>
    </w:p>
    <w:p/>
    <w:p/>
    <w:sectPr>
      <w:headerReference r:id="rId8" w:type="default"/>
      <w:footerReference r:id="rId9" w:type="default"/>
      <w:pgSz w:w="11906" w:h="16838"/>
      <w:pgMar w:top="2098" w:right="1474" w:bottom="1985" w:left="1588" w:header="851" w:footer="1588"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Dotum">
    <w:altName w:val="Malgun Gothic"/>
    <w:panose1 w:val="020B0600000101010101"/>
    <w:charset w:val="81"/>
    <w:family w:val="swiss"/>
    <w:pitch w:val="default"/>
    <w:sig w:usb0="00000000" w:usb1="00000000" w:usb2="00000030" w:usb3="00000000" w:csb0="0008009F" w:csb1="00000000"/>
  </w:font>
  <w:font w:name="Malgun Gothic">
    <w:panose1 w:val="020B0503020000020004"/>
    <w:charset w:val="81"/>
    <w:family w:val="auto"/>
    <w:pitch w:val="default"/>
    <w:sig w:usb0="9000002F" w:usb1="29D77CFB" w:usb2="00000012" w:usb3="00000000" w:csb0="00080001" w:csb1="00000000"/>
  </w:font>
  <w:font w:name="方正楷体_GBK">
    <w:panose1 w:val="03000509000000000000"/>
    <w:charset w:val="86"/>
    <w:family w:val="script"/>
    <w:pitch w:val="default"/>
    <w:sig w:usb0="00000001" w:usb1="080E0000" w:usb2="00000000" w:usb3="00000000" w:csb0="00040000" w:csb1="00000000"/>
  </w:font>
  <w:font w:name="ABCDEF+FangSong">
    <w:altName w:val="Times New Roman"/>
    <w:panose1 w:val="00000000000000000000"/>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outside" w:y="1"/>
      <w:rPr>
        <w:rStyle w:val="13"/>
        <w:rFonts w:ascii="Times New Roman" w:hAnsi="Times New Roman"/>
        <w:sz w:val="28"/>
        <w:szCs w:val="28"/>
      </w:rPr>
    </w:pPr>
    <w:r>
      <w:rPr>
        <w:rStyle w:val="13"/>
        <w:rFonts w:ascii="Times New Roman" w:hAnsi="Times New Roman"/>
        <w:sz w:val="28"/>
        <w:szCs w:val="28"/>
      </w:rPr>
      <w:t xml:space="preserve">— </w:t>
    </w:r>
    <w:r>
      <w:rPr>
        <w:rStyle w:val="13"/>
        <w:rFonts w:ascii="Times New Roman" w:hAnsi="Times New Roman"/>
        <w:sz w:val="28"/>
        <w:szCs w:val="28"/>
      </w:rPr>
      <w:fldChar w:fldCharType="begin"/>
    </w:r>
    <w:r>
      <w:rPr>
        <w:rStyle w:val="13"/>
        <w:rFonts w:ascii="Times New Roman" w:hAnsi="Times New Roman"/>
        <w:sz w:val="28"/>
        <w:szCs w:val="28"/>
      </w:rPr>
      <w:instrText xml:space="preserve">PAGE  </w:instrText>
    </w:r>
    <w:r>
      <w:rPr>
        <w:rStyle w:val="13"/>
        <w:rFonts w:ascii="Times New Roman" w:hAnsi="Times New Roman"/>
        <w:sz w:val="28"/>
        <w:szCs w:val="28"/>
      </w:rPr>
      <w:fldChar w:fldCharType="separate"/>
    </w:r>
    <w:r>
      <w:rPr>
        <w:rStyle w:val="13"/>
        <w:rFonts w:ascii="Times New Roman" w:hAnsi="Times New Roman"/>
        <w:sz w:val="28"/>
        <w:szCs w:val="28"/>
      </w:rPr>
      <w:t>1</w:t>
    </w:r>
    <w:r>
      <w:rPr>
        <w:rStyle w:val="13"/>
        <w:rFonts w:ascii="Times New Roman" w:hAnsi="Times New Roman"/>
        <w:sz w:val="28"/>
        <w:szCs w:val="28"/>
      </w:rPr>
      <w:fldChar w:fldCharType="end"/>
    </w:r>
    <w:r>
      <w:rPr>
        <w:rStyle w:val="13"/>
        <w:rFonts w:ascii="Times New Roman" w:hAnsi="Times New Roman"/>
        <w:sz w:val="28"/>
        <w:szCs w:val="28"/>
      </w:rPr>
      <w:t xml:space="preserve"> —</w:t>
    </w:r>
  </w:p>
  <w:p>
    <w:pPr>
      <w:pStyle w:val="7"/>
      <w:tabs>
        <w:tab w:val="clear" w:pos="4140"/>
        <w:tab w:val="clear" w:pos="8300"/>
      </w:tabs>
      <w:ind w:right="360"/>
      <w:rPr>
        <w:rFonts w:cs="Times New Roman"/>
      </w:rPr>
    </w:pPr>
  </w:p>
  <w:p>
    <w:pPr>
      <w:pStyle w:val="7"/>
      <w:tabs>
        <w:tab w:val="center" w:pos="4153"/>
        <w:tab w:val="right" w:pos="8306"/>
        <w:tab w:val="clear" w:pos="4140"/>
        <w:tab w:val="clear" w:pos="8300"/>
      </w:tabs>
      <w:ind w:right="360" w:firstLine="360"/>
      <w:jc w:val="right"/>
      <w:rPr>
        <w:rFonts w:hint="eastAsia" w:ascii="宋体" w:hAnsi="宋体" w:eastAsia="宋体" w:cs="宋体"/>
        <w:b/>
        <w:bCs/>
        <w:color w:val="005192"/>
        <w:sz w:val="28"/>
        <w:szCs w:val="44"/>
        <w:lang w:val="en-US" w:eastAsia="zh-CN"/>
      </w:rPr>
    </w:pPr>
    <w:r>
      <w:rPr>
        <w:color w:val="FAFAFA"/>
        <w:sz w:val="32"/>
      </w:rPr>
      <w:pict>
        <v:line id="直接连接符 5" o:spid="_x0000_s3074" o:spt="20" style="position:absolute;left:0pt;margin-left:0.35pt;margin-top:16.6pt;height:0.15pt;width:442.25pt;z-index:251660288;mso-width-relative:page;mso-height-relative:page;" filled="f" stroked="t" coordsize="21600,21600" o:gfxdata="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DqoHnjRAAAA&#10;BgEAAA8AAAAAAAAAAQAgAAAAIgAAAGRycy9kb3ducmV2LnhtbFBLAQIUABQAAAAIAIdO4kDogT6Q&#10;6wEAAKoDAAAOAAAAAAAAAAEAIAAAACABAABkcnMvZTJvRG9jLnhtbFBLBQYAAAAABgAGAFkBAAB9&#10;BQAAAAA=&#10;">
          <v:path arrowok="t"/>
          <v:fill on="f" focussize="0,0"/>
          <v:stroke weight="1.75pt" color="#005192" joinstyle="round"/>
          <v:imagedata o:title=""/>
          <o:lock v:ext="edit" aspectratio="f"/>
        </v:line>
      </w:pict>
    </w:r>
  </w:p>
  <w:p>
    <w:pPr>
      <w:pStyle w:val="7"/>
      <w:tabs>
        <w:tab w:val="center" w:pos="4153"/>
        <w:tab w:val="right" w:pos="8306"/>
        <w:tab w:val="clear" w:pos="4140"/>
        <w:tab w:val="clear" w:pos="8300"/>
      </w:tabs>
      <w:wordWrap/>
      <w:ind w:right="360" w:firstLine="360"/>
      <w:jc w:val="center"/>
      <w:rPr>
        <w:rFonts w:hint="default" w:eastAsia="宋体"/>
        <w:color w:val="FAFAFA"/>
        <w:sz w:val="32"/>
        <w:lang w:val="en-US" w:eastAsia="zh-CN"/>
      </w:rPr>
    </w:pPr>
    <w:r>
      <w:rPr>
        <w:rFonts w:hint="eastAsia" w:ascii="宋体" w:hAnsi="宋体" w:cs="宋体"/>
        <w:b/>
        <w:bCs/>
        <w:color w:val="005192"/>
        <w:sz w:val="28"/>
        <w:szCs w:val="44"/>
        <w:lang w:val="en-US" w:eastAsia="zh-CN"/>
      </w:rPr>
      <w:t xml:space="preserve">                        </w:t>
    </w:r>
    <w:r>
      <w:rPr>
        <w:rFonts w:hint="eastAsia" w:ascii="宋体" w:hAnsi="宋体" w:eastAsia="宋体" w:cs="宋体"/>
        <w:b/>
        <w:bCs/>
        <w:color w:val="005192"/>
        <w:sz w:val="28"/>
        <w:szCs w:val="44"/>
        <w:lang w:val="en-US" w:eastAsia="zh-CN"/>
      </w:rPr>
      <w:t>重庆市潼南区人民政府</w:t>
    </w:r>
    <w:r>
      <w:rPr>
        <w:rFonts w:hint="eastAsia" w:ascii="宋体" w:hAnsi="宋体" w:cs="宋体"/>
        <w:b/>
        <w:bCs/>
        <w:color w:val="005192"/>
        <w:sz w:val="28"/>
        <w:szCs w:val="44"/>
        <w:lang w:val="en-US" w:eastAsia="zh-CN"/>
      </w:rPr>
      <w:t>办公室</w:t>
    </w:r>
    <w:r>
      <w:rPr>
        <w:rFonts w:hint="eastAsia" w:ascii="宋体" w:hAnsi="宋体" w:eastAsia="宋体" w:cs="宋体"/>
        <w:b/>
        <w:bCs/>
        <w:color w:val="005192"/>
        <w:sz w:val="28"/>
        <w:szCs w:val="44"/>
        <w:lang w:val="en-US" w:eastAsia="zh-CN"/>
      </w:rPr>
      <w:t>发布</w:t>
    </w:r>
    <w:r>
      <w:rPr>
        <w:rFonts w:hint="eastAsia" w:ascii="宋体" w:hAnsi="宋体" w:cs="宋体"/>
        <w:b/>
        <w:bCs/>
        <w:color w:val="005192"/>
        <w:sz w:val="28"/>
        <w:szCs w:val="44"/>
        <w:lang w:val="en-US" w:eastAsia="zh-CN"/>
      </w:rPr>
      <w:t xml:space="preserve">      </w:t>
    </w:r>
  </w:p>
  <w:p>
    <w:pPr>
      <w:pStyle w:val="7"/>
      <w:tabs>
        <w:tab w:val="clear" w:pos="4140"/>
        <w:tab w:val="clear" w:pos="8300"/>
      </w:tabs>
      <w:ind w:right="360"/>
      <w:rPr>
        <w:rFonts w:hint="eastAsia" w:eastAsia="宋体" w:cs="Times New Roman"/>
        <w:lang w:val="en-US" w:eastAsia="zh-CN"/>
      </w:rPr>
    </w:pPr>
  </w:p>
  <w:p>
    <w:pPr>
      <w:pStyle w:val="7"/>
      <w:tabs>
        <w:tab w:val="clear" w:pos="4140"/>
        <w:tab w:val="clear" w:pos="8300"/>
      </w:tabs>
      <w:ind w:right="360"/>
      <w:rPr>
        <w:rFonts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outside" w:y="1"/>
      <w:rPr>
        <w:rStyle w:val="13"/>
        <w:rFonts w:cs="Calibri"/>
      </w:rPr>
    </w:pPr>
    <w:r>
      <w:rPr>
        <w:rStyle w:val="13"/>
        <w:rFonts w:cs="Calibri"/>
      </w:rPr>
      <w:fldChar w:fldCharType="begin"/>
    </w:r>
    <w:r>
      <w:rPr>
        <w:rStyle w:val="13"/>
        <w:rFonts w:cs="Calibri"/>
      </w:rPr>
      <w:instrText xml:space="preserve">PAGE  </w:instrText>
    </w:r>
    <w:r>
      <w:rPr>
        <w:rStyle w:val="13"/>
        <w:rFonts w:cs="Calibri"/>
      </w:rPr>
      <w:fldChar w:fldCharType="end"/>
    </w:r>
  </w:p>
  <w:p>
    <w:pPr>
      <w:pStyle w:val="7"/>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outside" w:y="1"/>
      <w:rPr>
        <w:rStyle w:val="13"/>
        <w:rFonts w:ascii="Times New Roman" w:hAnsi="Times New Roman"/>
        <w:sz w:val="28"/>
        <w:szCs w:val="28"/>
      </w:rPr>
    </w:pPr>
    <w:r>
      <w:rPr>
        <w:rStyle w:val="13"/>
        <w:rFonts w:ascii="Times New Roman" w:hAnsi="Times New Roman"/>
        <w:sz w:val="28"/>
        <w:szCs w:val="28"/>
      </w:rPr>
      <w:t xml:space="preserve">— </w:t>
    </w:r>
    <w:r>
      <w:rPr>
        <w:rStyle w:val="13"/>
        <w:rFonts w:ascii="Times New Roman" w:hAnsi="Times New Roman"/>
        <w:sz w:val="28"/>
        <w:szCs w:val="28"/>
      </w:rPr>
      <w:fldChar w:fldCharType="begin"/>
    </w:r>
    <w:r>
      <w:rPr>
        <w:rStyle w:val="13"/>
        <w:rFonts w:ascii="Times New Roman" w:hAnsi="Times New Roman"/>
        <w:sz w:val="28"/>
        <w:szCs w:val="28"/>
      </w:rPr>
      <w:instrText xml:space="preserve">PAGE  </w:instrText>
    </w:r>
    <w:r>
      <w:rPr>
        <w:rStyle w:val="13"/>
        <w:rFonts w:ascii="Times New Roman" w:hAnsi="Times New Roman"/>
        <w:sz w:val="28"/>
        <w:szCs w:val="28"/>
      </w:rPr>
      <w:fldChar w:fldCharType="separate"/>
    </w:r>
    <w:r>
      <w:rPr>
        <w:rStyle w:val="13"/>
        <w:rFonts w:ascii="Times New Roman" w:hAnsi="Times New Roman"/>
        <w:sz w:val="28"/>
        <w:szCs w:val="28"/>
      </w:rPr>
      <w:t>1</w:t>
    </w:r>
    <w:r>
      <w:rPr>
        <w:rStyle w:val="13"/>
        <w:rFonts w:ascii="Times New Roman" w:hAnsi="Times New Roman"/>
        <w:sz w:val="28"/>
        <w:szCs w:val="28"/>
      </w:rPr>
      <w:fldChar w:fldCharType="end"/>
    </w:r>
    <w:r>
      <w:rPr>
        <w:rStyle w:val="13"/>
        <w:rFonts w:ascii="Times New Roman" w:hAnsi="Times New Roman"/>
        <w:sz w:val="28"/>
        <w:szCs w:val="28"/>
      </w:rPr>
      <w:t xml:space="preserve"> —</w:t>
    </w:r>
  </w:p>
  <w:p>
    <w:pPr>
      <w:pStyle w:val="7"/>
      <w:tabs>
        <w:tab w:val="center" w:pos="4153"/>
        <w:tab w:val="right" w:pos="8306"/>
        <w:tab w:val="clear" w:pos="4140"/>
        <w:tab w:val="clear" w:pos="8300"/>
      </w:tabs>
      <w:wordWrap/>
      <w:ind w:right="360"/>
      <w:jc w:val="both"/>
      <w:rPr>
        <w:rFonts w:hint="eastAsia" w:ascii="宋体" w:hAnsi="宋体" w:cs="宋体"/>
        <w:b/>
        <w:bCs/>
        <w:color w:val="005192"/>
        <w:sz w:val="28"/>
        <w:szCs w:val="44"/>
        <w:lang w:val="en-US" w:eastAsia="zh-CN"/>
      </w:rPr>
    </w:pPr>
    <w:r>
      <w:rPr>
        <w:rFonts w:hint="eastAsia" w:ascii="宋体" w:hAnsi="宋体" w:cs="宋体"/>
        <w:b/>
        <w:bCs/>
        <w:color w:val="005192"/>
        <w:sz w:val="28"/>
        <w:szCs w:val="44"/>
        <w:lang w:val="en-US" w:eastAsia="zh-CN"/>
      </w:rPr>
      <w:t xml:space="preserve">            </w:t>
    </w:r>
    <w:bookmarkStart w:id="0" w:name="_GoBack"/>
    <w:bookmarkEnd w:id="0"/>
    <w:r>
      <w:rPr>
        <w:rFonts w:hint="eastAsia" w:ascii="宋体" w:hAnsi="宋体" w:cs="宋体"/>
        <w:b/>
        <w:bCs/>
        <w:color w:val="005192"/>
        <w:sz w:val="28"/>
        <w:szCs w:val="44"/>
        <w:lang w:val="en-US" w:eastAsia="zh-CN"/>
      </w:rPr>
      <w:t xml:space="preserve">          </w:t>
    </w:r>
  </w:p>
  <w:p>
    <w:pPr>
      <w:pStyle w:val="7"/>
      <w:tabs>
        <w:tab w:val="center" w:pos="4153"/>
        <w:tab w:val="right" w:pos="8306"/>
        <w:tab w:val="clear" w:pos="4140"/>
        <w:tab w:val="clear" w:pos="8300"/>
      </w:tabs>
      <w:wordWrap/>
      <w:ind w:right="360"/>
      <w:jc w:val="both"/>
      <w:rPr>
        <w:rFonts w:hint="default" w:ascii="宋体" w:hAnsi="宋体" w:cs="宋体"/>
        <w:b/>
        <w:bCs/>
        <w:color w:val="005192"/>
        <w:sz w:val="28"/>
        <w:szCs w:val="44"/>
        <w:lang w:val="en-US" w:eastAsia="zh-CN"/>
      </w:rPr>
    </w:pPr>
    <w:r>
      <w:rPr>
        <w:color w:val="FAFAFA"/>
        <w:sz w:val="32"/>
      </w:rPr>
      <w:pict>
        <v:line id="_x0000_s3080" o:spid="_x0000_s3080" o:spt="20" style="position:absolute;left:0pt;margin-left:-0.35pt;margin-top:14.9pt;height:0.65pt;width:669.3pt;z-index:251663360;mso-width-relative:page;mso-height-relative:page;" filled="f" stroked="t" coordsize="21600,21600" o:gfxdata="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YFb469MA&#10;AAAJAQAADwAAAAAAAAABACAAAAAiAAAAZHJzL2Rvd25yZXYueG1sUEsBAhQAFAAAAAgAh07iQCzW&#10;llHrAQAAqAMAAA4AAAAAAAAAAQAgAAAAIgEAAGRycy9lMm9Eb2MueG1sUEsFBgAAAAAGAAYAWQEA&#10;AH8FAAAAAA==&#10;">
          <v:path arrowok="t"/>
          <v:fill on="f" focussize="0,0"/>
          <v:stroke weight="1.75pt" color="#005192" joinstyle="round"/>
          <v:imagedata o:title=""/>
          <o:lock v:ext="edit" aspectratio="f"/>
        </v:line>
      </w:pict>
    </w:r>
    <w:r>
      <w:rPr>
        <w:rFonts w:hint="eastAsia" w:ascii="宋体" w:hAnsi="宋体" w:cs="宋体"/>
        <w:b/>
        <w:bCs/>
        <w:color w:val="005192"/>
        <w:sz w:val="28"/>
        <w:szCs w:val="44"/>
        <w:lang w:val="en-US" w:eastAsia="zh-CN"/>
      </w:rPr>
      <w:t xml:space="preserve"> </w:t>
    </w:r>
  </w:p>
  <w:p>
    <w:pPr>
      <w:pStyle w:val="7"/>
      <w:tabs>
        <w:tab w:val="clear" w:pos="4140"/>
        <w:tab w:val="clear" w:pos="8300"/>
      </w:tabs>
      <w:wordWrap w:val="0"/>
      <w:ind w:right="360"/>
      <w:jc w:val="right"/>
      <w:rPr>
        <w:rFonts w:hint="default" w:eastAsia="宋体" w:cs="Times New Roman"/>
        <w:lang w:val="en-US" w:eastAsia="zh-CN"/>
      </w:rPr>
    </w:pPr>
    <w:r>
      <w:rPr>
        <w:rFonts w:hint="eastAsia" w:ascii="宋体" w:hAnsi="宋体" w:eastAsia="宋体" w:cs="宋体"/>
        <w:b/>
        <w:bCs/>
        <w:color w:val="005192"/>
        <w:sz w:val="28"/>
        <w:szCs w:val="44"/>
        <w:lang w:val="en-US" w:eastAsia="zh-CN"/>
      </w:rPr>
      <w:t>重庆市潼南区人民政府</w:t>
    </w:r>
    <w:r>
      <w:rPr>
        <w:rFonts w:hint="eastAsia" w:ascii="宋体" w:hAnsi="宋体" w:cs="宋体"/>
        <w:b/>
        <w:bCs/>
        <w:color w:val="005192"/>
        <w:sz w:val="28"/>
        <w:szCs w:val="44"/>
        <w:lang w:val="en-US" w:eastAsia="zh-CN"/>
      </w:rPr>
      <w:t>办公室</w:t>
    </w:r>
    <w:r>
      <w:rPr>
        <w:rFonts w:hint="eastAsia" w:ascii="宋体" w:hAnsi="宋体" w:eastAsia="宋体" w:cs="宋体"/>
        <w:b/>
        <w:bCs/>
        <w:color w:val="005192"/>
        <w:sz w:val="28"/>
        <w:szCs w:val="44"/>
        <w:lang w:val="en-US" w:eastAsia="zh-CN"/>
      </w:rPr>
      <w:t>发布</w:t>
    </w:r>
    <w:r>
      <w:rPr>
        <w:rFonts w:hint="eastAsia" w:ascii="宋体" w:hAnsi="宋体" w:cs="宋体"/>
        <w:b/>
        <w:bCs/>
        <w:color w:val="005192"/>
        <w:sz w:val="28"/>
        <w:szCs w:val="44"/>
        <w:lang w:val="en-US" w:eastAsia="zh-CN"/>
      </w:rPr>
      <w:t xml:space="preserve">  </w:t>
    </w:r>
  </w:p>
  <w:p>
    <w:pPr>
      <w:pStyle w:val="7"/>
      <w:tabs>
        <w:tab w:val="clear" w:pos="4140"/>
        <w:tab w:val="clear" w:pos="8300"/>
      </w:tabs>
      <w:ind w:right="360"/>
      <w:rPr>
        <w:rFonts w:cs="Times New Roman"/>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outside" w:y="1"/>
      <w:rPr>
        <w:rStyle w:val="13"/>
        <w:rFonts w:ascii="Times New Roman" w:hAnsi="Times New Roman"/>
        <w:sz w:val="28"/>
        <w:szCs w:val="28"/>
      </w:rPr>
    </w:pPr>
    <w:r>
      <w:rPr>
        <w:rStyle w:val="13"/>
        <w:rFonts w:ascii="Times New Roman" w:hAnsi="Times New Roman"/>
        <w:sz w:val="28"/>
        <w:szCs w:val="28"/>
      </w:rPr>
      <w:t xml:space="preserve">— </w:t>
    </w:r>
    <w:r>
      <w:rPr>
        <w:rStyle w:val="13"/>
        <w:rFonts w:ascii="Times New Roman" w:hAnsi="Times New Roman"/>
        <w:sz w:val="28"/>
        <w:szCs w:val="28"/>
      </w:rPr>
      <w:fldChar w:fldCharType="begin"/>
    </w:r>
    <w:r>
      <w:rPr>
        <w:rStyle w:val="13"/>
        <w:rFonts w:ascii="Times New Roman" w:hAnsi="Times New Roman"/>
        <w:sz w:val="28"/>
        <w:szCs w:val="28"/>
      </w:rPr>
      <w:instrText xml:space="preserve">PAGE  </w:instrText>
    </w:r>
    <w:r>
      <w:rPr>
        <w:rStyle w:val="13"/>
        <w:rFonts w:ascii="Times New Roman" w:hAnsi="Times New Roman"/>
        <w:sz w:val="28"/>
        <w:szCs w:val="28"/>
      </w:rPr>
      <w:fldChar w:fldCharType="separate"/>
    </w:r>
    <w:r>
      <w:rPr>
        <w:rStyle w:val="13"/>
        <w:rFonts w:ascii="Times New Roman" w:hAnsi="Times New Roman"/>
        <w:sz w:val="28"/>
        <w:szCs w:val="28"/>
      </w:rPr>
      <w:t>16</w:t>
    </w:r>
    <w:r>
      <w:rPr>
        <w:rStyle w:val="13"/>
        <w:rFonts w:ascii="Times New Roman" w:hAnsi="Times New Roman"/>
        <w:sz w:val="28"/>
        <w:szCs w:val="28"/>
      </w:rPr>
      <w:fldChar w:fldCharType="end"/>
    </w:r>
    <w:r>
      <w:rPr>
        <w:rStyle w:val="13"/>
        <w:rFonts w:ascii="Times New Roman" w:hAnsi="Times New Roman"/>
        <w:sz w:val="28"/>
        <w:szCs w:val="28"/>
      </w:rPr>
      <w:t xml:space="preserve"> —</w:t>
    </w:r>
  </w:p>
  <w:p>
    <w:pPr>
      <w:pStyle w:val="7"/>
      <w:tabs>
        <w:tab w:val="center" w:pos="4153"/>
        <w:tab w:val="right" w:pos="8306"/>
        <w:tab w:val="clear" w:pos="4140"/>
        <w:tab w:val="clear" w:pos="8300"/>
      </w:tabs>
      <w:ind w:right="360"/>
      <w:rPr>
        <w:rFonts w:cs="Times New Roman"/>
      </w:rPr>
    </w:pPr>
  </w:p>
  <w:p>
    <w:pPr>
      <w:pStyle w:val="7"/>
      <w:tabs>
        <w:tab w:val="center" w:pos="4153"/>
        <w:tab w:val="right" w:pos="8306"/>
        <w:tab w:val="clear" w:pos="4140"/>
        <w:tab w:val="clear" w:pos="8300"/>
      </w:tabs>
      <w:ind w:right="360" w:firstLine="360"/>
      <w:jc w:val="right"/>
      <w:rPr>
        <w:rFonts w:hint="eastAsia" w:ascii="宋体" w:hAnsi="宋体" w:eastAsia="宋体" w:cs="宋体"/>
        <w:b/>
        <w:bCs/>
        <w:color w:val="005192"/>
        <w:sz w:val="28"/>
        <w:szCs w:val="44"/>
        <w:lang w:val="en-US" w:eastAsia="zh-CN"/>
      </w:rPr>
    </w:pPr>
  </w:p>
  <w:p>
    <w:pPr>
      <w:pStyle w:val="7"/>
      <w:tabs>
        <w:tab w:val="center" w:pos="4153"/>
        <w:tab w:val="right" w:pos="8306"/>
        <w:tab w:val="clear" w:pos="4140"/>
        <w:tab w:val="clear" w:pos="8300"/>
      </w:tabs>
      <w:wordWrap/>
      <w:ind w:right="360" w:firstLine="360"/>
      <w:jc w:val="center"/>
      <w:rPr>
        <w:rFonts w:hint="default" w:eastAsia="宋体"/>
        <w:color w:val="FAFAFA"/>
        <w:sz w:val="32"/>
        <w:lang w:val="en-US" w:eastAsia="zh-CN"/>
      </w:rPr>
    </w:pPr>
    <w:r>
      <w:rPr>
        <w:color w:val="FAFAFA"/>
        <w:sz w:val="32"/>
      </w:rPr>
      <w:pict>
        <v:line id="_x0000_s3075" o:spid="_x0000_s3075" o:spt="20" style="position:absolute;left:0pt;margin-left:0.1pt;margin-top:14.3pt;height:0.15pt;width:442.25pt;z-index:251661312;mso-width-relative:page;mso-height-relative:page;" filled="f" stroked="t" coordsize="21600,21600" o:gfxdata="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DqoHnjRAAAA&#10;BgEAAA8AAAAAAAAAAQAgAAAAIgAAAGRycy9kb3ducmV2LnhtbFBLAQIUABQAAAAIAIdO4kDogT6Q&#10;6wEAAKoDAAAOAAAAAAAAAAEAIAAAACABAABkcnMvZTJvRG9jLnhtbFBLBQYAAAAABgAGAFkBAAB9&#10;BQAAAAA=&#10;">
          <v:path arrowok="t"/>
          <v:fill on="f" focussize="0,0"/>
          <v:stroke weight="1.75pt" color="#005192" joinstyle="round"/>
          <v:imagedata o:title=""/>
          <o:lock v:ext="edit" aspectratio="f"/>
        </v:line>
      </w:pict>
    </w:r>
    <w:r>
      <w:rPr>
        <w:rFonts w:hint="eastAsia" w:ascii="宋体" w:hAnsi="宋体" w:cs="宋体"/>
        <w:b/>
        <w:bCs/>
        <w:color w:val="005192"/>
        <w:sz w:val="28"/>
        <w:szCs w:val="44"/>
        <w:lang w:val="en-US" w:eastAsia="zh-CN"/>
      </w:rPr>
      <w:t xml:space="preserve">                                         </w:t>
    </w:r>
  </w:p>
  <w:p>
    <w:pPr>
      <w:pStyle w:val="7"/>
      <w:tabs>
        <w:tab w:val="center" w:pos="4153"/>
        <w:tab w:val="right" w:pos="8306"/>
        <w:tab w:val="clear" w:pos="4140"/>
        <w:tab w:val="clear" w:pos="8300"/>
      </w:tabs>
      <w:wordWrap w:val="0"/>
      <w:ind w:right="360"/>
      <w:jc w:val="right"/>
      <w:rPr>
        <w:rFonts w:hint="default" w:cs="Times New Roman"/>
        <w:lang w:val="en-US"/>
      </w:rPr>
    </w:pPr>
    <w:r>
      <w:rPr>
        <w:rFonts w:hint="eastAsia" w:ascii="宋体" w:hAnsi="宋体" w:eastAsia="宋体" w:cs="宋体"/>
        <w:b/>
        <w:bCs/>
        <w:color w:val="005192"/>
        <w:sz w:val="28"/>
        <w:szCs w:val="44"/>
        <w:lang w:val="en-US" w:eastAsia="zh-CN"/>
      </w:rPr>
      <w:t>重庆市潼南区人民政府</w:t>
    </w:r>
    <w:r>
      <w:rPr>
        <w:rFonts w:hint="eastAsia" w:ascii="宋体" w:hAnsi="宋体" w:cs="宋体"/>
        <w:b/>
        <w:bCs/>
        <w:color w:val="005192"/>
        <w:sz w:val="28"/>
        <w:szCs w:val="44"/>
        <w:lang w:val="en-US" w:eastAsia="zh-CN"/>
      </w:rPr>
      <w:t>办公室</w:t>
    </w:r>
    <w:r>
      <w:rPr>
        <w:rFonts w:hint="eastAsia" w:ascii="宋体" w:hAnsi="宋体" w:eastAsia="宋体" w:cs="宋体"/>
        <w:b/>
        <w:bCs/>
        <w:color w:val="005192"/>
        <w:sz w:val="28"/>
        <w:szCs w:val="44"/>
        <w:lang w:val="en-US" w:eastAsia="zh-CN"/>
      </w:rPr>
      <w:t>发布</w:t>
    </w:r>
    <w:r>
      <w:rPr>
        <w:rFonts w:hint="eastAsia" w:ascii="宋体" w:hAnsi="宋体" w:cs="宋体"/>
        <w:b/>
        <w:bCs/>
        <w:color w:val="005192"/>
        <w:sz w:val="28"/>
        <w:szCs w:val="44"/>
        <w:lang w:val="en-US" w:eastAsia="zh-CN"/>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1"/>
      </w:pBdr>
    </w:pPr>
  </w:p>
  <w:p>
    <w:pPr>
      <w:pStyle w:val="8"/>
      <w:pBdr>
        <w:bottom w:val="none" w:color="auto" w:sz="0" w:space="1"/>
      </w:pBdr>
    </w:pPr>
  </w:p>
  <w:p>
    <w:pPr>
      <w:pStyle w:val="8"/>
      <w:keepNext w:val="0"/>
      <w:keepLines w:val="0"/>
      <w:pageBreakBefore w:val="0"/>
      <w:widowControl w:val="0"/>
      <w:pBdr>
        <w:bottom w:val="none" w:color="auto" w:sz="0" w:space="1"/>
      </w:pBdr>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pict>
        <v:shape id="_x0000_i1025" o:spt="75" alt="国徽1024" type="#_x0000_t75" style="height:24.3pt;width:24.3pt;" filled="f" o:preferrelative="t" stroked="f" coordsize="21600,21600">
          <v:path/>
          <v:fill on="f" focussize="0,0"/>
          <v:stroke on="f"/>
          <v:imagedata r:id="rId1" o:title=""/>
          <o:lock v:ext="edit" aspectratio="t"/>
          <w10:wrap type="none"/>
          <w10:anchorlock/>
        </v:shape>
      </w:pict>
    </w:r>
    <w:r>
      <w:rPr>
        <w:rFonts w:hint="eastAsia" w:ascii="宋体" w:hAnsi="宋体" w:eastAsia="宋体" w:cs="宋体"/>
        <w:b/>
        <w:bCs/>
        <w:color w:val="005192"/>
        <w:sz w:val="32"/>
        <w:lang w:val="en-US" w:eastAsia="zh-CN"/>
      </w:rPr>
      <w:t>重庆市潼南区人民政府行政</w:t>
    </w:r>
    <w:r>
      <w:rPr>
        <w:rFonts w:hint="eastAsia" w:ascii="宋体" w:hAnsi="宋体" w:eastAsia="宋体" w:cs="宋体"/>
        <w:b/>
        <w:bCs/>
        <w:color w:val="005192"/>
        <w:sz w:val="32"/>
        <w:szCs w:val="32"/>
        <w:lang w:val="en-US" w:eastAsia="zh-Hans"/>
      </w:rPr>
      <w:t>规范性文件</w:t>
    </w:r>
  </w:p>
  <w:p>
    <w:pPr>
      <w:pStyle w:val="8"/>
      <w:pBdr>
        <w:bottom w:val="none" w:color="auto" w:sz="0" w:space="1"/>
      </w:pBdr>
    </w:pPr>
    <w:r>
      <w:rPr>
        <w:rFonts w:hint="eastAsia" w:ascii="方正仿宋_GBK" w:hAnsi="方正仿宋_GBK" w:eastAsia="方正仿宋_GBK" w:cs="方正仿宋_GBK"/>
        <w:b/>
        <w:bCs/>
        <w:color w:val="000000" w:themeColor="text1"/>
        <w:sz w:val="32"/>
      </w:rPr>
      <w:pict>
        <v:line id="直接连接符 4" o:spid="_x0000_s3073" o:spt="20" style="position:absolute;left:0pt;margin-left:0pt;margin-top:9.75pt;height:0pt;width:442.55pt;z-index:251659264;mso-width-relative:page;mso-height-relative:page;" filled="f" stroked="t" coordsize="21600,21600" o:gfxdata="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K0lh/nRAAAABgEAAA8A&#10;AAAAAAAAAQAgAAAAIgAAAGRycy9kb3ducmV2LnhtbFBLAQIUABQAAAAIAIdO4kDCCUu+5QEAAKYD&#10;AAAOAAAAAAAAAAEAIAAAACABAABkcnMvZTJvRG9jLnhtbFBLBQYAAAAABgAGAFkBAAB3BQAAAAA=&#10;">
          <v:path arrowok="t"/>
          <v:fill on="f" focussize="0,0"/>
          <v:stroke weight="1.75pt" color="#005192" joinstyle="round"/>
          <v:imagedata o:title=""/>
          <o:lock v:ext="edit" aspectratio="f"/>
        </v:lin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pict>
        <v:shape id="_x0000_i1026" o:spt="75" alt="国徽1024" type="#_x0000_t75" style="height:24.3pt;width:24.3pt;" filled="f" o:preferrelative="t" stroked="f" coordsize="21600,21600">
          <v:path/>
          <v:fill on="f" focussize="0,0"/>
          <v:stroke on="f"/>
          <v:imagedata r:id="rId1" o:title=""/>
          <o:lock v:ext="edit" aspectratio="t"/>
          <w10:wrap type="none"/>
          <w10:anchorlock/>
        </v:shape>
      </w:pict>
    </w:r>
    <w:r>
      <w:rPr>
        <w:rFonts w:hint="eastAsia" w:ascii="宋体" w:hAnsi="宋体" w:eastAsia="宋体" w:cs="宋体"/>
        <w:b/>
        <w:bCs/>
        <w:color w:val="005192"/>
        <w:sz w:val="32"/>
        <w:lang w:val="en-US" w:eastAsia="zh-CN"/>
      </w:rPr>
      <w:t>重庆市潼南区人民政府行政</w:t>
    </w:r>
    <w:r>
      <w:rPr>
        <w:rFonts w:hint="eastAsia" w:ascii="宋体" w:hAnsi="宋体" w:eastAsia="宋体" w:cs="宋体"/>
        <w:b/>
        <w:bCs/>
        <w:color w:val="005192"/>
        <w:sz w:val="32"/>
        <w:szCs w:val="32"/>
        <w:lang w:val="en-US" w:eastAsia="zh-Hans"/>
      </w:rPr>
      <w:t>规范性文件</w:t>
    </w:r>
  </w:p>
  <w:p>
    <w:pPr>
      <w:pStyle w:val="8"/>
    </w:pPr>
    <w:r>
      <w:rPr>
        <w:color w:val="FAFAFA"/>
        <w:sz w:val="32"/>
      </w:rPr>
      <w:pict>
        <v:line id="直接连接符 11" o:spid="_x0000_s3077" o:spt="20" style="position:absolute;left:0pt;margin-left:0.8pt;margin-top:5.25pt;height:0pt;width:652.6pt;z-index:251662336;mso-width-relative:page;mso-height-relative:page;" filled="f" stroked="t" coordsize="21600,21600" o:gfxdata="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YFb469MA&#10;AAAJAQAADwAAAAAAAAABACAAAAAiAAAAZHJzL2Rvd25yZXYueG1sUEsBAhQAFAAAAAgAh07iQCzW&#10;llHrAQAAqAMAAA4AAAAAAAAAAQAgAAAAIgEAAGRycy9lMm9Eb2MueG1sUEsFBgAAAAAGAAYAWQEA&#10;AH8FAAAAAA==&#10;">
          <v:path arrowok="t"/>
          <v:fill on="f" focussize="0,0"/>
          <v:stroke weight="1.75pt" color="#005192" joinstyle="round"/>
          <v:imagedata o:title=""/>
          <o:lock v:ext="edit" aspectratio="f"/>
        </v:lin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p>
  <w:p>
    <w:pPr>
      <w:pStyle w:val="8"/>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Hans"/>
      </w:rPr>
    </w:pPr>
    <w:r>
      <w:rPr>
        <w:rFonts w:hint="eastAsia" w:ascii="宋体" w:hAnsi="宋体" w:eastAsia="宋体" w:cs="宋体"/>
        <w:b/>
        <w:bCs/>
        <w:color w:val="005192"/>
        <w:sz w:val="32"/>
      </w:rPr>
      <w:pict>
        <v:shape id="_x0000_i1027" o:spt="75" alt="国徽1024" type="#_x0000_t75" style="height:24.3pt;width:24.3pt;" filled="f" o:preferrelative="t" stroked="f" coordsize="21600,21600">
          <v:path/>
          <v:fill on="f" focussize="0,0"/>
          <v:stroke on="f"/>
          <v:imagedata r:id="rId1" o:title=""/>
          <o:lock v:ext="edit" aspectratio="t"/>
          <w10:wrap type="none"/>
          <w10:anchorlock/>
        </v:shape>
      </w:pict>
    </w:r>
    <w:r>
      <w:rPr>
        <w:rFonts w:hint="eastAsia" w:ascii="宋体" w:hAnsi="宋体" w:eastAsia="宋体" w:cs="宋体"/>
        <w:b/>
        <w:bCs/>
        <w:color w:val="005192"/>
        <w:sz w:val="32"/>
        <w:lang w:val="en-US" w:eastAsia="zh-CN"/>
      </w:rPr>
      <w:t>重庆市潼南区人民政府行政</w:t>
    </w:r>
    <w:r>
      <w:rPr>
        <w:rFonts w:hint="eastAsia" w:ascii="宋体" w:hAnsi="宋体" w:eastAsia="宋体" w:cs="宋体"/>
        <w:b/>
        <w:bCs/>
        <w:color w:val="005192"/>
        <w:sz w:val="32"/>
        <w:szCs w:val="32"/>
        <w:lang w:val="en-US" w:eastAsia="zh-Hans"/>
      </w:rPr>
      <w:t>规范性文件</w:t>
    </w:r>
  </w:p>
  <w:p>
    <w:pPr>
      <w:pStyle w:val="8"/>
      <w:keepNext w:val="0"/>
      <w:keepLines w:val="0"/>
      <w:pageBreakBefore w:val="0"/>
      <w:widowControl w:val="0"/>
      <w:kinsoku/>
      <w:wordWrap/>
      <w:overflowPunct/>
      <w:topLinePunct w:val="0"/>
      <w:autoSpaceDE/>
      <w:autoSpaceDN/>
      <w:bidi w:val="0"/>
      <w:adjustRightInd/>
      <w:snapToGrid w:val="0"/>
      <w:textAlignment w:val="center"/>
    </w:pPr>
    <w:r>
      <w:rPr>
        <w:rFonts w:hint="eastAsia" w:ascii="方正仿宋_GBK" w:hAnsi="方正仿宋_GBK" w:eastAsia="方正仿宋_GBK" w:cs="方正仿宋_GBK"/>
        <w:b/>
        <w:bCs/>
        <w:color w:val="000000" w:themeColor="text1"/>
        <w:sz w:val="32"/>
      </w:rPr>
      <w:pict>
        <v:line id="_x0000_s3082" o:spid="_x0000_s3082" o:spt="20" style="position:absolute;left:0pt;margin-left:0.6pt;margin-top:16.65pt;height:0pt;width:442.55pt;z-index:251664384;mso-width-relative:page;mso-height-relative:page;" filled="f" stroked="t" coordsize="21600,21600" o:gfxdata="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AHV08M0QAAAAYB&#10;AAAPAAAAAAAAAAEAIAAAACIAAABkcnMvZG93bnJldi54bWxQSwECFAAUAAAACACHTuJA8z6AoOkB&#10;AACnAwAADgAAAAAAAAABACAAAAAgAQAAZHJzL2Uyb0RvYy54bWxQSwUGAAAAAAYABgBZAQAAewUA&#10;AAAA&#10;">
          <v:path arrowok="t"/>
          <v:fill on="f" focussize="0,0"/>
          <v:stroke weight="1.75pt" color="#005192" joinstyle="round"/>
          <v:imagedata o:title=""/>
          <o:lock v:ext="edit" aspectratio="f"/>
        </v:lin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documentProtection w:enforcement="0"/>
  <w:defaultTabStop w:val="420"/>
  <w:drawingGridVerticalSpacing w:val="156"/>
  <w:noPunctuationKerning w:val="1"/>
  <w:characterSpacingControl w:val="compressPunctuation"/>
  <w:noLineBreaksAfter w:lang="zh-CN" w:val="$([{£¥·‘“〈《「『【〔〖〝﹙﹛﹝＄（．［｛￡￥"/>
  <w:noLineBreaksBefore w:lang="zh-CN" w:val="!%),.:;&gt;?]}¢¨°·ˇˉ―‖’”…‰′″›℃∶、。〃〉》」』】〕〗〞︶︺︾﹀﹄﹚﹜﹞！＂％＇），．：；？］｀｜｝～￠"/>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2D6C6C2B"/>
    <w:rsid w:val="00092E54"/>
    <w:rsid w:val="0047448A"/>
    <w:rsid w:val="00566E33"/>
    <w:rsid w:val="00717B65"/>
    <w:rsid w:val="00A76CF8"/>
    <w:rsid w:val="00F63DE4"/>
    <w:rsid w:val="073E07F4"/>
    <w:rsid w:val="08327E46"/>
    <w:rsid w:val="08D419E5"/>
    <w:rsid w:val="096F16C9"/>
    <w:rsid w:val="09FC45F6"/>
    <w:rsid w:val="0AA60B94"/>
    <w:rsid w:val="0AB421CB"/>
    <w:rsid w:val="0B3F2F4F"/>
    <w:rsid w:val="0C5E7032"/>
    <w:rsid w:val="16E41EDB"/>
    <w:rsid w:val="17CA3D6F"/>
    <w:rsid w:val="181C3668"/>
    <w:rsid w:val="184B6CD6"/>
    <w:rsid w:val="18FA7015"/>
    <w:rsid w:val="19044DF4"/>
    <w:rsid w:val="1BF52B4A"/>
    <w:rsid w:val="1CBB03E7"/>
    <w:rsid w:val="20B50EC9"/>
    <w:rsid w:val="27444C8E"/>
    <w:rsid w:val="27BA0EE8"/>
    <w:rsid w:val="286A1747"/>
    <w:rsid w:val="2BAD5C28"/>
    <w:rsid w:val="2C840CC2"/>
    <w:rsid w:val="2D6C6C2B"/>
    <w:rsid w:val="32A62827"/>
    <w:rsid w:val="386218D3"/>
    <w:rsid w:val="487C20B3"/>
    <w:rsid w:val="4B550045"/>
    <w:rsid w:val="4BCA3897"/>
    <w:rsid w:val="4EC60660"/>
    <w:rsid w:val="50271C7D"/>
    <w:rsid w:val="50AF2002"/>
    <w:rsid w:val="52737331"/>
    <w:rsid w:val="53BA2F8F"/>
    <w:rsid w:val="54AB4A61"/>
    <w:rsid w:val="58D5200B"/>
    <w:rsid w:val="5F167999"/>
    <w:rsid w:val="65455B3A"/>
    <w:rsid w:val="676D7CFE"/>
    <w:rsid w:val="6F916E33"/>
    <w:rsid w:val="7262556A"/>
    <w:rsid w:val="73CE1BB3"/>
    <w:rsid w:val="76A07366"/>
    <w:rsid w:val="7B0A74D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99" w:semiHidden="0"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qFormat="1" w:uiPriority="99" w:name="header"/>
    <w:lsdException w:qFormat="1" w:unhideWhenUsed="0" w:uiPriority="99" w:semiHidden="0" w:name="footer"/>
    <w:lsdException w:uiPriority="99" w:name="index heading"/>
    <w:lsdException w:qFormat="1" w:uiPriority="0" w:name="caption" w:locked="1"/>
    <w:lsdException w:qFormat="1" w:unhideWhenUsed="0"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3">
    <w:name w:val="heading 1"/>
    <w:basedOn w:val="1"/>
    <w:next w:val="1"/>
    <w:link w:val="14"/>
    <w:qFormat/>
    <w:uiPriority w:val="99"/>
    <w:pPr>
      <w:spacing w:beforeAutospacing="1" w:afterAutospacing="1"/>
      <w:jc w:val="left"/>
      <w:outlineLvl w:val="0"/>
    </w:pPr>
    <w:rPr>
      <w:rFonts w:ascii="宋体" w:hAnsi="宋体"/>
      <w:b/>
      <w:kern w:val="44"/>
      <w:sz w:val="48"/>
      <w:szCs w:val="48"/>
    </w:rPr>
  </w:style>
  <w:style w:type="character" w:default="1" w:styleId="12">
    <w:name w:val="Default Paragraph Font"/>
    <w:semiHidden/>
    <w:qFormat/>
    <w:uiPriority w:val="99"/>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15"/>
    <w:qFormat/>
    <w:uiPriority w:val="99"/>
    <w:pPr>
      <w:ind w:left="114"/>
    </w:pPr>
    <w:rPr>
      <w:rFonts w:ascii="宋体" w:hAnsi="宋体" w:cs="宋体"/>
      <w:sz w:val="29"/>
      <w:szCs w:val="29"/>
    </w:rPr>
  </w:style>
  <w:style w:type="paragraph" w:styleId="4">
    <w:name w:val="index 8"/>
    <w:basedOn w:val="1"/>
    <w:next w:val="1"/>
    <w:qFormat/>
    <w:uiPriority w:val="99"/>
    <w:pPr>
      <w:ind w:left="1400" w:leftChars="1400"/>
    </w:pPr>
  </w:style>
  <w:style w:type="paragraph" w:styleId="5">
    <w:name w:val="annotation text"/>
    <w:basedOn w:val="1"/>
    <w:link w:val="16"/>
    <w:qFormat/>
    <w:uiPriority w:val="99"/>
    <w:pPr>
      <w:jc w:val="left"/>
    </w:pPr>
  </w:style>
  <w:style w:type="paragraph" w:styleId="6">
    <w:name w:val="Plain Text"/>
    <w:basedOn w:val="1"/>
    <w:next w:val="4"/>
    <w:link w:val="17"/>
    <w:qFormat/>
    <w:uiPriority w:val="99"/>
    <w:pPr>
      <w:ind w:firstLine="648" w:firstLineChars="200"/>
      <w:jc w:val="left"/>
    </w:pPr>
    <w:rPr>
      <w:rFonts w:ascii="方正黑体_GBK" w:hAnsi="Courier New" w:eastAsia="方正仿宋_GBK"/>
      <w:sz w:val="32"/>
      <w:szCs w:val="21"/>
    </w:rPr>
  </w:style>
  <w:style w:type="paragraph" w:styleId="7">
    <w:name w:val="footer"/>
    <w:basedOn w:val="1"/>
    <w:link w:val="18"/>
    <w:qFormat/>
    <w:uiPriority w:val="99"/>
    <w:pPr>
      <w:tabs>
        <w:tab w:val="center" w:pos="4140"/>
        <w:tab w:val="right" w:pos="8300"/>
      </w:tabs>
      <w:snapToGrid w:val="0"/>
      <w:jc w:val="left"/>
    </w:pPr>
    <w:rPr>
      <w:rFonts w:ascii="Calibri" w:hAnsi="Calibri" w:cs="Calibri"/>
      <w:sz w:val="18"/>
      <w:szCs w:val="18"/>
    </w:rPr>
  </w:style>
  <w:style w:type="paragraph" w:styleId="8">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able of figures"/>
    <w:basedOn w:val="1"/>
    <w:next w:val="1"/>
    <w:qFormat/>
    <w:uiPriority w:val="99"/>
    <w:pPr>
      <w:ind w:left="200" w:leftChars="200" w:hanging="200" w:hangingChars="200"/>
    </w:pPr>
    <w:rPr>
      <w:rFonts w:ascii="Calibri" w:hAnsi="Calibri" w:cs="Calibri"/>
      <w:szCs w:val="21"/>
    </w:rPr>
  </w:style>
  <w:style w:type="paragraph" w:styleId="10">
    <w:name w:val="Normal (Web)"/>
    <w:basedOn w:val="1"/>
    <w:qFormat/>
    <w:uiPriority w:val="99"/>
    <w:pPr>
      <w:spacing w:beforeAutospacing="1" w:afterAutospacing="1"/>
      <w:jc w:val="left"/>
    </w:pPr>
    <w:rPr>
      <w:kern w:val="0"/>
      <w:sz w:val="24"/>
    </w:rPr>
  </w:style>
  <w:style w:type="character" w:styleId="13">
    <w:name w:val="page number"/>
    <w:basedOn w:val="12"/>
    <w:qFormat/>
    <w:uiPriority w:val="99"/>
    <w:rPr>
      <w:rFonts w:cs="Times New Roman"/>
    </w:rPr>
  </w:style>
  <w:style w:type="character" w:customStyle="1" w:styleId="14">
    <w:name w:val="Heading 1 Char"/>
    <w:basedOn w:val="12"/>
    <w:link w:val="3"/>
    <w:qFormat/>
    <w:uiPriority w:val="9"/>
    <w:rPr>
      <w:b/>
      <w:bCs/>
      <w:kern w:val="44"/>
      <w:sz w:val="44"/>
      <w:szCs w:val="44"/>
    </w:rPr>
  </w:style>
  <w:style w:type="character" w:customStyle="1" w:styleId="15">
    <w:name w:val="Body Text Char"/>
    <w:basedOn w:val="12"/>
    <w:link w:val="2"/>
    <w:semiHidden/>
    <w:qFormat/>
    <w:uiPriority w:val="99"/>
    <w:rPr>
      <w:szCs w:val="20"/>
    </w:rPr>
  </w:style>
  <w:style w:type="character" w:customStyle="1" w:styleId="16">
    <w:name w:val="Comment Text Char"/>
    <w:basedOn w:val="12"/>
    <w:link w:val="5"/>
    <w:semiHidden/>
    <w:qFormat/>
    <w:uiPriority w:val="99"/>
    <w:rPr>
      <w:szCs w:val="20"/>
    </w:rPr>
  </w:style>
  <w:style w:type="character" w:customStyle="1" w:styleId="17">
    <w:name w:val="Plain Text Char"/>
    <w:basedOn w:val="12"/>
    <w:link w:val="6"/>
    <w:semiHidden/>
    <w:qFormat/>
    <w:uiPriority w:val="99"/>
    <w:rPr>
      <w:rFonts w:ascii="宋体" w:hAnsi="Courier New" w:cs="Courier New"/>
      <w:szCs w:val="21"/>
    </w:rPr>
  </w:style>
  <w:style w:type="character" w:customStyle="1" w:styleId="18">
    <w:name w:val="Footer Char"/>
    <w:basedOn w:val="12"/>
    <w:link w:val="7"/>
    <w:semiHidden/>
    <w:qFormat/>
    <w:uiPriority w:val="99"/>
    <w:rPr>
      <w:sz w:val="18"/>
      <w:szCs w:val="18"/>
    </w:rPr>
  </w:style>
  <w:style w:type="paragraph" w:customStyle="1" w:styleId="19">
    <w:name w:val="Normal (Web)1"/>
    <w:basedOn w:val="1"/>
    <w:qFormat/>
    <w:uiPriority w:val="99"/>
    <w:pPr>
      <w:widowControl/>
      <w:spacing w:beforeAutospacing="1" w:afterAutospacing="1"/>
      <w:jc w:val="left"/>
    </w:pPr>
    <w:rPr>
      <w:rFonts w:ascii="宋体" w:hAnsi="宋体" w:cs="宋体"/>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3073"/>
    <customShpInfo spid="_x0000_s3074"/>
    <customShpInfo spid="_x0000_s3077"/>
    <customShpInfo spid="_x0000_s3080"/>
    <customShpInfo spid="_x0000_s3082"/>
    <customShpInfo spid="_x0000_s307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16</Pages>
  <Words>1185</Words>
  <Characters>6756</Characters>
  <Lines>0</Lines>
  <Paragraphs>0</Paragraphs>
  <TotalTime>1</TotalTime>
  <ScaleCrop>false</ScaleCrop>
  <LinksUpToDate>false</LinksUpToDate>
  <CharactersWithSpaces>0</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2021-11-12T06:51:00Z</dcterms:created>
  <dc:creator>大王</dc:creator>
  <cp:lastModifiedBy>SFJ1</cp:lastModifiedBy>
  <cp:lastPrinted>2021-11-03T06:26:00Z</cp:lastPrinted>
  <dcterms:modified xsi:type="dcterms:W3CDTF">2022-06-10T03:08:49Z</dcterms:modified>
  <dc:title> </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2052-11.8.6.10973</vt:lpwstr>
  </property>
  <property fmtid="{D5CDD505-2E9C-101B-9397-08002B2CF9AE}" pid="3" name="ICV">
    <vt:lpwstr>6B5DF5C1401B49AAB18E523264BCF319</vt:lpwstr>
  </property>
</Properties>
</file>