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spacing w:before="0" w:beforeAutospacing="0" w:after="0" w:afterAutospacing="0" w:line="600" w:lineRule="exact"/>
        <w:jc w:val="both"/>
        <w:rPr>
          <w:rFonts w:hint="eastAsia" w:ascii="Times New Roman" w:hAnsi="Times New Roman" w:eastAsia="方正小标宋_GBK" w:cs="Times New Roman"/>
          <w:sz w:val="44"/>
          <w:szCs w:val="44"/>
        </w:rPr>
      </w:pPr>
      <w:bookmarkStart w:id="0" w:name="_GoBack"/>
      <w:bookmarkEnd w:id="0"/>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40" w:lineRule="exact"/>
        <w:jc w:val="both"/>
        <w:textAlignment w:val="auto"/>
        <w:rPr>
          <w:rFonts w:hint="eastAsia" w:ascii="Times New Roman" w:hAnsi="Times New Roman" w:eastAsia="方正小标宋_GBK" w:cs="Times New Roman"/>
          <w:sz w:val="44"/>
          <w:szCs w:val="44"/>
        </w:rPr>
      </w:pP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40"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重庆市潼南区人民政府</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ascii="方正小标宋_GBK" w:hAnsi="宋体" w:eastAsia="方正小标宋_GBK" w:cs="宋体"/>
          <w:color w:val="000000"/>
          <w:kern w:val="0"/>
          <w:sz w:val="44"/>
          <w:szCs w:val="44"/>
        </w:rPr>
      </w:pPr>
      <w:r>
        <w:rPr>
          <w:rFonts w:hint="eastAsia" w:ascii="Times New Roman" w:hAnsi="Times New Roman" w:eastAsia="方正小标宋_GBK"/>
          <w:color w:val="000000"/>
          <w:kern w:val="0"/>
          <w:sz w:val="44"/>
          <w:szCs w:val="44"/>
        </w:rPr>
        <w:t>关于取消和调整部分区级行政审批事项的决定</w:t>
      </w:r>
    </w:p>
    <w:p>
      <w:pPr>
        <w:tabs>
          <w:tab w:val="left" w:pos="7668"/>
        </w:tabs>
        <w:spacing w:line="600" w:lineRule="exact"/>
        <w:ind w:right="23" w:rightChars="11"/>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潼南府〔2017〕117号</w:t>
      </w:r>
    </w:p>
    <w:p>
      <w:pPr>
        <w:spacing w:line="600" w:lineRule="exact"/>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sz w:val="32"/>
          <w:szCs w:val="32"/>
        </w:rPr>
      </w:pPr>
      <w:r>
        <w:rPr>
          <w:rFonts w:ascii="Times New Roman" w:hAnsi="Times New Roman" w:eastAsia="方正仿宋_GBK"/>
          <w:sz w:val="32"/>
          <w:szCs w:val="32"/>
        </w:rPr>
        <w:t>区级有关部门、市管在潼有关单位：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为贯彻落实重庆市人民政府《</w:t>
      </w:r>
      <w:r>
        <w:rPr>
          <w:rFonts w:eastAsia="方正仿宋_GBK"/>
          <w:sz w:val="32"/>
          <w:szCs w:val="32"/>
        </w:rPr>
        <w:t>关于取消和调整部分市级行政审批事项的决定</w:t>
      </w:r>
      <w:r>
        <w:rPr>
          <w:rFonts w:ascii="Times New Roman" w:hAnsi="Times New Roman" w:eastAsia="方正仿宋_GBK"/>
          <w:sz w:val="32"/>
          <w:szCs w:val="32"/>
        </w:rPr>
        <w:t>》（渝府发〔2017〕</w:t>
      </w:r>
      <w:r>
        <w:rPr>
          <w:rFonts w:hint="eastAsia" w:ascii="Times New Roman" w:hAnsi="Times New Roman" w:eastAsia="方正仿宋_GBK"/>
          <w:sz w:val="32"/>
          <w:szCs w:val="32"/>
        </w:rPr>
        <w:t>21</w:t>
      </w:r>
      <w:r>
        <w:rPr>
          <w:rFonts w:ascii="Times New Roman" w:hAnsi="Times New Roman" w:eastAsia="方正仿宋_GBK"/>
          <w:sz w:val="32"/>
          <w:szCs w:val="32"/>
        </w:rPr>
        <w:t>号）精神，进一步转变政府职能，</w:t>
      </w:r>
      <w:r>
        <w:rPr>
          <w:rFonts w:ascii="Times New Roman" w:hAnsi="Times New Roman" w:eastAsia="方正仿宋_GBK"/>
          <w:color w:val="000000"/>
          <w:kern w:val="0"/>
          <w:sz w:val="32"/>
          <w:szCs w:val="32"/>
        </w:rPr>
        <w:t>推进简政放权</w:t>
      </w:r>
      <w:r>
        <w:rPr>
          <w:rFonts w:ascii="Times New Roman" w:hAnsi="Times New Roman" w:eastAsia="方正仿宋_GBK"/>
          <w:sz w:val="32"/>
          <w:szCs w:val="32"/>
        </w:rPr>
        <w:t>。经区</w:t>
      </w:r>
      <w:r>
        <w:rPr>
          <w:rFonts w:hint="eastAsia" w:ascii="Times New Roman" w:hAnsi="Times New Roman" w:eastAsia="方正仿宋_GBK"/>
          <w:sz w:val="32"/>
          <w:szCs w:val="32"/>
        </w:rPr>
        <w:t>第十七届</w:t>
      </w:r>
      <w:r>
        <w:rPr>
          <w:rFonts w:ascii="Times New Roman" w:hAnsi="Times New Roman" w:eastAsia="方正仿宋_GBK"/>
          <w:sz w:val="32"/>
          <w:szCs w:val="32"/>
        </w:rPr>
        <w:t>政府第1</w:t>
      </w:r>
      <w:r>
        <w:rPr>
          <w:rFonts w:hint="eastAsia" w:ascii="Times New Roman" w:hAnsi="Times New Roman" w:eastAsia="方正仿宋_GBK"/>
          <w:sz w:val="32"/>
          <w:szCs w:val="32"/>
        </w:rPr>
        <w:t>2</w:t>
      </w:r>
      <w:r>
        <w:rPr>
          <w:rFonts w:ascii="Times New Roman" w:hAnsi="Times New Roman" w:eastAsia="方正仿宋_GBK"/>
          <w:sz w:val="32"/>
          <w:szCs w:val="32"/>
        </w:rPr>
        <w:t>次常务会</w:t>
      </w:r>
      <w:r>
        <w:rPr>
          <w:rFonts w:hint="eastAsia" w:ascii="Times New Roman" w:hAnsi="Times New Roman" w:eastAsia="方正仿宋_GBK"/>
          <w:sz w:val="32"/>
          <w:szCs w:val="32"/>
        </w:rPr>
        <w:t>议</w:t>
      </w:r>
      <w:r>
        <w:rPr>
          <w:rFonts w:ascii="Times New Roman" w:hAnsi="Times New Roman" w:eastAsia="方正仿宋_GBK"/>
          <w:sz w:val="32"/>
          <w:szCs w:val="32"/>
        </w:rPr>
        <w:t>研究，决定对应取消</w:t>
      </w:r>
      <w:r>
        <w:rPr>
          <w:rFonts w:hint="eastAsia" w:ascii="Times New Roman" w:hAnsi="Times New Roman" w:eastAsia="方正仿宋_GBK"/>
          <w:sz w:val="32"/>
          <w:szCs w:val="32"/>
        </w:rPr>
        <w:t>区级</w:t>
      </w:r>
      <w:r>
        <w:rPr>
          <w:rFonts w:ascii="Times New Roman" w:hAnsi="Times New Roman" w:eastAsia="方正仿宋_GBK"/>
          <w:sz w:val="32"/>
          <w:szCs w:val="32"/>
        </w:rPr>
        <w:t>行政审批项目</w:t>
      </w:r>
      <w:r>
        <w:rPr>
          <w:rFonts w:hint="eastAsia" w:ascii="Times New Roman" w:hAnsi="Times New Roman" w:eastAsia="方正仿宋_GBK"/>
          <w:sz w:val="32"/>
          <w:szCs w:val="32"/>
        </w:rPr>
        <w:t>4</w:t>
      </w:r>
      <w:r>
        <w:rPr>
          <w:rFonts w:ascii="Times New Roman" w:hAnsi="Times New Roman" w:eastAsia="方正仿宋_GBK"/>
          <w:sz w:val="32"/>
          <w:szCs w:val="32"/>
        </w:rPr>
        <w:t>项，其中原已取消</w:t>
      </w:r>
      <w:r>
        <w:rPr>
          <w:rFonts w:hint="eastAsia" w:ascii="Times New Roman" w:hAnsi="Times New Roman" w:eastAsia="方正仿宋_GBK"/>
          <w:sz w:val="32"/>
          <w:szCs w:val="32"/>
        </w:rPr>
        <w:t>2</w:t>
      </w:r>
      <w:r>
        <w:rPr>
          <w:rFonts w:ascii="Times New Roman" w:hAnsi="Times New Roman" w:eastAsia="方正仿宋_GBK"/>
          <w:sz w:val="32"/>
          <w:szCs w:val="32"/>
        </w:rPr>
        <w:t>项，本次取消</w:t>
      </w:r>
      <w:r>
        <w:rPr>
          <w:rFonts w:hint="eastAsia" w:ascii="Times New Roman" w:hAnsi="Times New Roman" w:eastAsia="方正仿宋_GBK"/>
          <w:sz w:val="32"/>
          <w:szCs w:val="32"/>
        </w:rPr>
        <w:t>2</w:t>
      </w:r>
      <w:r>
        <w:rPr>
          <w:rFonts w:ascii="Times New Roman" w:hAnsi="Times New Roman" w:eastAsia="方正仿宋_GBK"/>
          <w:sz w:val="32"/>
          <w:szCs w:val="32"/>
        </w:rPr>
        <w:t>项</w:t>
      </w:r>
      <w:r>
        <w:rPr>
          <w:rFonts w:hint="eastAsia" w:ascii="Times New Roman" w:hAnsi="Times New Roman" w:eastAsia="方正仿宋_GBK"/>
          <w:sz w:val="32"/>
          <w:szCs w:val="32"/>
        </w:rPr>
        <w:t>；调整</w:t>
      </w:r>
      <w:r>
        <w:rPr>
          <w:rFonts w:ascii="Times New Roman" w:hAnsi="Times New Roman" w:eastAsia="方正仿宋_GBK"/>
          <w:sz w:val="32"/>
          <w:szCs w:val="32"/>
        </w:rPr>
        <w:t>审批事项</w:t>
      </w:r>
      <w:r>
        <w:rPr>
          <w:rFonts w:hint="eastAsia" w:ascii="Times New Roman" w:hAnsi="Times New Roman" w:eastAsia="方正仿宋_GBK"/>
          <w:sz w:val="32"/>
          <w:szCs w:val="32"/>
        </w:rPr>
        <w:t>内容</w:t>
      </w:r>
      <w:r>
        <w:rPr>
          <w:rFonts w:ascii="Times New Roman" w:hAnsi="Times New Roman" w:eastAsia="方正仿宋_GBK"/>
          <w:sz w:val="32"/>
          <w:szCs w:val="32"/>
        </w:rPr>
        <w:t>1项。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各相关部门和单位要认真做好取消事项的落实工作，切实加强事中、事后监管，完善相关管理制度，防止管理脱节。对取消的事项，不得转交下属事业单位、协会继续审批；不得通过拆分或重组等方式以新的名义、条目替代审批；不得以其他任何形式变相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各相关部门和单位</w:t>
      </w:r>
      <w:r>
        <w:rPr>
          <w:rFonts w:ascii="Times New Roman" w:hAnsi="Times New Roman" w:eastAsia="方正仿宋_GBK"/>
          <w:spacing w:val="-8"/>
          <w:sz w:val="32"/>
          <w:szCs w:val="32"/>
        </w:rPr>
        <w:t>在实施过程中如发现问题，要及时向区审改办</w:t>
      </w:r>
      <w:r>
        <w:rPr>
          <w:rFonts w:ascii="Times New Roman" w:hAnsi="Times New Roman" w:eastAsia="方正仿宋_GBK"/>
          <w:sz w:val="32"/>
          <w:szCs w:val="32"/>
        </w:rPr>
        <w:t>（区编办）</w:t>
      </w:r>
      <w:r>
        <w:rPr>
          <w:rFonts w:ascii="Times New Roman" w:hAnsi="Times New Roman" w:eastAsia="方正仿宋_GBK"/>
          <w:spacing w:val="-8"/>
          <w:sz w:val="32"/>
          <w:szCs w:val="32"/>
        </w:rPr>
        <w:t>反馈，</w:t>
      </w:r>
      <w:r>
        <w:rPr>
          <w:rFonts w:ascii="Times New Roman" w:hAnsi="Times New Roman" w:eastAsia="方正仿宋_GBK"/>
          <w:sz w:val="32"/>
          <w:szCs w:val="32"/>
        </w:rPr>
        <w:t>涉及审批项目调整的，要及时制定项目调整工作方案，自接到项目调整相关文件起10个工作日内将方案报区审改办，区审改办、区政府法制办会同相关业务部门提出项目调整意见，提交</w:t>
      </w:r>
      <w:r>
        <w:rPr>
          <w:rFonts w:hint="eastAsia" w:ascii="Times New Roman" w:hAnsi="Times New Roman" w:eastAsia="方正仿宋_GBK"/>
          <w:sz w:val="32"/>
          <w:szCs w:val="32"/>
        </w:rPr>
        <w:t>区</w:t>
      </w:r>
      <w:r>
        <w:rPr>
          <w:rFonts w:ascii="Times New Roman" w:hAnsi="Times New Roman" w:eastAsia="方正仿宋_GBK"/>
          <w:sz w:val="32"/>
          <w:szCs w:val="32"/>
        </w:rPr>
        <w:t>政府常务会</w:t>
      </w:r>
      <w:r>
        <w:rPr>
          <w:rFonts w:hint="eastAsia" w:ascii="Times New Roman" w:hAnsi="Times New Roman" w:eastAsia="方正仿宋_GBK"/>
          <w:sz w:val="32"/>
          <w:szCs w:val="32"/>
        </w:rPr>
        <w:t>议</w:t>
      </w:r>
      <w:r>
        <w:rPr>
          <w:rFonts w:ascii="Times New Roman" w:hAnsi="Times New Roman" w:eastAsia="方正仿宋_GBK"/>
          <w:sz w:val="32"/>
          <w:szCs w:val="32"/>
        </w:rPr>
        <w:t>审定。</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ascii="Times New Roman" w:hAnsi="Times New Roman" w:eastAsia="方正仿宋_GBK"/>
          <w:spacing w:val="-8"/>
          <w:sz w:val="32"/>
          <w:szCs w:val="32"/>
        </w:rPr>
      </w:pPr>
      <w:r>
        <w:rPr>
          <w:rFonts w:ascii="Times New Roman" w:hAnsi="Times New Roman" w:eastAsia="方正仿宋_GBK"/>
          <w:spacing w:val="-8"/>
          <w:sz w:val="32"/>
          <w:szCs w:val="32"/>
        </w:rPr>
        <w:t>各有关部门要按照本次决定动态调整行政许可审批事项目录</w:t>
      </w:r>
      <w:r>
        <w:rPr>
          <w:rFonts w:hint="eastAsia" w:ascii="Times New Roman" w:hAnsi="Times New Roman" w:eastAsia="方正仿宋_GBK"/>
          <w:spacing w:val="-8"/>
          <w:sz w:val="32"/>
          <w:szCs w:val="32"/>
        </w:rPr>
        <w:t>、</w:t>
      </w:r>
      <w:r>
        <w:rPr>
          <w:rFonts w:ascii="Times New Roman" w:hAnsi="Times New Roman" w:eastAsia="方正仿宋_GBK"/>
          <w:spacing w:val="-8"/>
          <w:sz w:val="32"/>
          <w:szCs w:val="32"/>
        </w:rPr>
        <w:t>权力清单、责任清单以及网上行政审批事项。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ascii="Times New Roman" w:hAnsi="Times New Roman" w:eastAsia="方正仿宋_GBK"/>
          <w:sz w:val="32"/>
          <w:szCs w:val="32"/>
        </w:rPr>
        <w:t>附件：</w:t>
      </w:r>
      <w:r>
        <w:rPr>
          <w:rFonts w:eastAsia="方正仿宋_GBK"/>
          <w:color w:val="000000"/>
          <w:sz w:val="32"/>
          <w:szCs w:val="32"/>
        </w:rPr>
        <w:t>潼南区</w:t>
      </w:r>
      <w:r>
        <w:rPr>
          <w:rFonts w:hint="eastAsia" w:eastAsia="方正仿宋_GBK"/>
          <w:color w:val="000000"/>
          <w:sz w:val="32"/>
          <w:szCs w:val="32"/>
        </w:rPr>
        <w:t>取消和调整部分区级行政审批事项目录</w:t>
      </w:r>
    </w:p>
    <w:p>
      <w:pPr>
        <w:keepNext w:val="0"/>
        <w:keepLines w:val="0"/>
        <w:pageBreakBefore w:val="0"/>
        <w:widowControl w:val="0"/>
        <w:kinsoku/>
        <w:wordWrap/>
        <w:overflowPunct/>
        <w:topLinePunct w:val="0"/>
        <w:autoSpaceDE/>
        <w:autoSpaceDN/>
        <w:bidi w:val="0"/>
        <w:adjustRightInd/>
        <w:snapToGrid/>
        <w:spacing w:line="600" w:lineRule="exact"/>
        <w:ind w:right="825"/>
        <w:jc w:val="both"/>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825"/>
        <w:jc w:val="right"/>
        <w:textAlignment w:val="auto"/>
        <w:rPr>
          <w:rFonts w:ascii="Times New Roman" w:hAnsi="Times New Roman" w:eastAsia="方正仿宋_GBK"/>
          <w:sz w:val="32"/>
          <w:szCs w:val="32"/>
        </w:rPr>
      </w:pPr>
      <w:r>
        <w:rPr>
          <w:rFonts w:ascii="Times New Roman" w:hAnsi="Times New Roman" w:eastAsia="方正仿宋_GBK"/>
          <w:sz w:val="32"/>
          <w:szCs w:val="32"/>
        </w:rPr>
        <w:t xml:space="preserve">重庆市潼南区人民政府 </w:t>
      </w:r>
    </w:p>
    <w:p>
      <w:pPr>
        <w:keepNext w:val="0"/>
        <w:keepLines w:val="0"/>
        <w:pageBreakBefore w:val="0"/>
        <w:widowControl w:val="0"/>
        <w:kinsoku/>
        <w:wordWrap/>
        <w:overflowPunct/>
        <w:topLinePunct w:val="0"/>
        <w:autoSpaceDE/>
        <w:autoSpaceDN/>
        <w:bidi w:val="0"/>
        <w:adjustRightInd/>
        <w:snapToGrid/>
        <w:spacing w:line="600" w:lineRule="exact"/>
        <w:ind w:left="1260" w:leftChars="600" w:right="660" w:firstLine="2560" w:firstLineChars="800"/>
        <w:textAlignment w:val="auto"/>
        <w:rPr>
          <w:rFonts w:hint="eastAsia"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201</w:t>
      </w:r>
      <w:r>
        <w:rPr>
          <w:rFonts w:hint="eastAsia" w:ascii="Times New Roman" w:hAnsi="Times New Roman" w:eastAsia="方正仿宋_GBK"/>
          <w:sz w:val="32"/>
          <w:szCs w:val="32"/>
        </w:rPr>
        <w:t>7年8月17日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（此件公开发布）</w:t>
      </w:r>
      <w:r>
        <w:rPr>
          <w:rFonts w:eastAsia="方正仿宋_GBK"/>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lang w:val="en-US" w:eastAsia="zh-CN"/>
        </w:rPr>
      </w:pPr>
    </w:p>
    <w:p>
      <w:pPr>
        <w:rPr>
          <w:rFonts w:hint="eastAsia" w:eastAsia="方正仿宋_GBK"/>
          <w:color w:val="000000"/>
          <w:sz w:val="32"/>
          <w:szCs w:val="32"/>
          <w:lang w:val="en-US" w:eastAsia="zh-CN"/>
        </w:rPr>
      </w:pPr>
      <w:r>
        <w:rPr>
          <w:rFonts w:hint="eastAsia" w:eastAsia="方正仿宋_GBK"/>
          <w:color w:val="000000"/>
          <w:sz w:val="32"/>
          <w:szCs w:val="32"/>
          <w:lang w:val="en-US" w:eastAsia="zh-CN"/>
        </w:rPr>
        <w:br w:type="page"/>
      </w:r>
    </w:p>
    <w:p>
      <w:pPr>
        <w:rPr>
          <w:rFonts w:hint="eastAsia" w:eastAsia="方正仿宋_GBK"/>
          <w:color w:val="000000"/>
          <w:sz w:val="32"/>
          <w:szCs w:val="32"/>
          <w:lang w:val="en-US" w:eastAsia="zh-CN"/>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tabs>
          <w:tab w:val="left" w:pos="5080"/>
        </w:tabs>
        <w:spacing w:line="600" w:lineRule="exact"/>
        <w:ind w:right="660"/>
        <w:rPr>
          <w:rFonts w:hint="eastAsia" w:ascii="方正黑体_GBK" w:hAnsi="Times New Roman" w:eastAsia="方正黑体_GBK"/>
          <w:sz w:val="32"/>
          <w:szCs w:val="32"/>
          <w:lang w:eastAsia="zh-CN"/>
        </w:rPr>
      </w:pPr>
      <w:r>
        <w:rPr>
          <w:rFonts w:hint="eastAsia" w:ascii="方正黑体_GBK" w:hAnsi="Times New Roman" w:eastAsia="方正黑体_GBK"/>
          <w:sz w:val="32"/>
          <w:szCs w:val="32"/>
        </w:rPr>
        <w:t>附件</w:t>
      </w:r>
      <w:r>
        <w:rPr>
          <w:rFonts w:hint="eastAsia" w:ascii="方正黑体_GBK" w:hAnsi="Times New Roman" w:eastAsia="方正黑体_GBK"/>
          <w:sz w:val="32"/>
          <w:szCs w:val="32"/>
          <w:lang w:eastAsia="zh-CN"/>
        </w:rPr>
        <w:tab/>
      </w:r>
    </w:p>
    <w:p>
      <w:pPr>
        <w:jc w:val="center"/>
        <w:rPr>
          <w:rFonts w:hint="eastAsia" w:ascii="方正小标宋_GBK" w:hAnsi="Times New Roman" w:eastAsia="方正小标宋_GBK"/>
          <w:sz w:val="44"/>
          <w:szCs w:val="44"/>
        </w:rPr>
      </w:pPr>
      <w:r>
        <w:rPr>
          <w:rFonts w:ascii="方正小标宋_GBK" w:hAnsi="Times New Roman" w:eastAsia="方正小标宋_GBK"/>
          <w:sz w:val="44"/>
          <w:szCs w:val="44"/>
        </w:rPr>
        <w:t>潼南区</w:t>
      </w:r>
      <w:r>
        <w:rPr>
          <w:rFonts w:hint="eastAsia" w:ascii="方正小标宋_GBK" w:hAnsi="Times New Roman" w:eastAsia="方正小标宋_GBK"/>
          <w:sz w:val="44"/>
          <w:szCs w:val="44"/>
        </w:rPr>
        <w:t>取消和调整部分区级行政审批事项目录</w:t>
      </w:r>
    </w:p>
    <w:p>
      <w:pPr>
        <w:jc w:val="center"/>
        <w:rPr>
          <w:rFonts w:hint="eastAsia" w:ascii="方正小标宋_GBK" w:hAnsi="Times New Roman" w:eastAsia="方正小标宋_GBK"/>
          <w:sz w:val="44"/>
          <w:szCs w:val="44"/>
        </w:rPr>
      </w:pPr>
    </w:p>
    <w:tbl>
      <w:tblPr>
        <w:tblStyle w:val="7"/>
        <w:tblW w:w="5074" w:type="pct"/>
        <w:jc w:val="center"/>
        <w:tblLayout w:type="autofit"/>
        <w:tblCellMar>
          <w:top w:w="0" w:type="dxa"/>
          <w:left w:w="108" w:type="dxa"/>
          <w:bottom w:w="0" w:type="dxa"/>
          <w:right w:w="108" w:type="dxa"/>
        </w:tblCellMar>
      </w:tblPr>
      <w:tblGrid>
        <w:gridCol w:w="531"/>
        <w:gridCol w:w="1295"/>
        <w:gridCol w:w="2417"/>
        <w:gridCol w:w="3939"/>
        <w:gridCol w:w="1184"/>
        <w:gridCol w:w="3817"/>
        <w:gridCol w:w="1017"/>
      </w:tblGrid>
      <w:tr>
        <w:tblPrEx>
          <w:tblCellMar>
            <w:top w:w="0" w:type="dxa"/>
            <w:left w:w="108" w:type="dxa"/>
            <w:bottom w:w="0" w:type="dxa"/>
            <w:right w:w="108" w:type="dxa"/>
          </w:tblCellMar>
        </w:tblPrEx>
        <w:trPr>
          <w:trHeight w:val="459" w:hRule="atLeast"/>
          <w:tblHeader/>
          <w:jc w:val="center"/>
        </w:trPr>
        <w:tc>
          <w:tcPr>
            <w:tcW w:w="217"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方正黑体_GBK" w:hAnsi="黑体" w:eastAsia="方正黑体_GBK" w:cs="宋体"/>
                <w:color w:val="000000"/>
                <w:kern w:val="0"/>
                <w:sz w:val="24"/>
                <w:szCs w:val="24"/>
              </w:rPr>
            </w:pPr>
            <w:r>
              <w:rPr>
                <w:rFonts w:hint="eastAsia" w:ascii="方正黑体_GBK" w:hAnsi="黑体" w:eastAsia="方正黑体_GBK" w:cs="宋体"/>
                <w:color w:val="000000"/>
                <w:kern w:val="0"/>
                <w:sz w:val="24"/>
                <w:szCs w:val="24"/>
              </w:rPr>
              <w:t>序号</w:t>
            </w:r>
          </w:p>
        </w:tc>
        <w:tc>
          <w:tcPr>
            <w:tcW w:w="486" w:type="pct"/>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方正黑体_GBK" w:hAnsi="黑体" w:eastAsia="方正黑体_GBK" w:cs="宋体"/>
                <w:color w:val="000000"/>
                <w:kern w:val="0"/>
                <w:sz w:val="24"/>
                <w:szCs w:val="24"/>
              </w:rPr>
            </w:pPr>
            <w:r>
              <w:rPr>
                <w:rFonts w:hint="eastAsia" w:ascii="方正黑体_GBK" w:hAnsi="黑体" w:eastAsia="方正黑体_GBK" w:cs="宋体"/>
                <w:color w:val="000000"/>
                <w:kern w:val="0"/>
                <w:sz w:val="24"/>
                <w:szCs w:val="24"/>
              </w:rPr>
              <w:t>审批部门</w:t>
            </w:r>
          </w:p>
        </w:tc>
        <w:tc>
          <w:tcPr>
            <w:tcW w:w="881" w:type="pct"/>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方正黑体_GBK" w:hAnsi="黑体" w:eastAsia="方正黑体_GBK" w:cs="宋体"/>
                <w:color w:val="000000"/>
                <w:kern w:val="0"/>
                <w:sz w:val="24"/>
                <w:szCs w:val="24"/>
              </w:rPr>
            </w:pPr>
            <w:r>
              <w:rPr>
                <w:rFonts w:hint="eastAsia" w:ascii="方正黑体_GBK" w:hAnsi="黑体" w:eastAsia="方正黑体_GBK" w:cs="宋体"/>
                <w:color w:val="000000"/>
                <w:kern w:val="0"/>
                <w:sz w:val="24"/>
                <w:szCs w:val="24"/>
              </w:rPr>
              <w:t>项</w:t>
            </w:r>
            <w:r>
              <w:rPr>
                <w:rFonts w:hint="eastAsia" w:ascii="方正黑体_GBK" w:hAnsi="宋体" w:eastAsia="方正黑体_GBK" w:cs="宋体"/>
                <w:color w:val="000000"/>
                <w:kern w:val="0"/>
                <w:sz w:val="24"/>
                <w:szCs w:val="24"/>
              </w:rPr>
              <w:t xml:space="preserve"> </w:t>
            </w:r>
            <w:r>
              <w:rPr>
                <w:rFonts w:hint="eastAsia" w:ascii="方正黑体_GBK" w:hAnsi="黑体" w:eastAsia="方正黑体_GBK" w:cs="宋体"/>
                <w:color w:val="000000"/>
                <w:kern w:val="0"/>
                <w:sz w:val="24"/>
                <w:szCs w:val="24"/>
              </w:rPr>
              <w:t>目</w:t>
            </w:r>
            <w:r>
              <w:rPr>
                <w:rFonts w:hint="eastAsia" w:ascii="方正黑体_GBK" w:hAnsi="宋体" w:eastAsia="方正黑体_GBK" w:cs="宋体"/>
                <w:color w:val="000000"/>
                <w:kern w:val="0"/>
                <w:sz w:val="24"/>
                <w:szCs w:val="24"/>
              </w:rPr>
              <w:t xml:space="preserve"> </w:t>
            </w:r>
            <w:r>
              <w:rPr>
                <w:rFonts w:hint="eastAsia" w:ascii="方正黑体_GBK" w:hAnsi="黑体" w:eastAsia="方正黑体_GBK" w:cs="宋体"/>
                <w:color w:val="000000"/>
                <w:kern w:val="0"/>
                <w:sz w:val="24"/>
                <w:szCs w:val="24"/>
              </w:rPr>
              <w:t>名</w:t>
            </w:r>
            <w:r>
              <w:rPr>
                <w:rFonts w:hint="eastAsia" w:ascii="方正黑体_GBK" w:hAnsi="宋体" w:eastAsia="方正黑体_GBK" w:cs="宋体"/>
                <w:color w:val="000000"/>
                <w:kern w:val="0"/>
                <w:sz w:val="24"/>
                <w:szCs w:val="24"/>
              </w:rPr>
              <w:t xml:space="preserve"> </w:t>
            </w:r>
            <w:r>
              <w:rPr>
                <w:rFonts w:hint="eastAsia" w:ascii="方正黑体_GBK" w:hAnsi="黑体" w:eastAsia="方正黑体_GBK" w:cs="宋体"/>
                <w:color w:val="000000"/>
                <w:kern w:val="0"/>
                <w:sz w:val="24"/>
                <w:szCs w:val="24"/>
              </w:rPr>
              <w:t>称</w:t>
            </w:r>
          </w:p>
        </w:tc>
        <w:tc>
          <w:tcPr>
            <w:tcW w:w="1417" w:type="pct"/>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方正黑体_GBK" w:hAnsi="黑体" w:eastAsia="方正黑体_GBK" w:cs="宋体"/>
                <w:color w:val="000000"/>
                <w:kern w:val="0"/>
                <w:sz w:val="24"/>
                <w:szCs w:val="24"/>
              </w:rPr>
            </w:pPr>
            <w:r>
              <w:rPr>
                <w:rFonts w:hint="eastAsia" w:ascii="方正黑体_GBK" w:hAnsi="黑体" w:eastAsia="方正黑体_GBK" w:cs="宋体"/>
                <w:color w:val="000000"/>
                <w:kern w:val="0"/>
                <w:sz w:val="24"/>
                <w:szCs w:val="24"/>
              </w:rPr>
              <w:t>设</w:t>
            </w:r>
            <w:r>
              <w:rPr>
                <w:rFonts w:hint="eastAsia" w:ascii="方正黑体_GBK" w:hAnsi="宋体" w:eastAsia="方正黑体_GBK" w:cs="宋体"/>
                <w:color w:val="000000"/>
                <w:kern w:val="0"/>
                <w:sz w:val="24"/>
                <w:szCs w:val="24"/>
              </w:rPr>
              <w:t xml:space="preserve">  </w:t>
            </w:r>
            <w:r>
              <w:rPr>
                <w:rFonts w:hint="eastAsia" w:ascii="方正黑体_GBK" w:hAnsi="黑体" w:eastAsia="方正黑体_GBK" w:cs="宋体"/>
                <w:color w:val="000000"/>
                <w:kern w:val="0"/>
                <w:sz w:val="24"/>
                <w:szCs w:val="24"/>
              </w:rPr>
              <w:t>定</w:t>
            </w:r>
            <w:r>
              <w:rPr>
                <w:rFonts w:hint="eastAsia" w:ascii="方正黑体_GBK" w:hAnsi="宋体" w:eastAsia="方正黑体_GBK" w:cs="宋体"/>
                <w:color w:val="000000"/>
                <w:kern w:val="0"/>
                <w:sz w:val="24"/>
                <w:szCs w:val="24"/>
              </w:rPr>
              <w:t xml:space="preserve">  </w:t>
            </w:r>
            <w:r>
              <w:rPr>
                <w:rFonts w:hint="eastAsia" w:ascii="方正黑体_GBK" w:hAnsi="黑体" w:eastAsia="方正黑体_GBK" w:cs="宋体"/>
                <w:color w:val="000000"/>
                <w:kern w:val="0"/>
                <w:sz w:val="24"/>
                <w:szCs w:val="24"/>
              </w:rPr>
              <w:t>依</w:t>
            </w:r>
            <w:r>
              <w:rPr>
                <w:rFonts w:hint="eastAsia" w:ascii="方正黑体_GBK" w:hAnsi="宋体" w:eastAsia="方正黑体_GBK" w:cs="宋体"/>
                <w:color w:val="000000"/>
                <w:kern w:val="0"/>
                <w:sz w:val="24"/>
                <w:szCs w:val="24"/>
              </w:rPr>
              <w:t xml:space="preserve">  </w:t>
            </w:r>
            <w:r>
              <w:rPr>
                <w:rFonts w:hint="eastAsia" w:ascii="方正黑体_GBK" w:hAnsi="黑体" w:eastAsia="方正黑体_GBK" w:cs="宋体"/>
                <w:color w:val="000000"/>
                <w:kern w:val="0"/>
                <w:sz w:val="24"/>
                <w:szCs w:val="24"/>
              </w:rPr>
              <w:t>据</w:t>
            </w:r>
          </w:p>
        </w:tc>
        <w:tc>
          <w:tcPr>
            <w:tcW w:w="447" w:type="pct"/>
            <w:tcBorders>
              <w:top w:val="single" w:color="auto" w:sz="4" w:space="0"/>
              <w:left w:val="nil"/>
              <w:bottom w:val="single" w:color="auto" w:sz="4" w:space="0"/>
              <w:right w:val="single" w:color="auto" w:sz="4" w:space="0"/>
            </w:tcBorders>
            <w:noWrap/>
            <w:vAlign w:val="center"/>
          </w:tcPr>
          <w:p>
            <w:pPr>
              <w:spacing w:line="260" w:lineRule="exact"/>
              <w:jc w:val="center"/>
              <w:rPr>
                <w:rFonts w:hint="eastAsia" w:ascii="方正黑体_GBK" w:hAnsi="黑体" w:eastAsia="方正黑体_GBK" w:cs="宋体"/>
                <w:color w:val="000000"/>
                <w:kern w:val="0"/>
                <w:sz w:val="24"/>
                <w:szCs w:val="24"/>
              </w:rPr>
            </w:pPr>
            <w:r>
              <w:rPr>
                <w:rFonts w:hint="eastAsia" w:ascii="方正黑体_GBK" w:hAnsi="黑体" w:eastAsia="方正黑体_GBK" w:cs="宋体"/>
                <w:color w:val="000000"/>
                <w:kern w:val="0"/>
                <w:sz w:val="24"/>
                <w:szCs w:val="24"/>
              </w:rPr>
              <w:t>实施方式</w:t>
            </w:r>
          </w:p>
        </w:tc>
        <w:tc>
          <w:tcPr>
            <w:tcW w:w="1205" w:type="pct"/>
            <w:tcBorders>
              <w:top w:val="single" w:color="auto" w:sz="4" w:space="0"/>
              <w:left w:val="nil"/>
              <w:bottom w:val="single" w:color="auto" w:sz="4" w:space="0"/>
              <w:right w:val="single" w:color="auto" w:sz="4" w:space="0"/>
            </w:tcBorders>
            <w:noWrap/>
            <w:vAlign w:val="center"/>
          </w:tcPr>
          <w:p>
            <w:pPr>
              <w:spacing w:line="260" w:lineRule="exact"/>
              <w:jc w:val="center"/>
              <w:rPr>
                <w:rFonts w:hint="eastAsia" w:ascii="方正黑体_GBK" w:hAnsi="黑体" w:eastAsia="方正黑体_GBK" w:cs="宋体"/>
                <w:color w:val="000000"/>
                <w:kern w:val="0"/>
                <w:sz w:val="24"/>
                <w:szCs w:val="24"/>
              </w:rPr>
            </w:pPr>
            <w:r>
              <w:rPr>
                <w:rFonts w:hint="eastAsia" w:ascii="方正黑体_GBK" w:hAnsi="黑体" w:eastAsia="方正黑体_GBK" w:cs="宋体"/>
                <w:color w:val="000000"/>
                <w:kern w:val="0"/>
                <w:sz w:val="24"/>
                <w:szCs w:val="24"/>
              </w:rPr>
              <w:t>处理决定</w:t>
            </w:r>
          </w:p>
        </w:tc>
        <w:tc>
          <w:tcPr>
            <w:tcW w:w="347" w:type="pct"/>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方正黑体_GBK" w:hAnsi="黑体" w:eastAsia="方正黑体_GBK" w:cs="宋体"/>
                <w:color w:val="000000"/>
                <w:kern w:val="0"/>
                <w:sz w:val="24"/>
                <w:szCs w:val="24"/>
              </w:rPr>
            </w:pPr>
            <w:r>
              <w:rPr>
                <w:rFonts w:hint="eastAsia" w:ascii="方正黑体_GBK" w:hAnsi="黑体" w:eastAsia="方正黑体_GBK" w:cs="宋体"/>
                <w:color w:val="000000"/>
                <w:kern w:val="0"/>
                <w:sz w:val="24"/>
                <w:szCs w:val="24"/>
              </w:rPr>
              <w:t>备</w:t>
            </w:r>
            <w:r>
              <w:rPr>
                <w:rFonts w:hint="eastAsia" w:ascii="方正黑体_GBK" w:hAnsi="宋体" w:eastAsia="方正黑体_GBK" w:cs="宋体"/>
                <w:color w:val="000000"/>
                <w:kern w:val="0"/>
                <w:sz w:val="24"/>
                <w:szCs w:val="24"/>
              </w:rPr>
              <w:t xml:space="preserve">  </w:t>
            </w:r>
            <w:r>
              <w:rPr>
                <w:rFonts w:hint="eastAsia" w:ascii="方正黑体_GBK" w:hAnsi="黑体" w:eastAsia="方正黑体_GBK" w:cs="宋体"/>
                <w:color w:val="000000"/>
                <w:kern w:val="0"/>
                <w:sz w:val="24"/>
                <w:szCs w:val="24"/>
              </w:rPr>
              <w:t>注</w:t>
            </w:r>
          </w:p>
        </w:tc>
      </w:tr>
      <w:tr>
        <w:tblPrEx>
          <w:tblCellMar>
            <w:top w:w="0" w:type="dxa"/>
            <w:left w:w="108" w:type="dxa"/>
            <w:bottom w:w="0" w:type="dxa"/>
            <w:right w:w="108" w:type="dxa"/>
          </w:tblCellMar>
        </w:tblPrEx>
        <w:trPr>
          <w:trHeight w:val="631" w:hRule="atLeast"/>
          <w:jc w:val="center"/>
        </w:trPr>
        <w:tc>
          <w:tcPr>
            <w:tcW w:w="217" w:type="pct"/>
            <w:vMerge w:val="restart"/>
            <w:tcBorders>
              <w:top w:val="nil"/>
              <w:left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w:t>
            </w:r>
          </w:p>
        </w:tc>
        <w:tc>
          <w:tcPr>
            <w:tcW w:w="486" w:type="pct"/>
            <w:vMerge w:val="restart"/>
            <w:tcBorders>
              <w:top w:val="nil"/>
              <w:left w:val="nil"/>
              <w:right w:val="single" w:color="auto" w:sz="4" w:space="0"/>
            </w:tcBorders>
            <w:noWrap w:val="0"/>
            <w:vAlign w:val="center"/>
          </w:tcPr>
          <w:p>
            <w:pPr>
              <w:snapToGrid w:val="0"/>
              <w:spacing w:line="260" w:lineRule="exact"/>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区发展改革委</w:t>
            </w:r>
          </w:p>
        </w:tc>
        <w:tc>
          <w:tcPr>
            <w:tcW w:w="881" w:type="pct"/>
            <w:tcBorders>
              <w:top w:val="single" w:color="auto" w:sz="4" w:space="0"/>
              <w:left w:val="nil"/>
              <w:bottom w:val="single" w:color="auto" w:sz="4" w:space="0"/>
              <w:right w:val="single" w:color="auto" w:sz="4" w:space="0"/>
            </w:tcBorders>
            <w:noWrap w:val="0"/>
            <w:vAlign w:val="center"/>
          </w:tcPr>
          <w:p>
            <w:pPr>
              <w:snapToGrid w:val="0"/>
              <w:spacing w:line="260" w:lineRule="exact"/>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企业投资项目核准</w:t>
            </w:r>
          </w:p>
        </w:tc>
        <w:tc>
          <w:tcPr>
            <w:tcW w:w="1417" w:type="pct"/>
            <w:tcBorders>
              <w:top w:val="nil"/>
              <w:left w:val="nil"/>
              <w:bottom w:val="single" w:color="auto" w:sz="4" w:space="0"/>
              <w:right w:val="single" w:color="auto" w:sz="4" w:space="0"/>
            </w:tcBorders>
            <w:noWrap w:val="0"/>
            <w:vAlign w:val="center"/>
          </w:tcPr>
          <w:p>
            <w:pPr>
              <w:snapToGrid w:val="0"/>
              <w:spacing w:line="260" w:lineRule="exact"/>
              <w:ind w:left="21" w:leftChars="10" w:right="21" w:rightChars="10"/>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国务院关于投资体制改革的决定》（国发〔2004〕20号）第二条第二款；《重庆市人民政府关于印发重庆市企业投资项目核准和备案暂行办法的通知》（渝府发[2004]109号）第六、七、八、九条；《关于发布重庆市企业投资项目核准目录（2015年版）的通知》（渝府发〔2015〕12号）</w:t>
            </w:r>
          </w:p>
        </w:tc>
        <w:tc>
          <w:tcPr>
            <w:tcW w:w="447" w:type="pct"/>
            <w:tcBorders>
              <w:top w:val="nil"/>
              <w:left w:val="nil"/>
              <w:bottom w:val="single" w:color="auto" w:sz="4" w:space="0"/>
              <w:right w:val="single" w:color="auto" w:sz="4" w:space="0"/>
            </w:tcBorders>
            <w:noWrap/>
            <w:vAlign w:val="center"/>
          </w:tcPr>
          <w:p>
            <w:pPr>
              <w:snapToGrid w:val="0"/>
              <w:spacing w:line="260" w:lineRule="exact"/>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审批</w:t>
            </w:r>
          </w:p>
        </w:tc>
        <w:tc>
          <w:tcPr>
            <w:tcW w:w="1205" w:type="pct"/>
            <w:vMerge w:val="restart"/>
            <w:tcBorders>
              <w:top w:val="nil"/>
              <w:left w:val="nil"/>
              <w:right w:val="single" w:color="auto" w:sz="4" w:space="0"/>
            </w:tcBorders>
            <w:noWrap/>
            <w:vAlign w:val="center"/>
          </w:tcPr>
          <w:p>
            <w:pPr>
              <w:snapToGrid w:val="0"/>
              <w:spacing w:line="240" w:lineRule="exact"/>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备注栏增加</w:t>
            </w:r>
            <w:r>
              <w:rPr>
                <w:rFonts w:hint="eastAsia" w:ascii="方正仿宋_GBK" w:hAnsi="宋体" w:eastAsia="方正仿宋_GBK" w:cs="宋体"/>
                <w:color w:val="000000"/>
                <w:kern w:val="0"/>
                <w:sz w:val="20"/>
                <w:szCs w:val="20"/>
                <w:lang w:eastAsia="zh-CN"/>
              </w:rPr>
              <w:t>：</w:t>
            </w:r>
            <w:r>
              <w:rPr>
                <w:rFonts w:hint="eastAsia" w:ascii="方正仿宋_GBK" w:hAnsi="宋体" w:eastAsia="方正仿宋_GBK" w:cs="宋体"/>
                <w:color w:val="000000"/>
                <w:kern w:val="0"/>
                <w:sz w:val="20"/>
                <w:szCs w:val="20"/>
              </w:rPr>
              <w:t>“核准项目时按规定一并</w:t>
            </w:r>
          </w:p>
          <w:p>
            <w:pPr>
              <w:snapToGrid w:val="0"/>
              <w:spacing w:line="240" w:lineRule="exact"/>
              <w:rPr>
                <w:rFonts w:hint="eastAsia" w:ascii="方正仿宋_GBK" w:hAnsi="宋体" w:eastAsia="方正仿宋_GBK" w:cs="宋体"/>
                <w:color w:val="000000"/>
                <w:kern w:val="0"/>
                <w:sz w:val="20"/>
                <w:szCs w:val="20"/>
              </w:rPr>
            </w:pPr>
            <w:r>
              <w:rPr>
                <w:rFonts w:ascii="方正仿宋_GBK" w:hAnsi="宋体" w:eastAsia="方正仿宋_GBK" w:cs="宋体"/>
                <w:color w:val="000000"/>
                <w:kern w:val="0"/>
                <w:sz w:val="20"/>
                <w:szCs w:val="20"/>
              </w:rPr>
              <w:t>核准项目招标方案和社会稳定风险评估</w:t>
            </w:r>
          </w:p>
          <w:p>
            <w:pPr>
              <w:snapToGrid w:val="0"/>
              <w:spacing w:line="240" w:lineRule="exact"/>
              <w:rPr>
                <w:rFonts w:hint="eastAsia" w:ascii="方正仿宋_GBK" w:hAnsi="宋体" w:eastAsia="方正仿宋_GBK" w:cs="宋体"/>
                <w:color w:val="000000"/>
                <w:kern w:val="0"/>
                <w:sz w:val="20"/>
                <w:szCs w:val="20"/>
              </w:rPr>
            </w:pPr>
            <w:r>
              <w:rPr>
                <w:rFonts w:ascii="方正仿宋_GBK" w:hAnsi="宋体" w:eastAsia="方正仿宋_GBK" w:cs="宋体"/>
                <w:color w:val="000000"/>
                <w:kern w:val="0"/>
                <w:sz w:val="20"/>
                <w:szCs w:val="20"/>
              </w:rPr>
              <w:t>报告</w:t>
            </w:r>
            <w:r>
              <w:rPr>
                <w:rFonts w:hint="eastAsia" w:ascii="方正仿宋_GBK" w:hAnsi="宋体" w:eastAsia="方正仿宋_GBK" w:cs="宋体"/>
                <w:color w:val="000000"/>
                <w:kern w:val="0"/>
                <w:sz w:val="20"/>
                <w:szCs w:val="20"/>
              </w:rPr>
              <w:t>。</w:t>
            </w:r>
            <w:r>
              <w:rPr>
                <w:rFonts w:ascii="方正仿宋_GBK" w:hAnsi="宋体" w:eastAsia="方正仿宋_GBK" w:cs="宋体"/>
                <w:color w:val="000000"/>
                <w:kern w:val="0"/>
                <w:sz w:val="20"/>
                <w:szCs w:val="20"/>
              </w:rPr>
              <w:t>节能评估审查由项目法人自行决</w:t>
            </w:r>
          </w:p>
          <w:p>
            <w:pPr>
              <w:snapToGrid w:val="0"/>
              <w:spacing w:line="240" w:lineRule="exact"/>
              <w:rPr>
                <w:rFonts w:hint="eastAsia" w:ascii="方正仿宋_GBK" w:hAnsi="宋体" w:eastAsia="方正仿宋_GBK" w:cs="宋体"/>
                <w:color w:val="000000"/>
                <w:kern w:val="0"/>
                <w:sz w:val="20"/>
                <w:szCs w:val="20"/>
              </w:rPr>
            </w:pPr>
            <w:r>
              <w:rPr>
                <w:rFonts w:ascii="方正仿宋_GBK" w:hAnsi="宋体" w:eastAsia="方正仿宋_GBK" w:cs="宋体"/>
                <w:color w:val="000000"/>
                <w:kern w:val="0"/>
                <w:sz w:val="20"/>
                <w:szCs w:val="20"/>
              </w:rPr>
              <w:t>定在项目核准时一并办理，或者在项目开</w:t>
            </w:r>
          </w:p>
          <w:p>
            <w:pPr>
              <w:snapToGrid w:val="0"/>
              <w:spacing w:line="240" w:lineRule="exact"/>
              <w:rPr>
                <w:rFonts w:hint="eastAsia" w:ascii="方正仿宋_GBK" w:hAnsi="宋体" w:eastAsia="方正仿宋_GBK" w:cs="宋体"/>
                <w:color w:val="000000"/>
                <w:kern w:val="0"/>
                <w:sz w:val="20"/>
                <w:szCs w:val="20"/>
              </w:rPr>
            </w:pPr>
            <w:r>
              <w:rPr>
                <w:rFonts w:ascii="方正仿宋_GBK" w:hAnsi="宋体" w:eastAsia="方正仿宋_GBK" w:cs="宋体"/>
                <w:color w:val="000000"/>
                <w:kern w:val="0"/>
                <w:sz w:val="20"/>
                <w:szCs w:val="20"/>
              </w:rPr>
              <w:t>工建设前单独办理</w:t>
            </w:r>
            <w:r>
              <w:rPr>
                <w:rFonts w:hint="eastAsia" w:ascii="方正仿宋_GBK" w:hAnsi="宋体" w:eastAsia="方正仿宋_GBK" w:cs="宋体"/>
                <w:color w:val="000000"/>
                <w:kern w:val="0"/>
                <w:sz w:val="20"/>
                <w:szCs w:val="20"/>
              </w:rPr>
              <w:t>”</w:t>
            </w:r>
          </w:p>
        </w:tc>
        <w:tc>
          <w:tcPr>
            <w:tcW w:w="347" w:type="pct"/>
            <w:vMerge w:val="restart"/>
            <w:tcBorders>
              <w:top w:val="nil"/>
              <w:left w:val="nil"/>
              <w:right w:val="single" w:color="auto" w:sz="4" w:space="0"/>
            </w:tcBorders>
            <w:noWrap w:val="0"/>
            <w:vAlign w:val="center"/>
          </w:tcPr>
          <w:p>
            <w:pPr>
              <w:snapToGrid w:val="0"/>
              <w:spacing w:line="260" w:lineRule="exact"/>
              <w:jc w:val="center"/>
              <w:rPr>
                <w:rFonts w:hint="eastAsia" w:ascii="方正仿宋_GBK" w:hAnsi="宋体" w:eastAsia="方正仿宋_GBK" w:cs="宋体"/>
                <w:color w:val="000000"/>
                <w:kern w:val="0"/>
                <w:sz w:val="20"/>
                <w:szCs w:val="20"/>
              </w:rPr>
            </w:pPr>
          </w:p>
        </w:tc>
      </w:tr>
      <w:tr>
        <w:tblPrEx>
          <w:tblCellMar>
            <w:top w:w="0" w:type="dxa"/>
            <w:left w:w="108" w:type="dxa"/>
            <w:bottom w:w="0" w:type="dxa"/>
            <w:right w:w="108" w:type="dxa"/>
          </w:tblCellMar>
        </w:tblPrEx>
        <w:trPr>
          <w:trHeight w:val="450" w:hRule="atLeast"/>
          <w:jc w:val="center"/>
        </w:trPr>
        <w:tc>
          <w:tcPr>
            <w:tcW w:w="217" w:type="pct"/>
            <w:vMerge w:val="continue"/>
            <w:tcBorders>
              <w:left w:val="single" w:color="auto" w:sz="4" w:space="0"/>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000000"/>
                <w:kern w:val="0"/>
                <w:sz w:val="20"/>
                <w:szCs w:val="20"/>
              </w:rPr>
            </w:pPr>
          </w:p>
        </w:tc>
        <w:tc>
          <w:tcPr>
            <w:tcW w:w="486" w:type="pct"/>
            <w:vMerge w:val="continue"/>
            <w:tcBorders>
              <w:left w:val="nil"/>
              <w:bottom w:val="single" w:color="auto" w:sz="4" w:space="0"/>
              <w:right w:val="single" w:color="auto" w:sz="4" w:space="0"/>
            </w:tcBorders>
            <w:noWrap w:val="0"/>
            <w:vAlign w:val="center"/>
          </w:tcPr>
          <w:p>
            <w:pPr>
              <w:snapToGrid w:val="0"/>
              <w:spacing w:line="260" w:lineRule="exact"/>
              <w:jc w:val="center"/>
              <w:rPr>
                <w:rFonts w:hint="eastAsia" w:ascii="方正仿宋_GBK" w:hAnsi="宋体" w:eastAsia="方正仿宋_GBK" w:cs="宋体"/>
                <w:color w:val="000000"/>
                <w:kern w:val="0"/>
                <w:sz w:val="20"/>
                <w:szCs w:val="20"/>
              </w:rPr>
            </w:pPr>
          </w:p>
        </w:tc>
        <w:tc>
          <w:tcPr>
            <w:tcW w:w="881" w:type="pct"/>
            <w:tcBorders>
              <w:top w:val="single" w:color="auto" w:sz="4" w:space="0"/>
              <w:left w:val="nil"/>
              <w:bottom w:val="single" w:color="auto" w:sz="4" w:space="0"/>
              <w:right w:val="single" w:color="auto" w:sz="4" w:space="0"/>
            </w:tcBorders>
            <w:noWrap w:val="0"/>
            <w:vAlign w:val="center"/>
          </w:tcPr>
          <w:p>
            <w:pPr>
              <w:snapToGrid w:val="0"/>
              <w:spacing w:line="260" w:lineRule="exact"/>
              <w:jc w:val="center"/>
              <w:rPr>
                <w:rFonts w:hint="eastAsia" w:ascii="方正仿宋_GBK" w:hAnsi="宋体" w:eastAsia="方正仿宋_GBK" w:cs="宋体"/>
                <w:color w:val="000000"/>
                <w:spacing w:val="-6"/>
                <w:kern w:val="0"/>
                <w:sz w:val="20"/>
                <w:szCs w:val="20"/>
              </w:rPr>
            </w:pPr>
            <w:r>
              <w:rPr>
                <w:rFonts w:hint="eastAsia" w:ascii="方正仿宋_GBK" w:hAnsi="宋体" w:eastAsia="方正仿宋_GBK" w:cs="宋体"/>
                <w:color w:val="000000"/>
                <w:spacing w:val="-6"/>
                <w:kern w:val="0"/>
                <w:sz w:val="20"/>
                <w:szCs w:val="20"/>
              </w:rPr>
              <w:t>固定资产投资节能评估审查</w:t>
            </w:r>
          </w:p>
        </w:tc>
        <w:tc>
          <w:tcPr>
            <w:tcW w:w="1417" w:type="pct"/>
            <w:tcBorders>
              <w:top w:val="nil"/>
              <w:left w:val="nil"/>
              <w:bottom w:val="single" w:color="auto" w:sz="4" w:space="0"/>
              <w:right w:val="single" w:color="auto" w:sz="4" w:space="0"/>
            </w:tcBorders>
            <w:noWrap w:val="0"/>
            <w:vAlign w:val="center"/>
          </w:tcPr>
          <w:p>
            <w:pPr>
              <w:snapToGrid w:val="0"/>
              <w:spacing w:line="260" w:lineRule="exact"/>
              <w:ind w:left="21" w:leftChars="10" w:right="21" w:rightChars="10"/>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《中华人民共和国节约能源法》第十五条；《国务院关于加强节能工作的决定》第二十三条；《国家发改委固定资产投资项目节能评估和审查暂行办法》第九条</w:t>
            </w:r>
          </w:p>
        </w:tc>
        <w:tc>
          <w:tcPr>
            <w:tcW w:w="447" w:type="pct"/>
            <w:tcBorders>
              <w:top w:val="nil"/>
              <w:left w:val="nil"/>
              <w:bottom w:val="single" w:color="auto" w:sz="4" w:space="0"/>
              <w:right w:val="single" w:color="auto" w:sz="4" w:space="0"/>
            </w:tcBorders>
            <w:noWrap/>
            <w:vAlign w:val="center"/>
          </w:tcPr>
          <w:p>
            <w:pPr>
              <w:snapToGrid w:val="0"/>
              <w:spacing w:line="260" w:lineRule="exact"/>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审批</w:t>
            </w:r>
          </w:p>
        </w:tc>
        <w:tc>
          <w:tcPr>
            <w:tcW w:w="1205" w:type="pct"/>
            <w:vMerge w:val="continue"/>
            <w:tcBorders>
              <w:left w:val="nil"/>
              <w:bottom w:val="single" w:color="auto" w:sz="4" w:space="0"/>
              <w:right w:val="single" w:color="auto" w:sz="4" w:space="0"/>
            </w:tcBorders>
            <w:noWrap/>
            <w:vAlign w:val="center"/>
          </w:tcPr>
          <w:p>
            <w:pPr>
              <w:snapToGrid w:val="0"/>
              <w:spacing w:line="260" w:lineRule="exact"/>
              <w:jc w:val="center"/>
              <w:rPr>
                <w:rFonts w:hint="eastAsia" w:ascii="方正仿宋_GBK" w:hAnsi="宋体" w:eastAsia="方正仿宋_GBK" w:cs="宋体"/>
                <w:color w:val="000000"/>
                <w:kern w:val="0"/>
                <w:sz w:val="20"/>
                <w:szCs w:val="20"/>
              </w:rPr>
            </w:pPr>
          </w:p>
        </w:tc>
        <w:tc>
          <w:tcPr>
            <w:tcW w:w="347" w:type="pct"/>
            <w:vMerge w:val="continue"/>
            <w:tcBorders>
              <w:left w:val="nil"/>
              <w:bottom w:val="single" w:color="auto" w:sz="4" w:space="0"/>
              <w:right w:val="single" w:color="auto" w:sz="4" w:space="0"/>
            </w:tcBorders>
            <w:noWrap w:val="0"/>
            <w:vAlign w:val="center"/>
          </w:tcPr>
          <w:p>
            <w:pPr>
              <w:snapToGrid w:val="0"/>
              <w:spacing w:line="260" w:lineRule="exact"/>
              <w:jc w:val="center"/>
              <w:rPr>
                <w:rFonts w:hint="eastAsia" w:ascii="方正仿宋_GBK" w:hAnsi="宋体" w:eastAsia="方正仿宋_GBK" w:cs="宋体"/>
                <w:color w:val="000000"/>
                <w:kern w:val="0"/>
                <w:sz w:val="20"/>
                <w:szCs w:val="20"/>
              </w:rPr>
            </w:pPr>
          </w:p>
        </w:tc>
      </w:tr>
      <w:tr>
        <w:tblPrEx>
          <w:tblCellMar>
            <w:top w:w="0" w:type="dxa"/>
            <w:left w:w="108" w:type="dxa"/>
            <w:bottom w:w="0" w:type="dxa"/>
            <w:right w:w="108" w:type="dxa"/>
          </w:tblCellMar>
        </w:tblPrEx>
        <w:trPr>
          <w:trHeight w:val="449" w:hRule="atLeast"/>
          <w:jc w:val="center"/>
        </w:trPr>
        <w:tc>
          <w:tcPr>
            <w:tcW w:w="217" w:type="pct"/>
            <w:tcBorders>
              <w:top w:val="nil"/>
              <w:left w:val="single" w:color="auto" w:sz="4" w:space="0"/>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2</w:t>
            </w:r>
          </w:p>
        </w:tc>
        <w:tc>
          <w:tcPr>
            <w:tcW w:w="486" w:type="pct"/>
            <w:tcBorders>
              <w:top w:val="nil"/>
              <w:left w:val="nil"/>
              <w:bottom w:val="single" w:color="auto" w:sz="4" w:space="0"/>
              <w:right w:val="single" w:color="auto" w:sz="4" w:space="0"/>
            </w:tcBorders>
            <w:noWrap w:val="0"/>
            <w:vAlign w:val="center"/>
          </w:tcPr>
          <w:p>
            <w:pPr>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区市政园林局</w:t>
            </w:r>
          </w:p>
        </w:tc>
        <w:tc>
          <w:tcPr>
            <w:tcW w:w="881" w:type="pct"/>
            <w:tcBorders>
              <w:top w:val="nil"/>
              <w:left w:val="nil"/>
              <w:bottom w:val="single" w:color="auto" w:sz="4" w:space="0"/>
              <w:right w:val="single" w:color="auto" w:sz="4" w:space="0"/>
            </w:tcBorders>
            <w:noWrap w:val="0"/>
            <w:vAlign w:val="center"/>
          </w:tcPr>
          <w:p>
            <w:pPr>
              <w:widowControl/>
              <w:snapToGrid w:val="0"/>
              <w:spacing w:before="100" w:beforeAutospacing="1" w:after="100" w:afterAutospacing="1" w:line="328" w:lineRule="atLeast"/>
              <w:jc w:val="center"/>
              <w:rPr>
                <w:rFonts w:ascii="方正仿宋_GBK" w:hAnsi="宋体" w:eastAsia="方正仿宋_GBK" w:cs="宋体"/>
                <w:color w:val="000000"/>
                <w:kern w:val="0"/>
                <w:sz w:val="20"/>
                <w:szCs w:val="20"/>
              </w:rPr>
            </w:pPr>
            <w:r>
              <w:rPr>
                <w:rFonts w:ascii="方正仿宋_GBK" w:hAnsi="宋体" w:eastAsia="方正仿宋_GBK" w:cs="宋体"/>
                <w:color w:val="000000"/>
                <w:kern w:val="0"/>
                <w:sz w:val="20"/>
                <w:szCs w:val="20"/>
              </w:rPr>
              <w:t>城市绿化工程竣工验收</w:t>
            </w:r>
          </w:p>
        </w:tc>
        <w:tc>
          <w:tcPr>
            <w:tcW w:w="1417" w:type="pct"/>
            <w:tcBorders>
              <w:top w:val="nil"/>
              <w:left w:val="nil"/>
              <w:bottom w:val="single" w:color="auto" w:sz="4" w:space="0"/>
              <w:right w:val="single" w:color="auto" w:sz="4" w:space="0"/>
            </w:tcBorders>
            <w:noWrap w:val="0"/>
            <w:vAlign w:val="center"/>
          </w:tcPr>
          <w:p>
            <w:pPr>
              <w:snapToGrid w:val="0"/>
              <w:spacing w:line="26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《城市绿化条例》（国务院令第100号）</w:t>
            </w:r>
          </w:p>
        </w:tc>
        <w:tc>
          <w:tcPr>
            <w:tcW w:w="447" w:type="pct"/>
            <w:tcBorders>
              <w:top w:val="nil"/>
              <w:left w:val="nil"/>
              <w:bottom w:val="single" w:color="auto" w:sz="4" w:space="0"/>
              <w:right w:val="single" w:color="auto" w:sz="4" w:space="0"/>
            </w:tcBorders>
            <w:noWrap/>
            <w:vAlign w:val="center"/>
          </w:tcPr>
          <w:p>
            <w:pPr>
              <w:snapToGrid w:val="0"/>
              <w:spacing w:line="260" w:lineRule="exact"/>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审批</w:t>
            </w:r>
          </w:p>
        </w:tc>
        <w:tc>
          <w:tcPr>
            <w:tcW w:w="1205" w:type="pct"/>
            <w:tcBorders>
              <w:top w:val="nil"/>
              <w:left w:val="nil"/>
              <w:bottom w:val="single" w:color="auto" w:sz="4" w:space="0"/>
              <w:right w:val="single" w:color="auto" w:sz="4" w:space="0"/>
            </w:tcBorders>
            <w:noWrap/>
            <w:vAlign w:val="center"/>
          </w:tcPr>
          <w:p>
            <w:pPr>
              <w:snapToGrid w:val="0"/>
              <w:spacing w:line="260" w:lineRule="exact"/>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取消</w:t>
            </w:r>
          </w:p>
        </w:tc>
        <w:tc>
          <w:tcPr>
            <w:tcW w:w="347" w:type="pct"/>
            <w:tcBorders>
              <w:top w:val="nil"/>
              <w:left w:val="nil"/>
              <w:bottom w:val="single" w:color="auto" w:sz="4" w:space="0"/>
              <w:right w:val="single" w:color="auto" w:sz="4" w:space="0"/>
            </w:tcBorders>
            <w:noWrap w:val="0"/>
            <w:vAlign w:val="center"/>
          </w:tcPr>
          <w:p>
            <w:pPr>
              <w:widowControl/>
              <w:jc w:val="center"/>
              <w:rPr>
                <w:rFonts w:hint="eastAsia" w:ascii="方正仿宋_GBK" w:hAnsi="宋体" w:eastAsia="方正仿宋_GBK" w:cs="宋体"/>
                <w:color w:val="000000"/>
                <w:kern w:val="0"/>
                <w:sz w:val="20"/>
                <w:szCs w:val="20"/>
              </w:rPr>
            </w:pPr>
            <w:r>
              <w:rPr>
                <w:rFonts w:hint="default" w:ascii="Times New Roman" w:hAnsi="Times New Roman" w:eastAsia="方正仿宋_GBK" w:cs="Times New Roman"/>
                <w:color w:val="000000"/>
                <w:kern w:val="0"/>
                <w:sz w:val="20"/>
                <w:szCs w:val="20"/>
              </w:rPr>
              <w:t>原项目库187项</w:t>
            </w:r>
          </w:p>
        </w:tc>
      </w:tr>
      <w:tr>
        <w:tblPrEx>
          <w:tblCellMar>
            <w:top w:w="0" w:type="dxa"/>
            <w:left w:w="108" w:type="dxa"/>
            <w:bottom w:w="0" w:type="dxa"/>
            <w:right w:w="108" w:type="dxa"/>
          </w:tblCellMar>
        </w:tblPrEx>
        <w:trPr>
          <w:trHeight w:val="784" w:hRule="atLeast"/>
          <w:jc w:val="center"/>
        </w:trPr>
        <w:tc>
          <w:tcPr>
            <w:tcW w:w="217" w:type="pct"/>
            <w:tcBorders>
              <w:top w:val="nil"/>
              <w:left w:val="single" w:color="auto" w:sz="4" w:space="0"/>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3</w:t>
            </w:r>
          </w:p>
        </w:tc>
        <w:tc>
          <w:tcPr>
            <w:tcW w:w="486" w:type="pct"/>
            <w:tcBorders>
              <w:top w:val="nil"/>
              <w:left w:val="nil"/>
              <w:bottom w:val="single" w:color="auto" w:sz="4" w:space="0"/>
              <w:right w:val="single" w:color="auto" w:sz="4" w:space="0"/>
            </w:tcBorders>
            <w:noWrap w:val="0"/>
            <w:vAlign w:val="center"/>
          </w:tcPr>
          <w:p>
            <w:pPr>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区市政园林局</w:t>
            </w:r>
          </w:p>
        </w:tc>
        <w:tc>
          <w:tcPr>
            <w:tcW w:w="881" w:type="pct"/>
            <w:tcBorders>
              <w:top w:val="nil"/>
              <w:left w:val="nil"/>
              <w:bottom w:val="single" w:color="auto" w:sz="4" w:space="0"/>
              <w:right w:val="single" w:color="auto" w:sz="4" w:space="0"/>
            </w:tcBorders>
            <w:noWrap w:val="0"/>
            <w:vAlign w:val="center"/>
          </w:tcPr>
          <w:p>
            <w:pPr>
              <w:widowControl/>
              <w:snapToGrid w:val="0"/>
              <w:spacing w:before="100" w:beforeAutospacing="1" w:after="100" w:afterAutospacing="1" w:line="328" w:lineRule="atLeast"/>
              <w:jc w:val="left"/>
              <w:rPr>
                <w:rFonts w:ascii="方正仿宋_GBK" w:hAnsi="宋体" w:eastAsia="方正仿宋_GBK" w:cs="宋体"/>
                <w:color w:val="000000"/>
                <w:kern w:val="0"/>
                <w:sz w:val="20"/>
                <w:szCs w:val="20"/>
              </w:rPr>
            </w:pPr>
            <w:r>
              <w:rPr>
                <w:rFonts w:ascii="方正仿宋_GBK" w:hAnsi="宋体" w:eastAsia="方正仿宋_GBK" w:cs="宋体"/>
                <w:color w:val="000000"/>
                <w:kern w:val="0"/>
                <w:sz w:val="20"/>
                <w:szCs w:val="20"/>
              </w:rPr>
              <w:t>公园、游园、绿化广场和城市道路绿化的园林绿化建设项目设计方案审批</w:t>
            </w:r>
          </w:p>
        </w:tc>
        <w:tc>
          <w:tcPr>
            <w:tcW w:w="1417" w:type="pct"/>
            <w:tcBorders>
              <w:top w:val="nil"/>
              <w:left w:val="nil"/>
              <w:bottom w:val="single" w:color="auto" w:sz="4" w:space="0"/>
              <w:right w:val="single" w:color="auto" w:sz="4" w:space="0"/>
            </w:tcBorders>
            <w:noWrap w:val="0"/>
            <w:vAlign w:val="center"/>
          </w:tcPr>
          <w:p>
            <w:pPr>
              <w:adjustRightInd w:val="0"/>
              <w:snapToGrid w:val="0"/>
              <w:spacing w:line="260" w:lineRule="exact"/>
              <w:ind w:left="21" w:leftChars="10" w:right="21" w:rightChars="10"/>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《城市绿化条例》（国务院令第 100 号）</w:t>
            </w:r>
          </w:p>
        </w:tc>
        <w:tc>
          <w:tcPr>
            <w:tcW w:w="447" w:type="pct"/>
            <w:tcBorders>
              <w:top w:val="nil"/>
              <w:left w:val="nil"/>
              <w:bottom w:val="single" w:color="auto" w:sz="4" w:space="0"/>
              <w:right w:val="single" w:color="auto" w:sz="4" w:space="0"/>
            </w:tcBorders>
            <w:noWrap w:val="0"/>
            <w:vAlign w:val="center"/>
          </w:tcPr>
          <w:p>
            <w:pPr>
              <w:snapToGrid w:val="0"/>
              <w:spacing w:line="260" w:lineRule="exact"/>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审批</w:t>
            </w:r>
          </w:p>
        </w:tc>
        <w:tc>
          <w:tcPr>
            <w:tcW w:w="1205" w:type="pct"/>
            <w:tcBorders>
              <w:top w:val="nil"/>
              <w:left w:val="nil"/>
              <w:bottom w:val="single" w:color="auto" w:sz="4" w:space="0"/>
              <w:right w:val="single" w:color="auto" w:sz="4" w:space="0"/>
            </w:tcBorders>
            <w:noWrap w:val="0"/>
            <w:vAlign w:val="center"/>
          </w:tcPr>
          <w:p>
            <w:pPr>
              <w:snapToGrid w:val="0"/>
              <w:spacing w:line="260" w:lineRule="exact"/>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已取消</w:t>
            </w:r>
          </w:p>
        </w:tc>
        <w:tc>
          <w:tcPr>
            <w:tcW w:w="347" w:type="pct"/>
            <w:tcBorders>
              <w:top w:val="nil"/>
              <w:left w:val="nil"/>
              <w:bottom w:val="single" w:color="auto" w:sz="4" w:space="0"/>
              <w:right w:val="single" w:color="auto" w:sz="4" w:space="0"/>
            </w:tcBorders>
            <w:noWrap w:val="0"/>
            <w:vAlign w:val="center"/>
          </w:tcPr>
          <w:p>
            <w:pPr>
              <w:snapToGrid w:val="0"/>
              <w:spacing w:line="260" w:lineRule="exact"/>
              <w:jc w:val="center"/>
              <w:rPr>
                <w:rFonts w:hint="eastAsia" w:ascii="方正仿宋_GBK" w:hAnsi="宋体" w:eastAsia="方正仿宋_GBK" w:cs="宋体"/>
                <w:color w:val="000000"/>
                <w:kern w:val="0"/>
                <w:sz w:val="20"/>
                <w:szCs w:val="20"/>
              </w:rPr>
            </w:pPr>
          </w:p>
        </w:tc>
      </w:tr>
      <w:tr>
        <w:trPr>
          <w:trHeight w:val="589" w:hRule="atLeast"/>
          <w:jc w:val="center"/>
        </w:trPr>
        <w:tc>
          <w:tcPr>
            <w:tcW w:w="217"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4</w:t>
            </w:r>
          </w:p>
        </w:tc>
        <w:tc>
          <w:tcPr>
            <w:tcW w:w="486" w:type="pct"/>
            <w:tcBorders>
              <w:top w:val="single" w:color="auto" w:sz="4" w:space="0"/>
              <w:left w:val="nil"/>
              <w:bottom w:val="single" w:color="auto" w:sz="4" w:space="0"/>
              <w:right w:val="single" w:color="auto" w:sz="4" w:space="0"/>
            </w:tcBorders>
            <w:noWrap w:val="0"/>
            <w:vAlign w:val="center"/>
          </w:tcPr>
          <w:p>
            <w:pPr>
              <w:snapToGrid w:val="0"/>
              <w:spacing w:line="260" w:lineRule="exact"/>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区档案局</w:t>
            </w:r>
          </w:p>
        </w:tc>
        <w:tc>
          <w:tcPr>
            <w:tcW w:w="881" w:type="pct"/>
            <w:tcBorders>
              <w:top w:val="single" w:color="auto" w:sz="4" w:space="0"/>
              <w:left w:val="nil"/>
              <w:bottom w:val="single" w:color="auto" w:sz="4" w:space="0"/>
              <w:right w:val="single" w:color="auto" w:sz="4" w:space="0"/>
            </w:tcBorders>
            <w:noWrap w:val="0"/>
            <w:vAlign w:val="center"/>
          </w:tcPr>
          <w:p>
            <w:pPr>
              <w:widowControl/>
              <w:snapToGrid w:val="0"/>
              <w:spacing w:before="100" w:beforeAutospacing="1" w:after="100" w:afterAutospacing="1" w:line="328" w:lineRule="atLeast"/>
              <w:jc w:val="left"/>
              <w:rPr>
                <w:rFonts w:ascii="方正仿宋_GBK" w:hAnsi="宋体" w:eastAsia="方正仿宋_GBK" w:cs="宋体"/>
                <w:color w:val="000000"/>
                <w:kern w:val="0"/>
                <w:sz w:val="20"/>
                <w:szCs w:val="20"/>
              </w:rPr>
            </w:pPr>
            <w:r>
              <w:rPr>
                <w:rFonts w:ascii="方正仿宋_GBK" w:hAnsi="宋体" w:eastAsia="方正仿宋_GBK" w:cs="宋体"/>
                <w:color w:val="000000"/>
                <w:kern w:val="0"/>
                <w:sz w:val="20"/>
                <w:szCs w:val="20"/>
              </w:rPr>
              <w:t>出卖、转让、赠送集体所有、个人所有以及其他不属于国家所有的对国家和社会具有保存价值的或者应当保密的档案审批</w:t>
            </w:r>
          </w:p>
        </w:tc>
        <w:tc>
          <w:tcPr>
            <w:tcW w:w="1417" w:type="pct"/>
            <w:tcBorders>
              <w:top w:val="single" w:color="auto" w:sz="4" w:space="0"/>
              <w:left w:val="nil"/>
              <w:bottom w:val="single" w:color="auto" w:sz="4" w:space="0"/>
              <w:right w:val="single" w:color="auto" w:sz="4" w:space="0"/>
            </w:tcBorders>
            <w:noWrap w:val="0"/>
            <w:vAlign w:val="center"/>
          </w:tcPr>
          <w:p>
            <w:pPr>
              <w:snapToGrid w:val="0"/>
              <w:spacing w:line="260" w:lineRule="exact"/>
              <w:ind w:left="21" w:leftChars="10" w:right="21" w:rightChars="1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w:t>
            </w:r>
            <w:r>
              <w:rPr>
                <w:rFonts w:hint="default" w:ascii="Times New Roman" w:hAnsi="Times New Roman" w:eastAsia="方正仿宋_GBK" w:cs="Times New Roman"/>
                <w:color w:val="000000"/>
                <w:kern w:val="0"/>
                <w:sz w:val="20"/>
                <w:szCs w:val="20"/>
              </w:rPr>
              <w:t>中华人民共和国</w:t>
            </w:r>
            <w:r>
              <w:rPr>
                <w:rFonts w:hint="eastAsia" w:ascii="方正仿宋_GBK" w:hAnsi="宋体" w:eastAsia="方正仿宋_GBK" w:cs="宋体"/>
                <w:color w:val="000000"/>
                <w:kern w:val="0"/>
                <w:sz w:val="20"/>
                <w:szCs w:val="20"/>
              </w:rPr>
              <w:t>档案法》第十六条；《档案法实施办法》第十七条</w:t>
            </w:r>
          </w:p>
        </w:tc>
        <w:tc>
          <w:tcPr>
            <w:tcW w:w="447" w:type="pct"/>
            <w:tcBorders>
              <w:top w:val="single" w:color="auto" w:sz="4" w:space="0"/>
              <w:left w:val="nil"/>
              <w:bottom w:val="single" w:color="auto" w:sz="4" w:space="0"/>
              <w:right w:val="single" w:color="auto" w:sz="4" w:space="0"/>
            </w:tcBorders>
            <w:noWrap w:val="0"/>
            <w:vAlign w:val="center"/>
          </w:tcPr>
          <w:p>
            <w:pPr>
              <w:snapToGrid w:val="0"/>
              <w:spacing w:line="260" w:lineRule="exact"/>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审批</w:t>
            </w:r>
          </w:p>
        </w:tc>
        <w:tc>
          <w:tcPr>
            <w:tcW w:w="1205" w:type="pct"/>
            <w:tcBorders>
              <w:top w:val="single" w:color="auto" w:sz="4" w:space="0"/>
              <w:left w:val="nil"/>
              <w:bottom w:val="single" w:color="auto" w:sz="4" w:space="0"/>
              <w:right w:val="single" w:color="auto" w:sz="4" w:space="0"/>
            </w:tcBorders>
            <w:noWrap w:val="0"/>
            <w:vAlign w:val="center"/>
          </w:tcPr>
          <w:p>
            <w:pPr>
              <w:snapToGrid w:val="0"/>
              <w:spacing w:line="260" w:lineRule="exact"/>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取消</w:t>
            </w:r>
          </w:p>
        </w:tc>
        <w:tc>
          <w:tcPr>
            <w:tcW w:w="347" w:type="pct"/>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原项目库301项</w:t>
            </w:r>
          </w:p>
        </w:tc>
      </w:tr>
      <w:tr>
        <w:tblPrEx>
          <w:tblCellMar>
            <w:top w:w="0" w:type="dxa"/>
            <w:left w:w="108" w:type="dxa"/>
            <w:bottom w:w="0" w:type="dxa"/>
            <w:right w:w="108" w:type="dxa"/>
          </w:tblCellMar>
        </w:tblPrEx>
        <w:trPr>
          <w:trHeight w:val="464" w:hRule="atLeast"/>
          <w:jc w:val="center"/>
        </w:trPr>
        <w:tc>
          <w:tcPr>
            <w:tcW w:w="217"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方正仿宋_GBK" w:hAnsi="宋体" w:eastAsia="方正仿宋_GBK" w:cs="宋体"/>
                <w:color w:val="000000"/>
                <w:kern w:val="0"/>
                <w:sz w:val="20"/>
                <w:szCs w:val="20"/>
              </w:rPr>
            </w:pPr>
            <w:r>
              <w:rPr>
                <w:rFonts w:hint="default" w:ascii="Times New Roman" w:hAnsi="Times New Roman" w:eastAsia="方正仿宋_GBK" w:cs="Times New Roman"/>
                <w:color w:val="000000"/>
                <w:kern w:val="0"/>
                <w:sz w:val="20"/>
                <w:szCs w:val="20"/>
              </w:rPr>
              <w:t>5</w:t>
            </w:r>
          </w:p>
        </w:tc>
        <w:tc>
          <w:tcPr>
            <w:tcW w:w="486" w:type="pct"/>
            <w:tcBorders>
              <w:top w:val="single" w:color="auto" w:sz="4" w:space="0"/>
              <w:left w:val="nil"/>
              <w:bottom w:val="single" w:color="auto" w:sz="4" w:space="0"/>
              <w:right w:val="single" w:color="auto" w:sz="4" w:space="0"/>
            </w:tcBorders>
            <w:noWrap w:val="0"/>
            <w:vAlign w:val="center"/>
          </w:tcPr>
          <w:p>
            <w:pPr>
              <w:snapToGrid w:val="0"/>
              <w:spacing w:line="260" w:lineRule="exact"/>
              <w:jc w:val="center"/>
              <w:rPr>
                <w:rFonts w:hint="eastAsia" w:ascii="方正仿宋_GBK" w:hAnsi="宋体" w:eastAsia="方正仿宋_GBK" w:cs="宋体"/>
                <w:color w:val="000000"/>
                <w:kern w:val="0"/>
                <w:sz w:val="20"/>
                <w:szCs w:val="20"/>
              </w:rPr>
            </w:pPr>
            <w:r>
              <w:rPr>
                <w:rFonts w:ascii="方正仿宋_GBK" w:hAnsi="宋体" w:eastAsia="方正仿宋_GBK" w:cs="宋体"/>
                <w:color w:val="000000"/>
                <w:kern w:val="0"/>
                <w:sz w:val="20"/>
                <w:szCs w:val="20"/>
              </w:rPr>
              <w:t>区</w:t>
            </w:r>
            <w:r>
              <w:rPr>
                <w:rFonts w:hint="eastAsia" w:ascii="方正仿宋_GBK" w:hAnsi="宋体" w:eastAsia="方正仿宋_GBK" w:cs="宋体"/>
                <w:color w:val="000000"/>
                <w:kern w:val="0"/>
                <w:sz w:val="20"/>
                <w:szCs w:val="20"/>
              </w:rPr>
              <w:t>质监局</w:t>
            </w:r>
          </w:p>
        </w:tc>
        <w:tc>
          <w:tcPr>
            <w:tcW w:w="881" w:type="pct"/>
            <w:tcBorders>
              <w:top w:val="single" w:color="auto" w:sz="4" w:space="0"/>
              <w:left w:val="nil"/>
              <w:bottom w:val="single" w:color="auto" w:sz="4" w:space="0"/>
              <w:right w:val="single" w:color="auto" w:sz="4" w:space="0"/>
            </w:tcBorders>
            <w:noWrap w:val="0"/>
            <w:vAlign w:val="center"/>
          </w:tcPr>
          <w:p>
            <w:pPr>
              <w:snapToGrid w:val="0"/>
              <w:spacing w:line="260" w:lineRule="exact"/>
              <w:ind w:left="21" w:leftChars="10" w:right="21" w:rightChars="10"/>
              <w:jc w:val="center"/>
              <w:rPr>
                <w:rFonts w:hint="eastAsia" w:ascii="方正仿宋_GBK" w:hAnsi="宋体" w:eastAsia="方正仿宋_GBK" w:cs="宋体"/>
                <w:color w:val="000000"/>
                <w:kern w:val="0"/>
                <w:sz w:val="20"/>
                <w:szCs w:val="20"/>
              </w:rPr>
            </w:pPr>
            <w:r>
              <w:rPr>
                <w:rFonts w:ascii="方正仿宋_GBK" w:hAnsi="宋体" w:eastAsia="方正仿宋_GBK" w:cs="宋体"/>
                <w:color w:val="000000"/>
                <w:kern w:val="0"/>
                <w:sz w:val="20"/>
                <w:szCs w:val="20"/>
              </w:rPr>
              <w:t>计量检定员资格核准</w:t>
            </w:r>
          </w:p>
        </w:tc>
        <w:tc>
          <w:tcPr>
            <w:tcW w:w="1417" w:type="pct"/>
            <w:tcBorders>
              <w:top w:val="single" w:color="auto" w:sz="4" w:space="0"/>
              <w:left w:val="nil"/>
              <w:bottom w:val="single" w:color="auto" w:sz="4" w:space="0"/>
              <w:right w:val="single" w:color="auto" w:sz="4" w:space="0"/>
            </w:tcBorders>
            <w:noWrap w:val="0"/>
            <w:vAlign w:val="center"/>
          </w:tcPr>
          <w:p>
            <w:pPr>
              <w:snapToGrid w:val="0"/>
              <w:spacing w:line="260" w:lineRule="exact"/>
              <w:ind w:left="21" w:leftChars="10" w:right="21" w:rightChars="10"/>
              <w:jc w:val="center"/>
              <w:rPr>
                <w:rFonts w:hint="eastAsia" w:ascii="方正仿宋_GBK" w:hAnsi="宋体" w:eastAsia="方正仿宋_GBK" w:cs="宋体"/>
                <w:color w:val="000000"/>
                <w:kern w:val="0"/>
                <w:sz w:val="20"/>
                <w:szCs w:val="20"/>
              </w:rPr>
            </w:pPr>
            <w:r>
              <w:rPr>
                <w:rFonts w:ascii="方正仿宋_GBK" w:hAnsi="宋体" w:eastAsia="方正仿宋_GBK" w:cs="宋体"/>
                <w:color w:val="000000"/>
                <w:kern w:val="0"/>
                <w:sz w:val="20"/>
                <w:szCs w:val="20"/>
              </w:rPr>
              <w:t xml:space="preserve">《中华人民共和国计量法》 </w:t>
            </w:r>
            <w:r>
              <w:rPr>
                <w:rFonts w:ascii="方正仿宋_GBK" w:hAnsi="宋体" w:eastAsia="方正仿宋_GBK" w:cs="宋体"/>
                <w:color w:val="000000"/>
                <w:kern w:val="0"/>
                <w:sz w:val="20"/>
                <w:szCs w:val="20"/>
              </w:rPr>
              <w:br w:type="textWrapping"/>
            </w:r>
            <w:r>
              <w:rPr>
                <w:rFonts w:ascii="方正仿宋_GBK" w:hAnsi="宋体" w:eastAsia="方正仿宋_GBK" w:cs="宋体"/>
                <w:color w:val="000000"/>
                <w:kern w:val="0"/>
                <w:sz w:val="20"/>
                <w:szCs w:val="20"/>
              </w:rPr>
              <w:t>《中华人民共和国计量法实施细则》</w:t>
            </w:r>
          </w:p>
        </w:tc>
        <w:tc>
          <w:tcPr>
            <w:tcW w:w="447" w:type="pct"/>
            <w:tcBorders>
              <w:top w:val="single" w:color="auto" w:sz="4" w:space="0"/>
              <w:left w:val="nil"/>
              <w:bottom w:val="single" w:color="auto" w:sz="4" w:space="0"/>
              <w:right w:val="single" w:color="auto" w:sz="4" w:space="0"/>
            </w:tcBorders>
            <w:noWrap w:val="0"/>
            <w:vAlign w:val="center"/>
          </w:tcPr>
          <w:p>
            <w:pPr>
              <w:snapToGrid w:val="0"/>
              <w:spacing w:line="260" w:lineRule="exact"/>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审批</w:t>
            </w:r>
          </w:p>
        </w:tc>
        <w:tc>
          <w:tcPr>
            <w:tcW w:w="1205" w:type="pct"/>
            <w:tcBorders>
              <w:top w:val="single" w:color="auto" w:sz="4" w:space="0"/>
              <w:left w:val="nil"/>
              <w:bottom w:val="single" w:color="auto" w:sz="4" w:space="0"/>
              <w:right w:val="single" w:color="auto" w:sz="4" w:space="0"/>
            </w:tcBorders>
            <w:noWrap w:val="0"/>
            <w:vAlign w:val="center"/>
          </w:tcPr>
          <w:p>
            <w:pPr>
              <w:snapToGrid w:val="0"/>
              <w:spacing w:line="260" w:lineRule="exact"/>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已取消</w:t>
            </w:r>
          </w:p>
        </w:tc>
        <w:tc>
          <w:tcPr>
            <w:tcW w:w="347" w:type="pct"/>
            <w:tcBorders>
              <w:top w:val="single" w:color="auto" w:sz="4" w:space="0"/>
              <w:left w:val="nil"/>
              <w:bottom w:val="single" w:color="auto" w:sz="4" w:space="0"/>
              <w:right w:val="single" w:color="auto" w:sz="4" w:space="0"/>
            </w:tcBorders>
            <w:noWrap w:val="0"/>
            <w:vAlign w:val="center"/>
          </w:tcPr>
          <w:p>
            <w:pPr>
              <w:snapToGrid w:val="0"/>
              <w:spacing w:line="26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潼南府〔2017〕72号已取消</w:t>
            </w:r>
          </w:p>
        </w:tc>
      </w:tr>
    </w:tbl>
    <w:p>
      <w:pPr>
        <w:rPr>
          <w:rFonts w:hint="eastAsia" w:ascii="Calibri" w:hAnsi="Calibri" w:eastAsia="宋体" w:cs="Times New Roman"/>
          <w:kern w:val="2"/>
          <w:sz w:val="21"/>
          <w:szCs w:val="22"/>
          <w:lang w:val="en-US" w:eastAsia="zh-CN" w:bidi="ar-SA"/>
        </w:rPr>
      </w:pPr>
    </w:p>
    <w:sectPr>
      <w:headerReference r:id="rId5" w:type="default"/>
      <w:footerReference r:id="rId6" w:type="default"/>
      <w:pgSz w:w="16838" w:h="11906" w:orient="landscape"/>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194945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15.35pt;height:0.15pt;width:442.25pt;z-index:251660288;mso-width-relative:page;mso-height-relative:page;" filled="f" stroked="t" coordsize="21600,21600" o:gfxdata="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xTkQ9IAAAAG&#10;AQAADwAAAAAAAAABACAAAAAiAAAAZHJzL2Rvd25yZXYueG1sUEsBAhQAFAAAAAgAh07iQPA2LSnp&#10;AQAAtQMAAA4AAAAAAAAAAQAgAAAAIQEAAGRycy9lMm9Eb2MueG1sUEsFBgAAAAAGAAYAWQEAAHwF&#10;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潼南区人民政府办公室发布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jc w:val="right"/>
      <w:rPr>
        <w:rFonts w:hint="eastAsia"/>
        <w:color w:val="FAFAFA"/>
        <w:sz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1905</wp:posOffset>
              </wp:positionH>
              <wp:positionV relativeFrom="paragraph">
                <wp:posOffset>185420</wp:posOffset>
              </wp:positionV>
              <wp:extent cx="8742045" cy="1905"/>
              <wp:effectExtent l="0" t="10795" r="1905" b="15875"/>
              <wp:wrapNone/>
              <wp:docPr id="17" name="直接连接符 17"/>
              <wp:cNvGraphicFramePr/>
              <a:graphic xmlns:a="http://schemas.openxmlformats.org/drawingml/2006/main">
                <a:graphicData uri="http://schemas.microsoft.com/office/word/2010/wordprocessingShape">
                  <wps:wsp>
                    <wps:cNvCnPr/>
                    <wps:spPr>
                      <a:xfrm>
                        <a:off x="0" y="0"/>
                        <a:ext cx="874204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14.6pt;height:0.15pt;width:688.35pt;z-index:251664384;mso-width-relative:page;mso-height-relative:page;" filled="f" stroked="t" coordsize="21600,21600" o:gfxdata="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xbADNQA&#10;AAAHAQAADwAAAAAAAAABACAAAAAiAAAAZHJzL2Rvd25yZXYueG1sUEsBAhQAFAAAAAgAh07iQMAw&#10;CS3qAQAAtw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5"/>
      <w:wordWrap w:val="0"/>
      <w:jc w:val="right"/>
      <w:rPr>
        <w:rFonts w:hint="eastAsia"/>
        <w:color w:val="FAFAFA"/>
        <w:sz w:val="32"/>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潼南区人民政府办公室发布</w:t>
    </w:r>
    <w:r>
      <w:rPr>
        <w:rFonts w:hint="eastAsia" w:ascii="宋体" w:hAnsi="宋体" w:cs="宋体"/>
        <w:b/>
        <w:bCs/>
        <w:color w:val="005192"/>
        <w:sz w:val="28"/>
        <w:szCs w:val="44"/>
        <w:lang w:val="en-US" w:eastAsia="zh-CN"/>
      </w:rPr>
      <w:t xml:space="preserve">  </w:t>
    </w:r>
    <w:r>
      <w:rPr>
        <w:rFonts w:hint="eastAsia"/>
        <w:color w:val="FAFAFA"/>
        <w:sz w:val="32"/>
        <w:lang w:val="en-US" w:eastAsia="zh-CN"/>
      </w:rPr>
      <w:t xml:space="preserve"> </w:t>
    </w:r>
  </w:p>
  <w:p>
    <w:pPr>
      <w:pStyle w:val="5"/>
      <w:wordWrap/>
      <w:jc w:val="center"/>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5"/>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70485</wp:posOffset>
              </wp:positionV>
              <wp:extent cx="8742045" cy="1905"/>
              <wp:effectExtent l="0" t="10795" r="1905" b="15875"/>
              <wp:wrapNone/>
              <wp:docPr id="15" name="直接连接符 15"/>
              <wp:cNvGraphicFramePr/>
              <a:graphic xmlns:a="http://schemas.openxmlformats.org/drawingml/2006/main">
                <a:graphicData uri="http://schemas.microsoft.com/office/word/2010/wordprocessingShape">
                  <wps:wsp>
                    <wps:cNvCnPr/>
                    <wps:spPr>
                      <a:xfrm>
                        <a:off x="0" y="0"/>
                        <a:ext cx="874204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55pt;height:0.15pt;width:688.35pt;z-index:251663360;mso-width-relative:page;mso-height-relative:page;" filled="f" stroked="t" coordsize="21600,21600" o:gfxdata="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R3tfv0wAA&#10;AAcBAAAPAAAAAAAAAAEAIAAAACIAAABkcnMvZG93bnJldi54bWxQSwECFAAUAAAACACHTuJA+mQJ&#10;beoBAAC3AwAADgAAAAAAAAABACAAAAAiAQAAZHJzL2Uyb0RvYy54bWxQSwUGAAAAAAYABgBZAQAA&#10;fgU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1FA076CB"/>
    <w:rsid w:val="22440422"/>
    <w:rsid w:val="22BB4BBB"/>
    <w:rsid w:val="2AEB3417"/>
    <w:rsid w:val="31A15F24"/>
    <w:rsid w:val="324A1681"/>
    <w:rsid w:val="32F642B4"/>
    <w:rsid w:val="36FB1DF0"/>
    <w:rsid w:val="395347B5"/>
    <w:rsid w:val="39A232A0"/>
    <w:rsid w:val="39E745AA"/>
    <w:rsid w:val="3AB13745"/>
    <w:rsid w:val="3B5A6BBB"/>
    <w:rsid w:val="3EDA13A6"/>
    <w:rsid w:val="417B75E9"/>
    <w:rsid w:val="41C95040"/>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C7F193C"/>
    <w:rsid w:val="5DC34279"/>
    <w:rsid w:val="5FCD688E"/>
    <w:rsid w:val="5FF9BDAA"/>
    <w:rsid w:val="5FFE5333"/>
    <w:rsid w:val="608816D1"/>
    <w:rsid w:val="60EF4E7F"/>
    <w:rsid w:val="648B0A32"/>
    <w:rsid w:val="665233C1"/>
    <w:rsid w:val="692975A5"/>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SFJ1</cp:lastModifiedBy>
  <cp:lastPrinted>2022-05-12T00:46:00Z</cp:lastPrinted>
  <dcterms:modified xsi:type="dcterms:W3CDTF">2023-10-19T12:20:08Z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6900357D8AD24F7397E0EF9CC0AE2522</vt:lpwstr>
  </property>
</Properties>
</file>