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重庆市潼南区人民政府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eastAsia="方正小标宋_GBK" w:cs="宋体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关于取消一批行政许可等事项的决定</w:t>
      </w:r>
    </w:p>
    <w:p>
      <w:pPr>
        <w:tabs>
          <w:tab w:val="left" w:pos="7668"/>
        </w:tabs>
        <w:spacing w:line="600" w:lineRule="exact"/>
        <w:ind w:right="23" w:rightChars="11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潼南府发〔</w:t>
      </w:r>
      <w:r>
        <w:rPr>
          <w:rFonts w:eastAsia="方正仿宋_GBK"/>
          <w:sz w:val="32"/>
          <w:szCs w:val="32"/>
        </w:rPr>
        <w:t>201</w:t>
      </w:r>
      <w:r>
        <w:rPr>
          <w:rFonts w:hint="eastAsia" w:eastAsia="方正仿宋_GBK"/>
          <w:sz w:val="32"/>
          <w:szCs w:val="32"/>
        </w:rPr>
        <w:t>8〕11号</w:t>
      </w:r>
    </w:p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区级有关部门、市管在潼有关单位：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为贯彻落实重庆市人民政府《关于取消一批行政</w:t>
      </w:r>
      <w:r>
        <w:rPr>
          <w:rFonts w:hint="eastAsia" w:eastAsia="方正仿宋_GBK"/>
          <w:sz w:val="32"/>
          <w:szCs w:val="32"/>
        </w:rPr>
        <w:t>许可</w:t>
      </w:r>
      <w:r>
        <w:rPr>
          <w:rFonts w:eastAsia="方正仿宋_GBK"/>
          <w:sz w:val="32"/>
          <w:szCs w:val="32"/>
        </w:rPr>
        <w:t>等事项的决定》（渝府发〔201</w:t>
      </w: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39</w:t>
      </w:r>
      <w:r>
        <w:rPr>
          <w:rFonts w:eastAsia="方正仿宋_GBK"/>
          <w:sz w:val="32"/>
          <w:szCs w:val="32"/>
        </w:rPr>
        <w:t>号）精神，进一步转变政府职能，</w:t>
      </w:r>
      <w:r>
        <w:rPr>
          <w:rFonts w:hint="eastAsia" w:eastAsia="方正仿宋_GBK"/>
          <w:color w:val="000000"/>
          <w:kern w:val="0"/>
          <w:sz w:val="32"/>
          <w:szCs w:val="32"/>
        </w:rPr>
        <w:t>营造稳定公平透明的营商环境</w:t>
      </w:r>
      <w:r>
        <w:rPr>
          <w:rFonts w:eastAsia="方正仿宋_GBK"/>
          <w:sz w:val="32"/>
          <w:szCs w:val="32"/>
        </w:rPr>
        <w:t>。经区</w:t>
      </w:r>
      <w:r>
        <w:rPr>
          <w:rFonts w:hint="eastAsia" w:eastAsia="方正仿宋_GBK"/>
          <w:sz w:val="32"/>
          <w:szCs w:val="32"/>
        </w:rPr>
        <w:t>第十七届</w:t>
      </w:r>
      <w:r>
        <w:rPr>
          <w:rFonts w:eastAsia="方正仿宋_GBK"/>
          <w:sz w:val="32"/>
          <w:szCs w:val="32"/>
        </w:rPr>
        <w:t>政府第</w:t>
      </w:r>
      <w:r>
        <w:rPr>
          <w:rFonts w:hint="eastAsia" w:eastAsia="方正仿宋_GBK"/>
          <w:sz w:val="32"/>
          <w:szCs w:val="32"/>
        </w:rPr>
        <w:t>39</w:t>
      </w:r>
      <w:r>
        <w:rPr>
          <w:rFonts w:eastAsia="方正仿宋_GBK"/>
          <w:sz w:val="32"/>
          <w:szCs w:val="32"/>
        </w:rPr>
        <w:t>次常务会</w:t>
      </w:r>
      <w:r>
        <w:rPr>
          <w:rFonts w:hint="eastAsia" w:eastAsia="方正仿宋_GBK"/>
          <w:sz w:val="32"/>
          <w:szCs w:val="32"/>
        </w:rPr>
        <w:t>议</w:t>
      </w:r>
      <w:r>
        <w:rPr>
          <w:rFonts w:eastAsia="方正仿宋_GBK"/>
          <w:sz w:val="32"/>
          <w:szCs w:val="32"/>
        </w:rPr>
        <w:t>研究，决定对应取消</w:t>
      </w: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项行政</w:t>
      </w:r>
      <w:r>
        <w:rPr>
          <w:rFonts w:hint="eastAsia" w:eastAsia="方正仿宋_GBK"/>
          <w:sz w:val="32"/>
          <w:szCs w:val="32"/>
        </w:rPr>
        <w:t>许可等事项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各相关部门和单位要</w:t>
      </w:r>
      <w:r>
        <w:rPr>
          <w:rFonts w:hint="eastAsia" w:eastAsia="方正仿宋_GBK"/>
          <w:sz w:val="32"/>
          <w:szCs w:val="32"/>
        </w:rPr>
        <w:t>切实转变职能，深化“放管服”改革</w:t>
      </w:r>
      <w:r>
        <w:rPr>
          <w:rFonts w:eastAsia="方正仿宋_GBK"/>
          <w:sz w:val="32"/>
          <w:szCs w:val="32"/>
        </w:rPr>
        <w:t>。对取消的</w:t>
      </w:r>
      <w:r>
        <w:rPr>
          <w:rFonts w:hint="eastAsia" w:eastAsia="方正仿宋_GBK"/>
          <w:sz w:val="32"/>
          <w:szCs w:val="32"/>
        </w:rPr>
        <w:t>行政许可等</w:t>
      </w:r>
      <w:r>
        <w:rPr>
          <w:rFonts w:eastAsia="方正仿宋_GBK"/>
          <w:sz w:val="32"/>
          <w:szCs w:val="32"/>
        </w:rPr>
        <w:t>事项，不得</w:t>
      </w:r>
      <w:r>
        <w:rPr>
          <w:rFonts w:hint="eastAsia" w:eastAsia="方正仿宋_GBK"/>
          <w:sz w:val="32"/>
          <w:szCs w:val="32"/>
        </w:rPr>
        <w:t>违法</w:t>
      </w:r>
      <w:r>
        <w:rPr>
          <w:rFonts w:eastAsia="方正仿宋_GBK"/>
          <w:sz w:val="32"/>
          <w:szCs w:val="32"/>
        </w:rPr>
        <w:t>转交下属事业单位、</w:t>
      </w:r>
      <w:r>
        <w:rPr>
          <w:rFonts w:hint="eastAsia" w:eastAsia="方正仿宋_GBK"/>
          <w:sz w:val="32"/>
          <w:szCs w:val="32"/>
        </w:rPr>
        <w:t>社会组织</w:t>
      </w:r>
      <w:r>
        <w:rPr>
          <w:rFonts w:eastAsia="方正仿宋_GBK"/>
          <w:sz w:val="32"/>
          <w:szCs w:val="32"/>
        </w:rPr>
        <w:t>继续审批；不得通过</w:t>
      </w:r>
      <w:r>
        <w:rPr>
          <w:rFonts w:hint="eastAsia" w:eastAsia="方正仿宋_GBK"/>
          <w:sz w:val="32"/>
          <w:szCs w:val="32"/>
        </w:rPr>
        <w:t>拆分、合并或重组</w:t>
      </w:r>
      <w:r>
        <w:rPr>
          <w:rFonts w:eastAsia="方正仿宋_GBK"/>
          <w:sz w:val="32"/>
          <w:szCs w:val="32"/>
        </w:rPr>
        <w:t>等方式以新的名义、条目替代审批；不得以其他任何形式变相审批。</w:t>
      </w:r>
      <w:r>
        <w:rPr>
          <w:rFonts w:hint="eastAsia" w:eastAsia="方正仿宋_GBK"/>
          <w:sz w:val="32"/>
          <w:szCs w:val="32"/>
        </w:rPr>
        <w:t>要按照市政府要求，切实强化事中事后监管，细化完善工作措施，做好工作衔接，方便企业和群众办事。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各相关部门和单位</w:t>
      </w:r>
      <w:r>
        <w:rPr>
          <w:rFonts w:eastAsia="方正仿宋_GBK"/>
          <w:spacing w:val="-8"/>
          <w:sz w:val="32"/>
          <w:szCs w:val="32"/>
        </w:rPr>
        <w:t>在实施过程中如发现问题，要及时向区审改办</w:t>
      </w:r>
      <w:r>
        <w:rPr>
          <w:rFonts w:eastAsia="方正仿宋_GBK"/>
          <w:sz w:val="32"/>
          <w:szCs w:val="32"/>
        </w:rPr>
        <w:t>（区编办）</w:t>
      </w:r>
      <w:r>
        <w:rPr>
          <w:rFonts w:eastAsia="方正仿宋_GBK"/>
          <w:spacing w:val="-8"/>
          <w:sz w:val="32"/>
          <w:szCs w:val="32"/>
        </w:rPr>
        <w:t>反馈，</w:t>
      </w:r>
      <w:r>
        <w:rPr>
          <w:rFonts w:eastAsia="方正仿宋_GBK"/>
          <w:sz w:val="32"/>
          <w:szCs w:val="32"/>
        </w:rPr>
        <w:t>涉及审批项目调整的，要及时制定项目调整工作方案，自接到项目调整相关文件起10个工作日内将方案报区审改办，区审改办、区政府法制办会同相关业务部门提出项目调整意见，提交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政府常务会</w:t>
      </w:r>
      <w:r>
        <w:rPr>
          <w:rFonts w:hint="eastAsia" w:eastAsia="方正仿宋_GBK"/>
          <w:sz w:val="32"/>
          <w:szCs w:val="32"/>
        </w:rPr>
        <w:t>议</w:t>
      </w:r>
      <w:r>
        <w:rPr>
          <w:rFonts w:eastAsia="方正仿宋_GBK"/>
          <w:sz w:val="32"/>
          <w:szCs w:val="32"/>
        </w:rPr>
        <w:t>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eastAsia="方正仿宋_GBK"/>
          <w:spacing w:val="-8"/>
          <w:sz w:val="32"/>
          <w:szCs w:val="32"/>
        </w:rPr>
      </w:pPr>
      <w:r>
        <w:rPr>
          <w:rFonts w:eastAsia="方正仿宋_GBK"/>
          <w:spacing w:val="-8"/>
          <w:sz w:val="32"/>
          <w:szCs w:val="32"/>
        </w:rPr>
        <w:t>各有关部门</w:t>
      </w:r>
      <w:r>
        <w:rPr>
          <w:rFonts w:hint="eastAsia" w:eastAsia="方正仿宋_GBK"/>
          <w:spacing w:val="-8"/>
          <w:sz w:val="32"/>
          <w:szCs w:val="32"/>
        </w:rPr>
        <w:t>要按照审批服务便民化改革要求，进一步改进审批服务质量，提高办事效率，加强审批服务信息公开，按照审批服务标准化要求，相应调整网上办事大厅的信息，对权力清单、责任清单进行动态调整。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hint="eastAsia" w:eastAsia="方正仿宋_GBK"/>
          <w:color w:val="000000"/>
          <w:sz w:val="32"/>
          <w:szCs w:val="32"/>
        </w:rPr>
        <w:t>取消的行政许可等事项目录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0" w:leftChars="300" w:hanging="1280" w:hangingChars="4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25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重庆市潼南区人民政府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 w:right="660" w:firstLine="2560" w:firstLineChars="8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201</w:t>
      </w:r>
      <w:r>
        <w:rPr>
          <w:rFonts w:hint="eastAsia" w:eastAsia="方正仿宋_GBK"/>
          <w:sz w:val="32"/>
          <w:szCs w:val="32"/>
        </w:rPr>
        <w:t>8年9月30日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6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（此件公开发布）</w:t>
      </w:r>
      <w:r>
        <w:rPr>
          <w:rFonts w:eastAsia="方正仿宋_GBK"/>
          <w:sz w:val="32"/>
          <w:szCs w:val="32"/>
        </w:rPr>
        <w:t xml:space="preserve">  </w:t>
      </w:r>
    </w:p>
    <w:p>
      <w:pPr>
        <w:spacing w:line="600" w:lineRule="exact"/>
        <w:ind w:right="660"/>
        <w:rPr>
          <w:rFonts w:eastAsia="方正仿宋_GBK"/>
          <w:sz w:val="33"/>
          <w:szCs w:val="33"/>
        </w:rPr>
      </w:pPr>
    </w:p>
    <w:p>
      <w:pPr>
        <w:spacing w:line="600" w:lineRule="exact"/>
        <w:ind w:right="660"/>
        <w:rPr>
          <w:rFonts w:eastAsia="方正仿宋_GBK"/>
          <w:sz w:val="33"/>
          <w:szCs w:val="33"/>
        </w:rPr>
      </w:pPr>
    </w:p>
    <w:p>
      <w:pPr>
        <w:spacing w:line="600" w:lineRule="exact"/>
        <w:ind w:right="660"/>
        <w:rPr>
          <w:rFonts w:hint="eastAsia" w:eastAsia="方正仿宋_GBK"/>
          <w:sz w:val="33"/>
          <w:szCs w:val="33"/>
          <w:lang w:eastAsia="zh-CN"/>
        </w:rPr>
      </w:pPr>
      <w:r>
        <w:rPr>
          <w:rFonts w:hint="eastAsia" w:eastAsia="方正仿宋_GBK"/>
          <w:sz w:val="33"/>
          <w:szCs w:val="33"/>
          <w:lang w:eastAsia="zh-CN"/>
        </w:rPr>
        <w:tab/>
      </w:r>
    </w:p>
    <w:p>
      <w:pPr>
        <w:spacing w:line="600" w:lineRule="exact"/>
        <w:ind w:right="660"/>
        <w:rPr>
          <w:rFonts w:hint="eastAsia" w:eastAsia="方正仿宋_GBK"/>
          <w:sz w:val="33"/>
          <w:szCs w:val="33"/>
          <w:lang w:eastAsia="zh-CN"/>
        </w:rPr>
      </w:pPr>
    </w:p>
    <w:p>
      <w:pPr>
        <w:spacing w:line="600" w:lineRule="exact"/>
        <w:ind w:right="660"/>
        <w:rPr>
          <w:rFonts w:hint="eastAsia" w:eastAsia="方正仿宋_GBK"/>
          <w:sz w:val="33"/>
          <w:szCs w:val="33"/>
          <w:lang w:eastAsia="zh-CN"/>
        </w:rPr>
      </w:pPr>
    </w:p>
    <w:p>
      <w:pPr>
        <w:spacing w:line="600" w:lineRule="exact"/>
        <w:ind w:right="660"/>
        <w:rPr>
          <w:rFonts w:hint="eastAsia" w:eastAsia="方正仿宋_GBK"/>
          <w:sz w:val="33"/>
          <w:szCs w:val="33"/>
          <w:lang w:eastAsia="zh-CN"/>
        </w:rPr>
      </w:pPr>
    </w:p>
    <w:p>
      <w:pPr>
        <w:spacing w:line="600" w:lineRule="exact"/>
        <w:ind w:right="660"/>
        <w:rPr>
          <w:rFonts w:hint="eastAsia" w:eastAsia="方正仿宋_GBK"/>
          <w:sz w:val="33"/>
          <w:szCs w:val="33"/>
          <w:lang w:eastAsia="zh-CN"/>
        </w:rPr>
      </w:pPr>
    </w:p>
    <w:p>
      <w:pPr>
        <w:spacing w:line="600" w:lineRule="exact"/>
        <w:ind w:right="66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eastAsia="方正小标宋_GBK"/>
          <w:spacing w:val="-10"/>
          <w:sz w:val="44"/>
          <w:szCs w:val="44"/>
        </w:rPr>
      </w:pPr>
      <w:r>
        <w:rPr>
          <w:rFonts w:hint="eastAsia" w:eastAsia="方正小标宋_GBK"/>
          <w:spacing w:val="-10"/>
          <w:sz w:val="44"/>
          <w:szCs w:val="44"/>
        </w:rPr>
        <w:t>取消的行政许可等事项目录</w:t>
      </w:r>
    </w:p>
    <w:p>
      <w:pPr>
        <w:spacing w:line="600" w:lineRule="exact"/>
        <w:jc w:val="center"/>
        <w:rPr>
          <w:rFonts w:hint="eastAsia" w:eastAsia="方正小标宋_GBK"/>
          <w:spacing w:val="-10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7"/>
        <w:gridCol w:w="1545"/>
        <w:gridCol w:w="1887"/>
        <w:gridCol w:w="1192"/>
        <w:gridCol w:w="780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33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项目名称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设定依据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审批部门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处理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决定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加强事中事后监管措施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3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企业集团核准登记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《中华人民共和国企业法人登记管理条例》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潼南工商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分局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取消审批后，工商行政主管部门通过以下措施加强事中事后监管：1．按照有关法规规定，严格执行在名称中使用“集团”字样的有关标准和要求。2．强化企业母公司（集团公司）的信息公示，接受社会监督。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3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台港澳人员在内地就业许可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18"/>
                <w:szCs w:val="18"/>
              </w:rPr>
              <w:t>《国务院对确需保留的行政审批项目设定行政许可的决定》（国务院令第412号）、《国务院关于第六批取消和调整行政审批项目的决定》（国发〔2012〕52号）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区人力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社保局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审批后，人力社保主管部门通过以下措施加强事中事后监管：在台港澳人员就业服务、社会保障、失业登记、劳动权益保护等方面，尽快完善相关制度，将台港澳人员纳入就业创业服务体系，提供基本公共就业创业服务。依法维护台港澳人员在渝就业权益，为台港澳人员在渝就业营造良好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3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机动车维修经营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许可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《中华人民共和国道路运输条例》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区交委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审批后，道路运输管理主管部门通过以下措施加强事中事后监管：1．建立健全机动车维修经营备案制度，及时公布相关信息。2．要求机动车维修企业严格按照标准开展维修业务，维修服务完成后应提供明细单，作为车主追责依据。3．加强对机动车维修行为的监管，对维修企业出现违法违规行为，依法予以处罚。4．建立黑名单制度，深入推进维修诚信体系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3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农业机械维修技术合格证核发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《农业机械安全监督管理条例》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区农委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18"/>
                <w:szCs w:val="18"/>
              </w:rPr>
              <w:t>取消审批后，农业机械化主管部门通过以下措施加强事中事后监管：1．规范维修企业服务，引导维修企业推行承诺服务制，加强行业自律，要求维修企业提供服务明细单，作为消费者追责依据。2．加强对农机维护网点维修人员技能培训，提高维修队伍能力和水平。3．加大对农机维修企业的抽查检查力度，严厉处罚违法违规行为，处罚结果记入信用平台，实行联合惩戒。4．畅通农机维修质量投诉渠道，有效维护消费者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3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船舶进出渔港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签证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《中华人民共和国渔港水域交通安全管理条例》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区农委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审批后，改为报告制度。渔业行政主管部门通过以下措施加强事中事后监管：1．明确进出港报告的内容，加强渔船管理，简化船舶进出港手续。2．通过信息系统或渔船身份识别系统掌握进出渔港船舶的状况。3．加强重点时段、重点渔船的管理，伏季休渔期保证休渔地区渔船回船籍港休渔，大力整治涉渔“三无”船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3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6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设立分公司备案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《中华人民共和国公司登记管理条例》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潼南工商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分局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取消该事项后，工商行政主管部门通过以下措施加强事中事后监管：建设维护信息系统，完善规章制度，及时推送、更新、掌握分公司设立信息，加强监管。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3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外商投资合伙企业设立、变更、注销分支机构备案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《外商投资合伙企业登记管理规定》（工商总局令2014年第63号）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潼南工商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分局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取消该事项后，工商行政主管部门通过以下措施加强事中事后监管：建设维护好信息系统，完善规章制度，及时推送、更新、掌握分支机构设立、变更、注销信息，加强部门协同监管。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3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8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营业执照作废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声明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《中华人民共和国公司登记管理条例》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潼南工商分局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取消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18"/>
                <w:szCs w:val="18"/>
              </w:rPr>
              <w:t>取消该事项后，工商行政主管部门采取以下管理措施加强事中事后监管：对营业执照遗失或损毁申请补领的，不再要求申请人委托媒体刊登作废声明，改为在工商部门官方网站免费发布公告。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203835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5pt;margin-top:16.05pt;height:0.15pt;width:442.25pt;z-index:251660288;mso-width-relative:page;mso-height-relative:page;" filled="f" stroked="t" coordsize="21600,21600" o:gfxdata="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qF6UDTAAAA&#10;BgEAAA8AAAAAAAAAAQAgAAAAIgAAAGRycy9kb3ducmV2LnhtbFBLAQIUABQAAAAIAIdO4kDwNi0p&#10;6QEAALUDAAAOAAAAAAAAAAEAIAAAACI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CE2705A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CD11405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SFJ1</cp:lastModifiedBy>
  <cp:lastPrinted>2022-05-12T00:46:00Z</cp:lastPrinted>
  <dcterms:modified xsi:type="dcterms:W3CDTF">2022-06-10T12:43:18Z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48C61CB29D3F4D9384F5922CF0F7FFB4</vt:lpwstr>
  </property>
</Properties>
</file>