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7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40" w:lineRule="atLeast"/>
        <w:ind w:left="0" w:leftChars="0" w:right="0" w:firstLine="0" w:firstLineChars="0"/>
        <w:jc w:val="center"/>
        <w:rPr>
          <w:rFonts w:hint="default" w:ascii="Times New Roman" w:hAnsi="Times New Roman" w:cs="Times New Roman"/>
          <w:sz w:val="52"/>
          <w:szCs w:val="52"/>
        </w:rPr>
      </w:pPr>
      <w:r>
        <w:rPr>
          <w:rFonts w:hint="default" w:ascii="Times New Roman" w:hAnsi="Times New Roman" w:eastAsia="方正黑体_GBK" w:cs="Times New Roman"/>
          <w:b/>
          <w:bCs/>
          <w:i w:val="0"/>
          <w:iCs w:val="0"/>
          <w:caps w:val="0"/>
          <w:color w:val="333333"/>
          <w:spacing w:val="0"/>
          <w:sz w:val="52"/>
          <w:szCs w:val="52"/>
          <w:bdr w:val="none" w:color="auto" w:sz="0" w:space="0"/>
          <w:shd w:val="clear" w:fill="FFFFFF"/>
        </w:rPr>
        <w:t>2024年潼南区高素质农民培育</w:t>
      </w:r>
    </w:p>
    <w:p w14:paraId="0DAE6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leftChars="0" w:right="0" w:firstLine="0" w:firstLineChars="0"/>
        <w:jc w:val="center"/>
        <w:rPr>
          <w:rFonts w:hint="default" w:ascii="Times New Roman" w:hAnsi="Times New Roman" w:cs="Times New Roman"/>
          <w:sz w:val="48"/>
          <w:szCs w:val="48"/>
        </w:rPr>
      </w:pPr>
      <w:r>
        <w:rPr>
          <w:rFonts w:hint="default" w:ascii="Times New Roman" w:hAnsi="Times New Roman" w:eastAsia="方正黑体_GBK" w:cs="Times New Roman"/>
          <w:b/>
          <w:bCs/>
          <w:i w:val="0"/>
          <w:iCs w:val="0"/>
          <w:caps w:val="0"/>
          <w:color w:val="333333"/>
          <w:spacing w:val="0"/>
          <w:sz w:val="48"/>
          <w:szCs w:val="48"/>
          <w:bdr w:val="none" w:color="auto" w:sz="0" w:space="0"/>
          <w:shd w:val="clear" w:fill="FFFFFF"/>
        </w:rPr>
        <w:t>创新创业带头人培训班</w:t>
      </w:r>
    </w:p>
    <w:p w14:paraId="07F3B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leftChars="0" w:right="0" w:firstLine="0" w:firstLineChars="0"/>
        <w:jc w:val="center"/>
        <w:rPr>
          <w:rFonts w:hint="default" w:ascii="Times New Roman" w:hAnsi="Times New Roman" w:cs="Times New Roman"/>
        </w:rPr>
      </w:pPr>
      <w: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t>培</w:t>
      </w:r>
    </w:p>
    <w:p w14:paraId="0AD91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leftChars="0" w:right="0" w:firstLine="0" w:firstLineChars="0"/>
        <w:jc w:val="center"/>
        <w:rPr>
          <w:rFonts w:hint="default" w:ascii="Times New Roman" w:hAnsi="Times New Roman" w:cs="Times New Roman"/>
        </w:rPr>
      </w:pPr>
      <w: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t>训</w:t>
      </w:r>
    </w:p>
    <w:p w14:paraId="2121A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leftChars="0" w:right="0" w:firstLine="0" w:firstLineChars="0"/>
        <w:jc w:val="center"/>
        <w:rPr>
          <w:rFonts w:hint="default" w:ascii="Times New Roman" w:hAnsi="Times New Roman" w:cs="Times New Roman"/>
        </w:rPr>
      </w:pPr>
      <w: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t>实</w:t>
      </w:r>
    </w:p>
    <w:p w14:paraId="691DE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leftChars="0" w:right="0" w:firstLine="0" w:firstLineChars="0"/>
        <w:jc w:val="center"/>
        <w:rPr>
          <w:rFonts w:hint="default" w:ascii="Times New Roman" w:hAnsi="Times New Roman" w:cs="Times New Roman"/>
        </w:rPr>
      </w:pPr>
      <w: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t>施</w:t>
      </w:r>
    </w:p>
    <w:p w14:paraId="2380B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leftChars="0" w:right="0" w:firstLine="0" w:firstLineChars="0"/>
        <w:jc w:val="center"/>
        <w:rPr>
          <w:rFonts w:hint="default" w:ascii="Times New Roman" w:hAnsi="Times New Roman" w:cs="Times New Roman"/>
        </w:rPr>
      </w:pPr>
      <w: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t>方</w:t>
      </w:r>
    </w:p>
    <w:p w14:paraId="37CEE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leftChars="0" w:right="0" w:firstLine="0" w:firstLineChars="0"/>
        <w:jc w:val="cente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pPr>
      <w:r>
        <w:rPr>
          <w:rFonts w:hint="default" w:ascii="Times New Roman" w:hAnsi="Times New Roman" w:eastAsia="方正大标宋_GBK" w:cs="Times New Roman"/>
          <w:i w:val="0"/>
          <w:iCs w:val="0"/>
          <w:caps w:val="0"/>
          <w:color w:val="333333"/>
          <w:spacing w:val="0"/>
          <w:sz w:val="84"/>
          <w:szCs w:val="84"/>
          <w:bdr w:val="none" w:color="auto" w:sz="0" w:space="0"/>
          <w:shd w:val="clear" w:fill="FFFFFF"/>
        </w:rPr>
        <w:t>案</w:t>
      </w:r>
    </w:p>
    <w:p w14:paraId="605F3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leftChars="0" w:right="0" w:firstLine="0" w:firstLineChars="0"/>
        <w:jc w:val="center"/>
        <w:rPr>
          <w:rFonts w:hint="default" w:ascii="Times New Roman" w:hAnsi="Times New Roman" w:eastAsia="黑体" w:cs="Times New Roman"/>
          <w:b/>
          <w:bCs/>
          <w:i w:val="0"/>
          <w:iCs w:val="0"/>
          <w:caps w:val="0"/>
          <w:color w:val="333333"/>
          <w:spacing w:val="0"/>
          <w:sz w:val="44"/>
          <w:szCs w:val="44"/>
          <w:bdr w:val="none" w:color="auto" w:sz="0" w:space="0"/>
          <w:shd w:val="clear" w:fill="FFFFFF"/>
        </w:rPr>
      </w:pPr>
    </w:p>
    <w:p w14:paraId="2FC81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leftChars="0" w:right="0" w:firstLine="0" w:firstLineChars="0"/>
        <w:jc w:val="center"/>
        <w:rPr>
          <w:rFonts w:hint="default" w:ascii="Times New Roman" w:hAnsi="Times New Roman" w:cs="Times New Roman"/>
          <w:sz w:val="44"/>
          <w:szCs w:val="44"/>
        </w:rPr>
      </w:pPr>
      <w:r>
        <w:rPr>
          <w:rFonts w:hint="default" w:ascii="Times New Roman" w:hAnsi="Times New Roman" w:eastAsia="黑体" w:cs="Times New Roman"/>
          <w:b/>
          <w:bCs/>
          <w:i w:val="0"/>
          <w:iCs w:val="0"/>
          <w:caps w:val="0"/>
          <w:color w:val="333333"/>
          <w:spacing w:val="0"/>
          <w:sz w:val="44"/>
          <w:szCs w:val="44"/>
          <w:bdr w:val="none" w:color="auto" w:sz="0" w:space="0"/>
          <w:shd w:val="clear" w:fill="FFFFFF"/>
        </w:rPr>
        <w:t>重庆市潼南区农业农村委员会</w:t>
      </w:r>
    </w:p>
    <w:p w14:paraId="680E0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leftChars="0" w:right="0" w:firstLine="0" w:firstLineChars="0"/>
        <w:jc w:val="center"/>
        <w:rPr>
          <w:rFonts w:hint="default" w:ascii="Times New Roman" w:hAnsi="Times New Roman" w:cs="Times New Roman"/>
          <w:sz w:val="44"/>
          <w:szCs w:val="44"/>
        </w:rPr>
      </w:pPr>
      <w:r>
        <w:rPr>
          <w:rFonts w:hint="default" w:ascii="Times New Roman" w:hAnsi="Times New Roman" w:eastAsia="黑体" w:cs="Times New Roman"/>
          <w:b/>
          <w:bCs/>
          <w:i w:val="0"/>
          <w:iCs w:val="0"/>
          <w:caps w:val="0"/>
          <w:color w:val="333333"/>
          <w:spacing w:val="0"/>
          <w:sz w:val="44"/>
          <w:szCs w:val="44"/>
          <w:bdr w:val="none" w:color="auto" w:sz="0" w:space="0"/>
          <w:shd w:val="clear" w:fill="FFFFFF"/>
        </w:rPr>
        <w:t>二〇二四年十一月</w:t>
      </w:r>
      <w:bookmarkStart w:id="0" w:name="_Toc258008842"/>
      <w:bookmarkEnd w:id="0"/>
    </w:p>
    <w:p w14:paraId="4A7C6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leftChars="0" w:right="0" w:firstLine="0" w:firstLineChars="0"/>
        <w:jc w:val="center"/>
        <w:rPr>
          <w:rFonts w:hint="default" w:ascii="Times New Roman" w:hAnsi="Times New Roman" w:cs="Times New Roman"/>
          <w:sz w:val="36"/>
          <w:szCs w:val="36"/>
        </w:rPr>
      </w:pPr>
      <w:r>
        <w:rPr>
          <w:rFonts w:hint="default" w:ascii="Times New Roman" w:hAnsi="Times New Roman" w:eastAsia="黑体" w:cs="Times New Roman"/>
          <w:i w:val="0"/>
          <w:iCs w:val="0"/>
          <w:caps w:val="0"/>
          <w:color w:val="333333"/>
          <w:spacing w:val="0"/>
          <w:sz w:val="36"/>
          <w:szCs w:val="36"/>
          <w:bdr w:val="none" w:color="auto" w:sz="0" w:space="0"/>
          <w:shd w:val="clear" w:fill="FFFFFF"/>
        </w:rPr>
        <w:t>重庆·潼南</w:t>
      </w:r>
    </w:p>
    <w:p w14:paraId="10254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Times New Roman" w:hAnsi="Times New Roman" w:eastAsia="微软雅黑" w:cs="Times New Roman"/>
          <w:i w:val="0"/>
          <w:iCs w:val="0"/>
          <w:caps w:val="0"/>
          <w:color w:val="333333"/>
          <w:spacing w:val="0"/>
          <w:sz w:val="24"/>
          <w:szCs w:val="24"/>
        </w:rPr>
      </w:pPr>
    </w:p>
    <w:p w14:paraId="531B5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p>
    <w:p w14:paraId="5EE30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i w:val="0"/>
          <w:iCs w:val="0"/>
          <w:caps w:val="0"/>
          <w:color w:val="333333"/>
          <w:spacing w:val="0"/>
          <w:sz w:val="44"/>
          <w:szCs w:val="44"/>
          <w:bdr w:val="none" w:color="auto" w:sz="0" w:space="0"/>
          <w:shd w:val="clear" w:fill="FFFFFF"/>
        </w:rPr>
        <w:t>2024年潼南区高素质农民培育</w:t>
      </w:r>
    </w:p>
    <w:p w14:paraId="0602D4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i w:val="0"/>
          <w:iCs w:val="0"/>
          <w:caps w:val="0"/>
          <w:color w:val="333333"/>
          <w:spacing w:val="0"/>
          <w:sz w:val="44"/>
          <w:szCs w:val="44"/>
          <w:bdr w:val="none" w:color="auto" w:sz="0" w:space="0"/>
          <w:shd w:val="clear" w:fill="FFFFFF"/>
        </w:rPr>
        <w:t>创新创业带头人培训班实施方案</w:t>
      </w:r>
    </w:p>
    <w:p w14:paraId="2B5C0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rPr>
      </w:pPr>
    </w:p>
    <w:p w14:paraId="62C0D7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根据重庆市农业农村委员会办公室《关于做好2024年高素质农民培育工作的通知》（渝农办发〔2024〕63号）和重庆市潼南区农业农村委员会 重庆市潼南区财政局《关于报送&lt;重庆市潼南区2024年高素质农民培育工作实施方案&gt;的报告》（潼农〔2024〕230号）文件精神，根据学员需求调研情况，结合我区产业发展实际，制定本实施方案。</w:t>
      </w:r>
    </w:p>
    <w:p w14:paraId="342F7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一、培育思路</w:t>
      </w:r>
    </w:p>
    <w:p w14:paraId="18666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深入学习贯彻习总书记视察重庆重要讲话和重要指示精神，全面落实党中央、国务院关于乡村人才振兴的决策部署，以学习运用“千村示范、万村整治”工程经验为引领，紧紧围绕农业农村高质量发展人才需求，坚持需求导向、产业主线、分层实施、全程培育，突出提升技术技能水平、提升产业发展能力、提升综合素质素养等重点，大力培育粮食安全守护者、产业发展带头人和乡村振兴主力军，为全面推进乡村振兴提供坚实人才保障。</w:t>
      </w:r>
    </w:p>
    <w:p w14:paraId="5D18FD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二、培育对象</w:t>
      </w:r>
    </w:p>
    <w:p w14:paraId="27391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本期培训班培育对象为潼南区具有初中及以上文化、年龄原则上16-60岁，以农业为职业，具有一定生产经营、收入主要来自农业的从业者。主要包括种养大户、家庭农场主、农民专业合作社骨干、农业社会化服务组织、村级集体经济组织服务能手、创业大学生、退伍军人、返乡农民工等。</w:t>
      </w:r>
    </w:p>
    <w:p w14:paraId="06AC2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三、培育目标</w:t>
      </w:r>
    </w:p>
    <w:p w14:paraId="0834A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通过培训，使学员掌握新时代强农惠农政策、创新创业新技术、直播带货等知识和技能。计划在</w:t>
      </w:r>
      <w:bookmarkStart w:id="1" w:name="_Toc367686367"/>
      <w:r>
        <w:rPr>
          <w:rFonts w:hint="default" w:ascii="Times New Roman" w:hAnsi="Times New Roman" w:eastAsia="方正仿宋_GBK" w:cs="Times New Roman"/>
          <w:i w:val="0"/>
          <w:iCs w:val="0"/>
          <w:caps w:val="0"/>
          <w:color w:val="333333"/>
          <w:spacing w:val="0"/>
          <w:sz w:val="32"/>
          <w:szCs w:val="32"/>
          <w:u w:val="none"/>
          <w:bdr w:val="none" w:color="auto" w:sz="0" w:space="0"/>
          <w:shd w:val="clear" w:fill="FFFFFF"/>
        </w:rPr>
        <w:t>潼南区招收学员50人，培训时间112学时（包括线上培训24学时）。</w:t>
      </w:r>
      <w:bookmarkEnd w:id="1"/>
    </w:p>
    <w:p w14:paraId="481E6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eastAsia="方正黑体_GBK" w:cs="Times New Roman"/>
          <w:b w:val="0"/>
          <w:bCs w:val="0"/>
          <w:i w:val="0"/>
          <w:iCs w:val="0"/>
          <w:caps w:val="0"/>
          <w:color w:val="333333"/>
          <w:spacing w:val="0"/>
          <w:sz w:val="32"/>
          <w:szCs w:val="32"/>
          <w:shd w:val="clear" w:fill="FFFFFF"/>
        </w:rPr>
      </w:pPr>
      <w:r>
        <w:rPr>
          <w:rFonts w:hint="default" w:ascii="Times New Roman" w:hAnsi="Times New Roman" w:eastAsia="方正黑体_GBK" w:cs="Times New Roman"/>
          <w:b w:val="0"/>
          <w:bCs w:val="0"/>
          <w:i w:val="0"/>
          <w:iCs w:val="0"/>
          <w:caps w:val="0"/>
          <w:color w:val="333333"/>
          <w:spacing w:val="0"/>
          <w:sz w:val="32"/>
          <w:szCs w:val="32"/>
          <w:shd w:val="clear" w:fill="FFFFFF"/>
        </w:rPr>
        <w:t>四、培训教材、师资及课程安排</w:t>
      </w:r>
    </w:p>
    <w:p w14:paraId="19FE9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560" w:lineRule="atLeast"/>
        <w:ind w:left="0" w:right="0"/>
        <w:jc w:val="center"/>
        <w:rPr>
          <w:rFonts w:hint="default" w:ascii="Times New Roman" w:hAnsi="Times New Roman" w:cs="Times New Roman"/>
        </w:rPr>
      </w:pPr>
      <w:r>
        <w:rPr>
          <w:rFonts w:hint="default" w:ascii="Times New Roman" w:hAnsi="Times New Roman" w:eastAsia="宋体" w:cs="Times New Roman"/>
          <w:b/>
          <w:bCs/>
          <w:i w:val="0"/>
          <w:iCs w:val="0"/>
          <w:caps w:val="0"/>
          <w:color w:val="333333"/>
          <w:spacing w:val="0"/>
          <w:sz w:val="30"/>
          <w:szCs w:val="30"/>
          <w:bdr w:val="none" w:color="auto" w:sz="0" w:space="0"/>
          <w:shd w:val="clear" w:fill="FFFFFF"/>
        </w:rPr>
        <w:t>2024年高素质农民培育创新创业带头人技术培训教材清单</w:t>
      </w:r>
    </w:p>
    <w:tbl>
      <w:tblPr>
        <w:tblW w:w="93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763"/>
        <w:gridCol w:w="7576"/>
      </w:tblGrid>
      <w:tr w14:paraId="338317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66" w:hRule="atLeast"/>
        </w:trPr>
        <w:tc>
          <w:tcPr>
            <w:tcW w:w="1763"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A67A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333333"/>
                <w:sz w:val="24"/>
                <w:szCs w:val="24"/>
                <w:bdr w:val="none" w:color="auto" w:sz="0" w:space="0"/>
              </w:rPr>
              <w:t>通用教材</w:t>
            </w:r>
          </w:p>
        </w:tc>
        <w:tc>
          <w:tcPr>
            <w:tcW w:w="7576"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B81A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bdr w:val="none" w:color="auto" w:sz="0" w:space="0"/>
              </w:rPr>
              <w:t>“千万工程”简明手册</w:t>
            </w:r>
          </w:p>
        </w:tc>
      </w:tr>
      <w:tr w14:paraId="4C7572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19" w:hRule="atLeast"/>
        </w:trPr>
        <w:tc>
          <w:tcPr>
            <w:tcW w:w="1763"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D229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333333"/>
                <w:sz w:val="24"/>
                <w:szCs w:val="24"/>
                <w:bdr w:val="none" w:color="auto" w:sz="0" w:space="0"/>
              </w:rPr>
              <w:t>区域教材</w:t>
            </w:r>
          </w:p>
        </w:tc>
        <w:tc>
          <w:tcPr>
            <w:tcW w:w="7576"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3D20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bdr w:val="none" w:color="auto" w:sz="0" w:space="0"/>
              </w:rPr>
              <w:t>农村电子商务基础、农村创业带头人手册、休闲农业与乡村旅游、现代农业创业</w:t>
            </w:r>
          </w:p>
        </w:tc>
      </w:tr>
      <w:tr w14:paraId="206AED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22" w:hRule="atLeast"/>
        </w:trPr>
        <w:tc>
          <w:tcPr>
            <w:tcW w:w="1763"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488B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333333"/>
                <w:sz w:val="24"/>
                <w:szCs w:val="24"/>
                <w:bdr w:val="none" w:color="auto" w:sz="0" w:space="0"/>
              </w:rPr>
              <w:t>自编教材</w:t>
            </w:r>
          </w:p>
        </w:tc>
        <w:tc>
          <w:tcPr>
            <w:tcW w:w="7576"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DCA9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bdr w:val="none" w:color="auto" w:sz="0" w:space="0"/>
              </w:rPr>
              <w:t>2024年中央一号文件与农业农村部一号文件汇编（合订本）</w:t>
            </w:r>
          </w:p>
        </w:tc>
      </w:tr>
      <w:tr w14:paraId="41C749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6" w:hRule="atLeast"/>
        </w:trPr>
        <w:tc>
          <w:tcPr>
            <w:tcW w:w="1763"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B0A4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333333"/>
                <w:sz w:val="24"/>
                <w:szCs w:val="24"/>
                <w:bdr w:val="none" w:color="auto" w:sz="0" w:space="0"/>
              </w:rPr>
              <w:t>备注</w:t>
            </w:r>
          </w:p>
        </w:tc>
        <w:tc>
          <w:tcPr>
            <w:tcW w:w="7576"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D63C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bdr w:val="none" w:color="auto" w:sz="0" w:space="0"/>
              </w:rPr>
              <w:t>每人1套，1套6本。共计50套。</w:t>
            </w:r>
          </w:p>
        </w:tc>
      </w:tr>
    </w:tbl>
    <w:p w14:paraId="678EE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采用课堂讲授、实物教学、电化教学、现场教学及实践操作相结合的方法。课堂讲授应突出重点、联系实际，借助电教设备、实物、挂图、示教板等，力求直观、形象、生动。实习课老师应做必要的讲解和示范，重点指导学员动手操作。</w:t>
      </w:r>
    </w:p>
    <w:p w14:paraId="0E9DB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7871C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091A4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5D10E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04EA1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i w:val="0"/>
          <w:iCs w:val="0"/>
          <w:caps w:val="0"/>
          <w:color w:val="333333"/>
          <w:spacing w:val="0"/>
          <w:sz w:val="28"/>
          <w:szCs w:val="28"/>
          <w:bdr w:val="none" w:color="auto" w:sz="0" w:space="0"/>
          <w:shd w:val="clear" w:fill="FFFFFF"/>
        </w:rPr>
        <w:t>2024年高素质农民培育创新创业带头人培训班课程表</w:t>
      </w:r>
    </w:p>
    <w:tbl>
      <w:tblPr>
        <w:tblW w:w="917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804"/>
        <w:gridCol w:w="1110"/>
        <w:gridCol w:w="3900"/>
        <w:gridCol w:w="960"/>
        <w:gridCol w:w="825"/>
        <w:gridCol w:w="795"/>
        <w:gridCol w:w="783"/>
      </w:tblGrid>
      <w:tr w14:paraId="7936C8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46"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79FDA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序号</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3CB5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培训时间</w:t>
            </w:r>
          </w:p>
        </w:tc>
        <w:tc>
          <w:tcPr>
            <w:tcW w:w="390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C70E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培训（考察实践）内容</w:t>
            </w:r>
          </w:p>
        </w:tc>
        <w:tc>
          <w:tcPr>
            <w:tcW w:w="96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78FE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教师</w:t>
            </w:r>
          </w:p>
          <w:p w14:paraId="4A73A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姓名</w:t>
            </w:r>
          </w:p>
        </w:tc>
        <w:tc>
          <w:tcPr>
            <w:tcW w:w="2403" w:type="dxa"/>
            <w:gridSpan w:val="3"/>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6389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培训时数</w:t>
            </w:r>
          </w:p>
        </w:tc>
      </w:tr>
      <w:tr w14:paraId="18F26A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7"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F160B7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color w:val="333333"/>
                <w:sz w:val="24"/>
                <w:szCs w:val="24"/>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C78CB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color w:val="333333"/>
                <w:sz w:val="24"/>
                <w:szCs w:val="24"/>
              </w:rPr>
            </w:pPr>
          </w:p>
        </w:tc>
        <w:tc>
          <w:tcPr>
            <w:tcW w:w="390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41E05C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color w:val="333333"/>
                <w:sz w:val="24"/>
                <w:szCs w:val="24"/>
              </w:rPr>
            </w:pPr>
          </w:p>
        </w:tc>
        <w:tc>
          <w:tcPr>
            <w:tcW w:w="96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74B4EF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color w:val="333333"/>
                <w:sz w:val="24"/>
                <w:szCs w:val="24"/>
              </w:rPr>
            </w:pP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786F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综合素养</w:t>
            </w: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3F46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专业能力</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A08A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color w:val="333333"/>
                <w:sz w:val="24"/>
                <w:szCs w:val="24"/>
                <w:bdr w:val="none" w:color="auto" w:sz="0" w:space="0"/>
              </w:rPr>
              <w:t>能力拓展</w:t>
            </w:r>
          </w:p>
        </w:tc>
      </w:tr>
      <w:tr w14:paraId="16F68D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92"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605C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1</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2976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2024年11月14日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5EBA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云上智农APP的安装、操作与应用</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1EF8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刘霞</w:t>
            </w:r>
          </w:p>
          <w:p w14:paraId="7DA2D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张晓芳</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CCF1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1.6</w:t>
            </w: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E254FD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31EF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2.4</w:t>
            </w:r>
          </w:p>
        </w:tc>
      </w:tr>
      <w:tr w14:paraId="0A5A50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8946BD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C6FF9A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7E77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高素质农民素养与现代生活</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9AA3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吴迪</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2E11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8E8B0C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122288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3CBD7D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188"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75DE2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CF0D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2024年11月15日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8480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全面推进乡村振兴的创新思路与关键举措</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4DA2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刘光德</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4D20FB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19DC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BD077A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46FCE8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EDC705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23F58E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FC28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乡村振兴与县域经济</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A3EE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孙伟</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1B0069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D8FD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38DEA6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329A22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3"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29F1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3</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DDAA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2024年11月16日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7378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乡村资源认知与创新创业启蒙</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B0FF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华进</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671D40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B751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272DC0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139CBB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8"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F6D79C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317406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A716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农产品市场调研与资源整合策略</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9726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华进</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35A8F2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C99B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9467C5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0B3B5F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3"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5F7C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0072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2024年11月17日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189F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农产品品牌化与乡村旅游服务升级</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5552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华进</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064A80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9E79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9219B9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28E35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904772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0D614B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C9B6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乡村文化传承与创新</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4F15FE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华进</w:t>
            </w:r>
          </w:p>
        </w:tc>
        <w:tc>
          <w:tcPr>
            <w:tcW w:w="8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BB7F3E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421B9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C798BB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706BD0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285175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5</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61B8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2024年11月18日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44B3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“农民主播”语言表达训练</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F913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F44FB5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9130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1BE7ED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65D5B7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8"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691587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EA6ABA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4DB7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农民主播发声训练及诵读大地诗歌</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16EE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6C5F04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A29D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77729A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48EB5A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647"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2DD9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6</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2F539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2024年11月19日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AED2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短视频拍摄技巧：手机构图和摄影技术（1.手机设备及拍摄要求，2.手机构图方法及实操，3.景别知识及多级景别的运用，4.手机构图、拍摄角度及运用，5.实操：手机8大运镜技巧，6.拍摄创意和实用操作技巧，7.实操：分镜头短视频拍摄实操）</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F284E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20CE07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5697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995ED0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5753C4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113"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CDB2AC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7374150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A1B67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短视频拍摄技巧：手机创意剪辑技术（1.剪辑软件功能简介，2.视频的剪切与转场，3.视频的关键帧与变速、动画效果，4.视频的滤镜、特效、调节，5.视频字幕和封面，6.添加音效和音乐，7.视频贴纸与画中画等，8.实操：剪辑制作口播短视频）</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6CF1A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ACD519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AE099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E3507C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4B1E02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74"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7517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7</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182D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2024年11月20日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BE91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短视频制作流程：1.最新短视频的起号方法，2.带货短视频的制作流程（编导），3.三农视频的创作方向和典型案例</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600F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DAB45C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CC49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AD2989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4253AB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659"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E3CB74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419FCA3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6925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带货短视频脚本：1.图文带货技术，2.短视频带货技术，3.团购带货技术，4.实操：辅导建立爆款选题库和视频库</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76B33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3632B1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A272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509262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3F941E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462"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C4F0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8</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755F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2024年11月21日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66C6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农产品地理标志法律保护</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00B20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吴柯苇</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F7D5FF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0CF2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3B55B5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19523B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91"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A4B7FD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294604C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667B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直播起号、运营技术：1.直播带货团队的组建和分工，2.直播策划流程和直播技术，3.巨量百应直播场控技术实操，4.实操：辅导创作直播脚本和话术演练</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2AB21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BFF26A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5E51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3F8320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41FC6A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33"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7FF84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9</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7C2EE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2024年11月22日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top"/>
          </w:tcPr>
          <w:p w14:paraId="13822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店铺和商品卡运营技术：1.抖店运营技术，2.商品卡运营技术，3.商城搜索电商运营技术</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6690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35898A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6FE3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FF131B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05E8F9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521"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CFAFEA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4E7B0BD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top"/>
          </w:tcPr>
          <w:p w14:paraId="23D3E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直播策划和直播带货实操：1.直播前的人、货、场准备，2.直播带货实操，3.直播现场复盘</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B579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邹兵</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5E0EE4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4FF05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29D641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07FEF6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80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8D96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10</w:t>
            </w:r>
          </w:p>
        </w:tc>
        <w:tc>
          <w:tcPr>
            <w:tcW w:w="1110"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65A94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2024年11月23日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DEA3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现代农业经营模式重构：电商运营</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4723C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刘光德</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ED61BE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B8E4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BC6478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0EEF67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80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F84EAA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1110"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19BBDF7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3305B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农业项目的申报与管理</w:t>
            </w:r>
          </w:p>
        </w:tc>
        <w:tc>
          <w:tcPr>
            <w:tcW w:w="96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543D5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徐东森</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FF4A15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3A4C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3D5494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333333"/>
                <w:sz w:val="21"/>
                <w:szCs w:val="21"/>
              </w:rPr>
            </w:pPr>
          </w:p>
        </w:tc>
      </w:tr>
      <w:tr w14:paraId="3C35B4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274" w:hRule="atLeast"/>
        </w:trPr>
        <w:tc>
          <w:tcPr>
            <w:tcW w:w="80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3B7B3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11</w:t>
            </w:r>
          </w:p>
        </w:tc>
        <w:tc>
          <w:tcPr>
            <w:tcW w:w="111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87E2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2024年11月14日</w:t>
            </w:r>
          </w:p>
          <w:p w14:paraId="1581E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至2024年11月23日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2274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color w:val="333333"/>
                <w:sz w:val="21"/>
                <w:szCs w:val="21"/>
                <w:bdr w:val="none" w:color="auto" w:sz="0" w:space="0"/>
              </w:rPr>
            </w:pPr>
            <w:r>
              <w:rPr>
                <w:rFonts w:hint="default" w:ascii="Times New Roman" w:hAnsi="Times New Roman" w:eastAsia="方正仿宋_GBK" w:cs="Times New Roman"/>
                <w:color w:val="333333"/>
                <w:sz w:val="21"/>
                <w:szCs w:val="21"/>
                <w:bdr w:val="none" w:color="auto" w:sz="0" w:space="0"/>
              </w:rPr>
              <w:t>学习浙江“千万工程”经验 贯彻习近平新时代中国特色社会主义思想走深走实</w:t>
            </w:r>
          </w:p>
          <w:p w14:paraId="77882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乡村创业商机与乡村产业振兴适合乡村创业的产业项目农业农村创新创业指导</w:t>
            </w:r>
          </w:p>
          <w:p w14:paraId="46108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如何降低农业创业的风险</w:t>
            </w:r>
          </w:p>
          <w:p w14:paraId="5C55DB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创业经历分享</w:t>
            </w:r>
          </w:p>
          <w:p w14:paraId="0F743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涉农企业创业管理</w:t>
            </w:r>
          </w:p>
          <w:p w14:paraId="4606F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数字赋能农业绿色发展</w:t>
            </w:r>
          </w:p>
          <w:p w14:paraId="7622D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直播带货：如何把优质农产品变成真金白银？</w:t>
            </w:r>
          </w:p>
          <w:p w14:paraId="2D347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电商助农：农产品直播卖货怎么说才有效！</w:t>
            </w:r>
          </w:p>
          <w:p w14:paraId="3AC67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数字时代农村电商发展路径与创新方法</w:t>
            </w:r>
          </w:p>
          <w:p w14:paraId="00948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全员营销观念落地实施的方法与技巧</w:t>
            </w:r>
          </w:p>
          <w:p w14:paraId="41010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产品卖点提炼的实用方法和技巧</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5F6DA5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线上</w:t>
            </w:r>
          </w:p>
          <w:p w14:paraId="26081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培训</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65EC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0.56</w:t>
            </w: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6EFCA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21.1</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26686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2.34</w:t>
            </w:r>
          </w:p>
        </w:tc>
      </w:tr>
      <w:tr w14:paraId="4C08E9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619" w:hRule="atLeast"/>
        </w:trPr>
        <w:tc>
          <w:tcPr>
            <w:tcW w:w="80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14:paraId="40FD7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12</w:t>
            </w:r>
          </w:p>
        </w:tc>
        <w:tc>
          <w:tcPr>
            <w:tcW w:w="111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089184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2024年11月24日</w:t>
            </w:r>
          </w:p>
        </w:tc>
        <w:tc>
          <w:tcPr>
            <w:tcW w:w="390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7AD01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结业考试考核、交流、总结</w:t>
            </w:r>
          </w:p>
        </w:tc>
        <w:tc>
          <w:tcPr>
            <w:tcW w:w="960"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49E3B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刘霞</w:t>
            </w:r>
          </w:p>
          <w:p w14:paraId="51DB3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张晓芳</w:t>
            </w:r>
          </w:p>
        </w:tc>
        <w:tc>
          <w:tcPr>
            <w:tcW w:w="82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FB751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w:t>
            </w:r>
          </w:p>
        </w:tc>
        <w:tc>
          <w:tcPr>
            <w:tcW w:w="795"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D4C1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2</w:t>
            </w:r>
          </w:p>
        </w:tc>
        <w:tc>
          <w:tcPr>
            <w:tcW w:w="783" w:type="dxa"/>
            <w:tcBorders>
              <w:top w:val="single" w:color="E5E5E5" w:sz="6" w:space="0"/>
              <w:left w:val="single" w:color="E5E5E5" w:sz="6" w:space="0"/>
              <w:bottom w:val="single" w:color="E5E5E5" w:sz="6" w:space="0"/>
              <w:right w:val="single" w:color="E5E5E5" w:sz="6" w:space="0"/>
            </w:tcBorders>
            <w:shd w:val="clear"/>
            <w:tcMar>
              <w:left w:w="108" w:type="dxa"/>
              <w:right w:w="101" w:type="dxa"/>
            </w:tcMar>
            <w:vAlign w:val="center"/>
          </w:tcPr>
          <w:p w14:paraId="1D271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z w:val="21"/>
                <w:szCs w:val="21"/>
                <w:bdr w:val="none" w:color="auto" w:sz="0" w:space="0"/>
              </w:rPr>
              <w:t>4</w:t>
            </w:r>
          </w:p>
        </w:tc>
      </w:tr>
    </w:tbl>
    <w:p w14:paraId="21B34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cs="Times New Roman"/>
        </w:rPr>
      </w:pPr>
    </w:p>
    <w:p w14:paraId="55B96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方正黑体_GBK" w:hAnsi="方正黑体_GBK" w:eastAsia="方正黑体_GBK" w:cs="方正黑体_GBK"/>
          <w:b w:val="0"/>
          <w:bCs w:val="0"/>
        </w:rPr>
      </w:pPr>
      <w:bookmarkStart w:id="2" w:name="_GoBack"/>
      <w:bookmarkEnd w:id="2"/>
      <w:r>
        <w:rPr>
          <w:rFonts w:hint="eastAsia" w:ascii="方正黑体_GBK" w:hAnsi="方正黑体_GBK" w:eastAsia="方正黑体_GBK" w:cs="方正黑体_GBK"/>
          <w:b w:val="0"/>
          <w:bCs w:val="0"/>
          <w:i w:val="0"/>
          <w:iCs w:val="0"/>
          <w:caps w:val="0"/>
          <w:color w:val="333333"/>
          <w:spacing w:val="0"/>
          <w:sz w:val="32"/>
          <w:szCs w:val="32"/>
          <w:bdr w:val="none" w:color="auto" w:sz="0" w:space="0"/>
          <w:shd w:val="clear" w:fill="FFFFFF"/>
        </w:rPr>
        <w:t>五、资金预算</w:t>
      </w:r>
    </w:p>
    <w:p w14:paraId="1E0A8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培训补助资金用于对农民开展免费培训的相关支出，主要用于：培训需求调研，招生宣传，学员食宿、交通费，教师讲课及食宿交通费，线上学习费用，教材资料费，档案制作费，杂支（含教室水电及清洁支出，外出交流学习费用，实作耗材，标语横幅，先进评选、文件袋、笔、笔记本，茶水）等。</w:t>
      </w:r>
    </w:p>
    <w:p w14:paraId="49947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方正黑体_GBK" w:hAnsi="方正黑体_GBK" w:eastAsia="方正黑体_GBK" w:cs="方正黑体_GBK"/>
          <w:b w:val="0"/>
          <w:bCs w:val="0"/>
          <w:i w:val="0"/>
          <w:iCs w:val="0"/>
          <w:caps w:val="0"/>
          <w:color w:val="333333"/>
          <w:spacing w:val="0"/>
          <w:sz w:val="32"/>
          <w:szCs w:val="32"/>
          <w:shd w:val="clear" w:fill="FFFFFF"/>
        </w:rPr>
      </w:pPr>
      <w:r>
        <w:rPr>
          <w:rFonts w:hint="default" w:ascii="方正黑体_GBK" w:hAnsi="方正黑体_GBK" w:eastAsia="方正黑体_GBK" w:cs="方正黑体_GBK"/>
          <w:b w:val="0"/>
          <w:bCs w:val="0"/>
          <w:i w:val="0"/>
          <w:iCs w:val="0"/>
          <w:caps w:val="0"/>
          <w:color w:val="333333"/>
          <w:spacing w:val="0"/>
          <w:sz w:val="32"/>
          <w:szCs w:val="32"/>
          <w:shd w:val="clear" w:fill="FFFFFF"/>
        </w:rPr>
        <w:t>六、宣传总结</w:t>
      </w:r>
    </w:p>
    <w:p w14:paraId="540AEC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充分利用广播、电视、报刊等传统媒体以及网络、微信、微博、抖音等新媒体，在内容、手段、形式上深度融合，采用农民喜闻乐见的形式，大力宣传实施高素质农民培育具体政策和先进典型，营造全社会关心支持高素质农民培育成长的良好氛围。</w:t>
      </w:r>
    </w:p>
    <w:p w14:paraId="22B4B3B0">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大标宋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853D2"/>
    <w:rsid w:val="3B2B029C"/>
    <w:rsid w:val="56B919CE"/>
    <w:rsid w:val="6D80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540" w:firstLineChars="20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2024-07-23T03:37:00Z</dcterms:created>
  <dc:creator>Administrator</dc:creator>
  <cp:lastModifiedBy>WPS_1691481702</cp:lastModifiedBy>
  <dcterms:modified xsi:type="dcterms:W3CDTF">2024-12-03T08:39:24Z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E0D2464DD7324F86954FAD4403A1B792</vt:lpwstr>
  </property>
</Properties>
</file>