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5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ascii="Times New Roman" w:hAnsi="Times New Roman" w:eastAsia="Courier New" w:cs="Courier New"/>
          <w:color w:val="000000"/>
          <w:kern w:val="2"/>
          <w:sz w:val="24"/>
          <w:szCs w:val="24"/>
          <w:lang w:val="zh-CN" w:eastAsia="zh-CN" w:bidi="ar-SA"/>
        </w:rPr>
        <w:pict>
          <v:shape id="WordArt: Plain Text 1028" o:spid="_x0000_s1026" alt="重 庆 市 潼 南 区 民 政 局" type="#_x0000_t136" style="position:absolute;left:0;margin-left:-1.15pt;margin-top:19.75pt;height:45.35pt;width:340.15pt;rotation:0f;z-index:251659264;" o:ole="f" fillcolor="#FF0000" filled="t" o:preferrelative="t" stroked="t" coordorigin="0,0" coordsize="21600,21600" adj="10800"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重庆市潼南区民政局" style="v-text-align:center;font-family:方正小标宋_GBK;font-size:36pt;"/>
          </v:shape>
        </w:pict>
      </w:r>
    </w:p>
    <w:p>
      <w:pPr>
        <w:widowControl w:val="0"/>
        <w:wordWrap/>
        <w:adjustRightInd/>
        <w:snapToGrid/>
        <w:spacing w:line="6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6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ascii="Times New Roman" w:hAnsi="Times New Roman" w:eastAsia="Courier New" w:cs="Courier New"/>
          <w:color w:val="000000"/>
          <w:kern w:val="2"/>
          <w:sz w:val="24"/>
          <w:szCs w:val="24"/>
          <w:lang w:val="zh-CN" w:eastAsia="zh-CN" w:bidi="ar-SA"/>
        </w:rPr>
        <w:pict>
          <v:shape id="WordArt: Plain Text 1028" o:spid="_x0000_s1027" alt="重 庆 市 潼 南 区 民 政 局" type="#_x0000_t136" style="position:absolute;left:0;margin-left:340.65pt;margin-top:17.75pt;height:39.85pt;width:78.3pt;rotation:0f;z-index:251661312;" o:ole="f" fillcolor="#FF0000" filled="t" o:preferrelative="t" stroked="t" coordorigin="0,0" coordsize="21600,21600" adj="10800"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文件" style="v-text-align:center;font-family:方正小标宋_GBK;font-size:36pt;"/>
          </v:shape>
        </w:pict>
      </w:r>
      <w:r>
        <w:rPr>
          <w:rFonts w:ascii="Times New Roman" w:hAnsi="Times New Roman" w:eastAsia="Courier New" w:cs="Courier New"/>
          <w:color w:val="000000"/>
          <w:kern w:val="2"/>
          <w:sz w:val="24"/>
          <w:szCs w:val="24"/>
          <w:lang w:val="zh-CN" w:eastAsia="zh-CN" w:bidi="ar-SA"/>
        </w:rPr>
        <w:pict>
          <v:shape id="WordArt: Plain Text 1028" o:spid="_x0000_s1028" alt="重 庆 市 潼 南 区 民 政 局" type="#_x0000_t136" style="position:absolute;left:0;margin-left:-1.15pt;margin-top:16.85pt;height:45.35pt;width:340.15pt;rotation:0f;z-index:251660288;" o:ole="f" fillcolor="#FF0000" filled="t" o:preferrelative="t" stroked="t" coordorigin="0,0" coordsize="21600,21600" adj="10800"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重庆市潼南区财政局" style="v-text-align:center;font-family:方正小标宋_GBK;font-size:36pt;"/>
          </v:shape>
        </w:pict>
      </w:r>
    </w:p>
    <w:p>
      <w:pPr>
        <w:widowControl w:val="0"/>
        <w:wordWrap/>
        <w:adjustRightInd/>
        <w:snapToGrid/>
        <w:spacing w:line="6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widowControl w:val="0"/>
        <w:wordWrap/>
        <w:adjustRightInd/>
        <w:snapToGrid/>
        <w:spacing w:line="6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ascii="Times New Roman" w:hAnsi="Times New Roman" w:eastAsia="Courier New" w:cs="Courier New"/>
          <w:color w:val="000000"/>
          <w:kern w:val="2"/>
          <w:sz w:val="24"/>
          <w:szCs w:val="24"/>
          <w:lang w:val="zh-CN" w:eastAsia="zh-CN" w:bidi="ar-SA"/>
        </w:rPr>
        <w:pict>
          <v:shape id="WordArt: Plain Text 1028" o:spid="_x0000_s1029" alt="重 庆 市 潼 南 区 民 政 局" type="#_x0000_t136" style="position:absolute;left:0;margin-left:-1.15pt;margin-top:14.4pt;height:45.35pt;width:340.15pt;rotation:0f;z-index:251658240;" o:ole="f" fillcolor="#FF0000" filled="t" o:preferrelative="t" stroked="t" coordorigin="0,0" coordsize="21600,21600" adj="10800"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重庆市潼南区人力资源和社会保障局" style="v-text-align:center;font-family:方正小标宋_GBK;font-size:36pt;"/>
          </v:shape>
        </w:pict>
      </w:r>
    </w:p>
    <w:p>
      <w:pPr>
        <w:widowControl w:val="0"/>
        <w:wordWrap/>
        <w:adjustRightInd/>
        <w:snapToGrid/>
        <w:spacing w:line="6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widowControl w:val="0"/>
        <w:wordWrap/>
        <w:adjustRightInd/>
        <w:snapToGrid/>
        <w:spacing w:line="65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widowControl w:val="0"/>
        <w:pBdr>
          <w:top w:val="none" w:color="auto" w:sz="0" w:space="1"/>
          <w:left w:val="none" w:color="auto" w:sz="0" w:space="4"/>
          <w:bottom w:val="single" w:color="FF0000" w:sz="24" w:space="0"/>
          <w:right w:val="none" w:color="auto" w:sz="0" w:space="4"/>
          <w:between w:val="none" w:color="auto" w:sz="0" w:space="0"/>
        </w:pBdr>
        <w:wordWrap/>
        <w:adjustRightInd/>
        <w:snapToGrid/>
        <w:spacing w:line="650" w:lineRule="exact"/>
        <w:ind w:left="0" w:leftChars="0" w:right="0" w:firstLine="0" w:firstLineChars="0"/>
        <w:jc w:val="center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潼民政发〔202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48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_GBK" w:cs="黑体"/>
          <w:kern w:val="3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黑体"/>
          <w:kern w:val="32"/>
          <w:sz w:val="44"/>
          <w:szCs w:val="44"/>
          <w:lang w:eastAsia="zh-CN"/>
        </w:rPr>
        <w:t>重庆市潼南区</w:t>
      </w:r>
      <w:r>
        <w:rPr>
          <w:rFonts w:hint="eastAsia" w:ascii="Times New Roman" w:hAnsi="Times New Roman" w:eastAsia="方正小标宋_GBK" w:cs="黑体"/>
          <w:kern w:val="32"/>
          <w:sz w:val="44"/>
          <w:szCs w:val="44"/>
          <w:lang w:eastAsia="zh-CN"/>
        </w:rPr>
        <w:t>民政局</w:t>
      </w: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_GBK" w:cs="黑体"/>
          <w:kern w:val="3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黑体"/>
          <w:kern w:val="32"/>
          <w:sz w:val="44"/>
          <w:szCs w:val="44"/>
          <w:lang w:eastAsia="zh-CN"/>
        </w:rPr>
        <w:t>重庆市潼南区财政局</w:t>
      </w: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_GBK" w:cs="黑体"/>
          <w:kern w:val="3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黑体"/>
          <w:kern w:val="32"/>
          <w:sz w:val="44"/>
          <w:szCs w:val="44"/>
          <w:lang w:eastAsia="zh-CN"/>
        </w:rPr>
        <w:t>重庆市潼南区人力资源和社会保障局</w:t>
      </w: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eastAsia="方正小标宋_GBK" w:cs="Times New Roman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做好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高龄津贴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发放工作的通知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各镇人民政府、街道办事处：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为</w:t>
      </w:r>
      <w:r>
        <w:rPr>
          <w:rFonts w:hint="eastAsia" w:eastAsia="方正仿宋_GBK" w:cs="Times New Roman"/>
          <w:sz w:val="32"/>
          <w:szCs w:val="32"/>
          <w:lang w:eastAsia="zh-CN"/>
        </w:rPr>
        <w:t>进一步帮助解决高龄老年人基本生活，提高高龄老年人生活质量，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eastAsia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重庆市民政局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eastAsia="zh-CN"/>
        </w:rPr>
        <w:t>重庆市财政局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eastAsia="zh-CN"/>
        </w:rPr>
        <w:t>重庆市人力资源和社会保障局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关于规范高龄津贴发放工作的通知》（渝民〔2024〕63号）文件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高龄津贴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发放工作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通知如下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一、发放对象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具有</w:t>
      </w:r>
      <w:r>
        <w:rPr>
          <w:rFonts w:hint="eastAsia" w:eastAsia="方正仿宋_GBK" w:cs="Times New Roman"/>
          <w:sz w:val="32"/>
          <w:szCs w:val="32"/>
          <w:lang w:eastAsia="zh-CN"/>
        </w:rPr>
        <w:t>潼南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区户籍且年满80周岁以上老年人。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高龄津贴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发放标准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80-89周岁老人高龄津贴标准为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元/人/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-99周岁老人高龄津贴标准为200元/人/月；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100周岁及以上老人高龄津贴标准为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00元/人/月。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、</w:t>
      </w:r>
      <w:r>
        <w:rPr>
          <w:rFonts w:hint="eastAsia" w:eastAsia="方正黑体_GBK" w:cs="Times New Roman"/>
          <w:sz w:val="32"/>
          <w:szCs w:val="32"/>
          <w:lang w:eastAsia="zh-CN"/>
        </w:rPr>
        <w:t>资金来源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高龄津贴纳入区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级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财政预算。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outlineLvl w:val="0"/>
        <w:rPr>
          <w:rFonts w:hint="default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四、发放时限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高龄津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贴发放从老年人年满80周岁当月起，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至老年人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不符合领取条件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当月止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五、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发放程序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高龄津贴采取数字化主动发放，无需老年人及其家庭申请。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由“渝快办”应用系统通过一体化数字资源系统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IRS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，共享民政、人力社保、公安等部门高龄老年人生存状态、社保卡等信息，在“渝悦养老”应用上进行数据清洗比对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并将相关信息推送至区民政局。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区民政局对通过系统确认的老年人信息直接采用，对未确认的老年人信息推送至镇人民政府、街道办事处，由镇人民政府、街道办事处组织审核户籍流转、新增、减少、补发及挂起。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信息核实无误后，由区民政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审批生成津贴发放清册，并按国库集中支付制度要求发放，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原则上应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依托惠民惠农财政补贴资金“一卡通”渠道发放到本人的银行卡，鼓励补贴对象使用社会保障卡金融账户作为其“一卡通”账户。此后自动发放、核减。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outlineLvl w:val="0"/>
        <w:rPr>
          <w:rFonts w:hint="eastAsia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六、终止情形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有下列情形之一的，应停止发放高龄津贴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1.高龄老年人死亡的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2.迁出户籍所在地的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3.信息核查中无法取得联系或无法生存认证的等其他应停止发放的。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上述情形由镇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和高龄老年人原户籍所在村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协助核查，由区民政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按规定停止发放高龄补贴。对死亡或户籍迁出的，次月起停止发放，重新迁回本区户籍的，可按规定予以发放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对信息核查中无法取得联系或无法生存认证的，从次月起停止发放，待信息核实后再按规定予以补发。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、工作要求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（一）完善工作机制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民政局要认真审定发放人员，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建立与区公安局、区人力社保局、区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卫生健康委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等部门的信息共享机制，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确保对象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身份信息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准确。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财政局要落实经费预算，确保及时发放。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民政局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区财政局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要加强高龄津贴资金的监管，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确保专款专用。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（二）加强基础管理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区民政局要加强与</w:t>
      </w:r>
      <w:r>
        <w:rPr>
          <w:rFonts w:hint="eastAsia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人力社保</w:t>
      </w:r>
      <w:r>
        <w:rPr>
          <w:rFonts w:hint="eastAsia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公安</w:t>
      </w:r>
      <w:r>
        <w:rPr>
          <w:rFonts w:hint="eastAsia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等部门对接，做好80周岁以上老年人基础数据的日常管理，督促镇（街道）、村（社区）认真做好80周岁以上老年人信息核对工作，确保不漏、不重、不错。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民政局要规范高龄津贴发放档案管理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共享</w:t>
      </w:r>
      <w:r>
        <w:rPr>
          <w:rFonts w:hint="eastAsia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公安</w:t>
      </w:r>
      <w:r>
        <w:rPr>
          <w:rFonts w:hint="eastAsia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卫生健康</w:t>
      </w:r>
      <w:r>
        <w:rPr>
          <w:rFonts w:hint="eastAsia" w:eastAsia="方正仿宋_GBK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供的死亡数据，加强与火化数据的比对，建立完善老年人动态管理制度，确保高龄津贴发放准确无误，必要时应对高龄津贴发放对象进行复核。因镇街审核不及时等情况导致高龄津贴未及时停发的，期间涉及多发的财政资金由老人户籍所在地镇（街道）进行资金追回工作。老年人或相关人员以虚报、冒领、隐瞒、伪造等手段骗取或多领高龄老人津贴的，由镇（街道）负责及时追回多发部分资金。对拒不退还者，按有关规定追究法律责任；涉嫌犯罪的，依法移送司法机关追究刑事责任。针对户籍、死亡、火化等数源错误导致错发的，探索建立尽责调查、容错免责机制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加强舆论宣传</w:t>
      </w:r>
    </w:p>
    <w:p>
      <w:pPr>
        <w:widowControl w:val="0"/>
        <w:numPr>
          <w:numId w:val="0"/>
        </w:numPr>
        <w:wordWrap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民政</w:t>
      </w:r>
      <w:r>
        <w:rPr>
          <w:rFonts w:hint="eastAsia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以及镇（街道）要加强舆论宣传，向社会公布高龄津贴的发放范围、标准和程序，在村（社区）深入宣传高龄津贴惠老政策，进一步在全社会形成敬老爱老氛围。设立举报电话，接受社会监督。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outlineLvl w:val="0"/>
        <w:rPr>
          <w:rFonts w:hint="default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八</w:t>
      </w:r>
      <w:r>
        <w:rPr>
          <w:rFonts w:hint="default" w:eastAsia="方正黑体_GBK" w:cs="Times New Roman"/>
          <w:sz w:val="32"/>
          <w:szCs w:val="32"/>
          <w:lang w:eastAsia="zh-CN"/>
        </w:rPr>
        <w:t>、实施时间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eastAsia="方正仿宋_GBK" w:cs="Times New Roman"/>
          <w:sz w:val="32"/>
          <w:szCs w:val="32"/>
          <w:lang w:eastAsia="zh-CN"/>
        </w:rPr>
        <w:t>本</w:t>
      </w:r>
      <w:r>
        <w:rPr>
          <w:rFonts w:hint="eastAsia" w:eastAsia="方正仿宋_GBK" w:cs="Times New Roman"/>
          <w:sz w:val="32"/>
          <w:szCs w:val="32"/>
          <w:lang w:eastAsia="zh-CN"/>
        </w:rPr>
        <w:t>通知</w:t>
      </w:r>
      <w:r>
        <w:rPr>
          <w:rFonts w:hint="default" w:eastAsia="方正仿宋_GBK" w:cs="Times New Roman"/>
          <w:sz w:val="32"/>
          <w:szCs w:val="32"/>
          <w:lang w:eastAsia="zh-CN"/>
        </w:rPr>
        <w:t>自2024年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eastAsia="方正仿宋_GBK" w:cs="Times New Roman"/>
          <w:sz w:val="32"/>
          <w:szCs w:val="32"/>
          <w:lang w:eastAsia="zh-CN"/>
        </w:rPr>
        <w:t>月1日起实施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实施前已满80周岁的不进行补发</w:t>
      </w:r>
      <w:r>
        <w:rPr>
          <w:rFonts w:hint="default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重庆市潼南区民政局《关于开展高龄津贴享受对象年审工作的通知》（潼民政发〔2019〕231号）文件</w:t>
      </w:r>
      <w:r>
        <w:rPr>
          <w:rFonts w:hint="eastAsia" w:eastAsia="方正仿宋_GBK" w:cs="Times New Roman"/>
          <w:sz w:val="32"/>
          <w:szCs w:val="32"/>
          <w:lang w:eastAsia="zh-CN"/>
        </w:rPr>
        <w:t>废止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widowControl w:val="0"/>
        <w:numPr>
          <w:numId w:val="0"/>
        </w:numPr>
        <w:wordWrap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eastAsia="zh-CN"/>
        </w:rPr>
        <w:t>举报/咨询电话：023-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44557540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5280" w:firstLineChars="16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5280" w:firstLineChars="16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wordWrap w:val="0"/>
        <w:adjustRightInd/>
        <w:snapToGrid/>
        <w:spacing w:line="594" w:lineRule="exact"/>
        <w:ind w:right="0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重庆市潼南区民政局      重庆市潼南区财政局       </w:t>
      </w:r>
    </w:p>
    <w:p>
      <w:pPr>
        <w:widowControl w:val="0"/>
        <w:wordWrap w:val="0"/>
        <w:adjustRightInd/>
        <w:snapToGrid/>
        <w:spacing w:line="594" w:lineRule="exact"/>
        <w:ind w:right="0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right="0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94" w:lineRule="exact"/>
        <w:ind w:right="0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right="0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重庆市潼南区人力资源和社会保障局</w:t>
      </w:r>
    </w:p>
    <w:p>
      <w:pPr>
        <w:widowControl w:val="0"/>
        <w:wordWrap w:val="0"/>
        <w:adjustRightInd/>
        <w:snapToGrid/>
        <w:spacing w:line="594" w:lineRule="exact"/>
        <w:ind w:right="0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2024年8月23日        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rPr>
          <w:rFonts w:hint="default" w:eastAsia="方正仿宋_GBK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  <w:lang w:eastAsia="zh-CN"/>
        </w:rPr>
        <w:t>（</w:t>
      </w:r>
      <w:r>
        <w:rPr>
          <w:rFonts w:hint="default" w:eastAsia="方正仿宋_GBK"/>
          <w:sz w:val="32"/>
          <w:szCs w:val="32"/>
          <w:lang w:val="en-US" w:eastAsia="zh-CN"/>
        </w:rPr>
        <w:t>此件公开发布</w:t>
      </w:r>
      <w:r>
        <w:rPr>
          <w:rFonts w:hint="default" w:eastAsia="方正仿宋_GBK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  <w:lang w:eastAsia="zh-CN"/>
        </w:rPr>
        <w:br w:type="page"/>
      </w:r>
    </w:p>
    <w:p>
      <w:pPr>
        <w:widowControl w:val="0"/>
        <w:wordWrap/>
        <w:adjustRightInd/>
        <w:snapToGrid/>
        <w:spacing w:line="68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6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6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6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6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6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 w:val="0"/>
        <w:pBdr>
          <w:top w:val="single" w:color="000000" w:sz="4" w:space="1"/>
          <w:bottom w:val="single" w:color="000000" w:sz="4" w:space="1"/>
        </w:pBdr>
        <w:wordWrap/>
        <w:overflowPunct w:val="0"/>
        <w:adjustRightInd/>
        <w:snapToGrid/>
        <w:spacing w:line="600" w:lineRule="exact"/>
        <w:ind w:left="0" w:leftChars="0" w:right="0" w:firstLine="0" w:firstLineChars="0"/>
        <w:contextualSpacing/>
        <w:jc w:val="both"/>
        <w:textAlignment w:val="center"/>
        <w:outlineLvl w:val="9"/>
        <w:rPr>
          <w:rFonts w:hint="default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　</w:t>
      </w:r>
      <w:r>
        <w:rPr>
          <w:rFonts w:hint="eastAsia" w:ascii="Times New Roman" w:hAnsi="Times New Roman" w:eastAsia="方正仿宋_GBK"/>
          <w:sz w:val="28"/>
          <w:szCs w:val="28"/>
        </w:rPr>
        <w:t>重庆市潼南区民政局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办公室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2024年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28"/>
          <w:szCs w:val="28"/>
        </w:rPr>
        <w:t>日印发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　</w:t>
      </w:r>
    </w:p>
    <w:sectPr>
      <w:headerReference r:id="rId4" w:type="default"/>
      <w:footerReference r:id="rId5" w:type="default"/>
      <w:pgSz w:w="11340" w:h="16727"/>
      <w:pgMar w:top="1984" w:right="1474" w:bottom="1644" w:left="1474" w:header="964" w:footer="1247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outside" w:y="1"/>
      <w:rPr>
        <w:rStyle w:val="7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GQ1NjAzZWI1YjU5ZmNiODFiNDcyZjE4YjMzNzc3Y2YifQ=="/>
  </w:docVars>
  <w:rsids>
    <w:rsidRoot w:val="74B704F9"/>
    <w:rsid w:val="00D13BE3"/>
    <w:rsid w:val="017C407C"/>
    <w:rsid w:val="02AF3174"/>
    <w:rsid w:val="038A1BDD"/>
    <w:rsid w:val="03F6348B"/>
    <w:rsid w:val="04C3735B"/>
    <w:rsid w:val="04D37538"/>
    <w:rsid w:val="07557695"/>
    <w:rsid w:val="086C03E0"/>
    <w:rsid w:val="08D31906"/>
    <w:rsid w:val="090E4468"/>
    <w:rsid w:val="09C94AB7"/>
    <w:rsid w:val="0A8B4C59"/>
    <w:rsid w:val="0BB743C6"/>
    <w:rsid w:val="0BC9246B"/>
    <w:rsid w:val="0CFF53BF"/>
    <w:rsid w:val="0D4A587E"/>
    <w:rsid w:val="0E280947"/>
    <w:rsid w:val="0F6929A7"/>
    <w:rsid w:val="0FEF7436"/>
    <w:rsid w:val="11D0732A"/>
    <w:rsid w:val="13244572"/>
    <w:rsid w:val="13966E30"/>
    <w:rsid w:val="14EE28E4"/>
    <w:rsid w:val="153A336F"/>
    <w:rsid w:val="15657D89"/>
    <w:rsid w:val="16724870"/>
    <w:rsid w:val="16913315"/>
    <w:rsid w:val="17703AF7"/>
    <w:rsid w:val="181E3DA1"/>
    <w:rsid w:val="186B609E"/>
    <w:rsid w:val="187F72BD"/>
    <w:rsid w:val="18A4506D"/>
    <w:rsid w:val="19301A9D"/>
    <w:rsid w:val="193D41F8"/>
    <w:rsid w:val="194C0C4D"/>
    <w:rsid w:val="19DC4FFB"/>
    <w:rsid w:val="1AB25F58"/>
    <w:rsid w:val="1AF844CE"/>
    <w:rsid w:val="1AFE05D6"/>
    <w:rsid w:val="1D0600A4"/>
    <w:rsid w:val="1D3468C1"/>
    <w:rsid w:val="1D5E26BE"/>
    <w:rsid w:val="1D881F53"/>
    <w:rsid w:val="1E063FA8"/>
    <w:rsid w:val="1E191FD2"/>
    <w:rsid w:val="1E532BCB"/>
    <w:rsid w:val="1EF736D9"/>
    <w:rsid w:val="1F8B7D69"/>
    <w:rsid w:val="224A024D"/>
    <w:rsid w:val="23F74910"/>
    <w:rsid w:val="25405A96"/>
    <w:rsid w:val="25783C88"/>
    <w:rsid w:val="275C189F"/>
    <w:rsid w:val="276B40B8"/>
    <w:rsid w:val="2AE85674"/>
    <w:rsid w:val="2B875A04"/>
    <w:rsid w:val="2C02237E"/>
    <w:rsid w:val="2C7460FF"/>
    <w:rsid w:val="2E483B46"/>
    <w:rsid w:val="2FD47B8E"/>
    <w:rsid w:val="30673565"/>
    <w:rsid w:val="31C02DAE"/>
    <w:rsid w:val="3253123E"/>
    <w:rsid w:val="32D72576"/>
    <w:rsid w:val="336D0804"/>
    <w:rsid w:val="33B92B69"/>
    <w:rsid w:val="346E05B1"/>
    <w:rsid w:val="34B54432"/>
    <w:rsid w:val="357C5A6B"/>
    <w:rsid w:val="364A573D"/>
    <w:rsid w:val="36F557B4"/>
    <w:rsid w:val="38822AC1"/>
    <w:rsid w:val="3DF763B6"/>
    <w:rsid w:val="42500FB3"/>
    <w:rsid w:val="43112896"/>
    <w:rsid w:val="43166D1E"/>
    <w:rsid w:val="44135471"/>
    <w:rsid w:val="44357175"/>
    <w:rsid w:val="45433AAF"/>
    <w:rsid w:val="45583A9E"/>
    <w:rsid w:val="47A9421E"/>
    <w:rsid w:val="489A61F6"/>
    <w:rsid w:val="49DC5B65"/>
    <w:rsid w:val="4A9D0D79"/>
    <w:rsid w:val="4A9D3546"/>
    <w:rsid w:val="4B3C1B7C"/>
    <w:rsid w:val="4CD82C22"/>
    <w:rsid w:val="4D5441E0"/>
    <w:rsid w:val="4D544769"/>
    <w:rsid w:val="503C1858"/>
    <w:rsid w:val="508D6535"/>
    <w:rsid w:val="50D756B0"/>
    <w:rsid w:val="50E36F44"/>
    <w:rsid w:val="52006417"/>
    <w:rsid w:val="532E7431"/>
    <w:rsid w:val="540013E0"/>
    <w:rsid w:val="54210D44"/>
    <w:rsid w:val="54CF4F30"/>
    <w:rsid w:val="55D36D5C"/>
    <w:rsid w:val="567A07EF"/>
    <w:rsid w:val="56B72852"/>
    <w:rsid w:val="575539D5"/>
    <w:rsid w:val="577D1316"/>
    <w:rsid w:val="58B9329D"/>
    <w:rsid w:val="59766ED3"/>
    <w:rsid w:val="5ADC5520"/>
    <w:rsid w:val="5B647768"/>
    <w:rsid w:val="5BFE68FD"/>
    <w:rsid w:val="5EC52588"/>
    <w:rsid w:val="5F48187B"/>
    <w:rsid w:val="5F746EA8"/>
    <w:rsid w:val="6224466C"/>
    <w:rsid w:val="62591DD7"/>
    <w:rsid w:val="62C14092"/>
    <w:rsid w:val="64D34D76"/>
    <w:rsid w:val="654B373B"/>
    <w:rsid w:val="66FF570B"/>
    <w:rsid w:val="6723175B"/>
    <w:rsid w:val="680726BA"/>
    <w:rsid w:val="69CF4224"/>
    <w:rsid w:val="6B735ED1"/>
    <w:rsid w:val="6B901C87"/>
    <w:rsid w:val="6BD8703B"/>
    <w:rsid w:val="6C7D608C"/>
    <w:rsid w:val="70375E28"/>
    <w:rsid w:val="708440B8"/>
    <w:rsid w:val="70A30103"/>
    <w:rsid w:val="71E93270"/>
    <w:rsid w:val="72035AD5"/>
    <w:rsid w:val="730D09BA"/>
    <w:rsid w:val="73825D4D"/>
    <w:rsid w:val="74B704F9"/>
    <w:rsid w:val="750E27C7"/>
    <w:rsid w:val="75A90CDB"/>
    <w:rsid w:val="75D23B5A"/>
    <w:rsid w:val="78F96906"/>
    <w:rsid w:val="7AB65962"/>
    <w:rsid w:val="7AB80E65"/>
    <w:rsid w:val="7B9265CA"/>
    <w:rsid w:val="FFB683B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1824</Words>
  <Characters>1930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2024-01-17T10:18:00Z</dcterms:created>
  <dc:creator>胡图</dc:creator>
  <cp:lastModifiedBy>Administrator</cp:lastModifiedBy>
  <cp:lastPrinted>2024-08-13T10:15:00Z</cp:lastPrinted>
  <dcterms:modified xsi:type="dcterms:W3CDTF">2024-08-23T10:18:21Z</dcterms:modified>
  <dc:title>潼民政发〔2024〕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33643325705D40AD9AEDB3F35BF456EA_13</vt:lpwstr>
  </property>
</Properties>
</file>