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0" w:lineRule="exact"/>
        <w:jc w:val="center"/>
        <w:rPr>
          <w:rFonts w:ascii="宋体" w:hAnsi="宋体"/>
          <w:color w:val="000000"/>
          <w:sz w:val="84"/>
          <w:szCs w:val="84"/>
        </w:rPr>
      </w:pPr>
      <w:r>
        <w:rPr>
          <w:rFonts w:hint="eastAsia" w:ascii="宋体" w:hAnsi="宋体"/>
          <w:color w:val="000000"/>
          <w:sz w:val="84"/>
          <w:szCs w:val="84"/>
        </w:rPr>
        <w:t>招 标 文 件</w:t>
      </w:r>
    </w:p>
    <w:p>
      <w:pPr>
        <w:spacing w:line="1600" w:lineRule="exact"/>
        <w:jc w:val="center"/>
        <w:rPr>
          <w:rFonts w:ascii="宋体" w:hAnsi="宋体"/>
          <w:color w:val="000000"/>
          <w:sz w:val="84"/>
          <w:szCs w:val="84"/>
        </w:rPr>
      </w:pPr>
    </w:p>
    <w:p>
      <w:pPr>
        <w:spacing w:line="400" w:lineRule="exact"/>
        <w:ind w:right="12"/>
        <w:rPr>
          <w:rFonts w:ascii="宋体" w:hAnsi="宋体" w:eastAsia="仿宋_GB2312"/>
          <w:color w:val="000000"/>
          <w:sz w:val="84"/>
          <w:szCs w:val="84"/>
        </w:rPr>
      </w:pPr>
      <w:r>
        <w:rPr>
          <w:rFonts w:hint="eastAsia" w:ascii="仿宋_GB2312" w:eastAsia="仿宋_GB2312"/>
          <w:color w:val="000000"/>
          <w:sz w:val="32"/>
          <w:szCs w:val="32"/>
        </w:rPr>
        <w:t>项目名称：</w:t>
      </w:r>
      <w:r>
        <w:rPr>
          <w:rFonts w:hint="eastAsia" w:ascii="仿宋_GB2312" w:eastAsia="仿宋_GB2312"/>
          <w:color w:val="000000"/>
          <w:sz w:val="32"/>
          <w:szCs w:val="32"/>
          <w:lang w:val="en-US" w:eastAsia="zh-CN"/>
        </w:rPr>
        <w:t>坤煌（潼南）食品产业园</w:t>
      </w:r>
      <w:r>
        <w:rPr>
          <w:rFonts w:hint="eastAsia" w:ascii="仿宋_GB2312" w:eastAsia="仿宋_GB2312"/>
          <w:color w:val="000000"/>
          <w:sz w:val="32"/>
          <w:szCs w:val="32"/>
        </w:rPr>
        <w:t>前期物业管理服务</w:t>
      </w:r>
    </w:p>
    <w:p>
      <w:pPr>
        <w:spacing w:line="600" w:lineRule="exact"/>
        <w:ind w:right="-372"/>
        <w:rPr>
          <w:rFonts w:hint="default" w:ascii="仿宋_GB2312" w:eastAsia="仿宋_GB2312"/>
          <w:color w:val="000000"/>
          <w:sz w:val="32"/>
          <w:szCs w:val="32"/>
          <w:lang w:val="en-US" w:eastAsia="zh-CN"/>
        </w:rPr>
      </w:pPr>
      <w:r>
        <w:rPr>
          <w:rFonts w:hint="eastAsia" w:ascii="仿宋_GB2312" w:eastAsia="仿宋_GB2312"/>
          <w:color w:val="000000"/>
          <w:sz w:val="32"/>
          <w:szCs w:val="32"/>
        </w:rPr>
        <w:t xml:space="preserve">招标编号: </w:t>
      </w:r>
      <w:r>
        <w:rPr>
          <w:rFonts w:hint="eastAsia" w:ascii="仿宋_GB2312" w:eastAsia="仿宋_GB2312"/>
          <w:color w:val="000000"/>
          <w:sz w:val="32"/>
          <w:szCs w:val="32"/>
          <w:lang w:val="en-US" w:eastAsia="zh-CN"/>
        </w:rPr>
        <w:t>KHWYZB</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p>
    <w:p>
      <w:pPr>
        <w:spacing w:line="600" w:lineRule="exact"/>
        <w:rPr>
          <w:rFonts w:ascii="仿宋_GB2312" w:eastAsia="仿宋_GB2312"/>
          <w:color w:val="000000"/>
          <w:sz w:val="32"/>
          <w:szCs w:val="32"/>
        </w:rPr>
      </w:pPr>
      <w:r>
        <w:rPr>
          <w:rFonts w:hint="eastAsia" w:ascii="仿宋_GB2312" w:eastAsia="仿宋_GB2312"/>
          <w:color w:val="000000"/>
          <w:sz w:val="32"/>
          <w:szCs w:val="32"/>
        </w:rPr>
        <w:t>招标方式：公开招标</w:t>
      </w:r>
    </w:p>
    <w:p>
      <w:pPr>
        <w:spacing w:before="100" w:beforeAutospacing="1" w:after="100" w:afterAutospacing="1"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400" w:lineRule="exact"/>
        <w:ind w:right="12" w:firstLine="1200" w:firstLineChars="400"/>
        <w:rPr>
          <w:rFonts w:ascii="仿宋_GB2312" w:eastAsia="仿宋_GB2312"/>
          <w:color w:val="000000"/>
          <w:sz w:val="30"/>
          <w:szCs w:val="30"/>
        </w:rPr>
      </w:pPr>
    </w:p>
    <w:p>
      <w:pPr>
        <w:spacing w:line="400" w:lineRule="exact"/>
        <w:ind w:right="12" w:firstLine="1200" w:firstLineChars="400"/>
        <w:rPr>
          <w:rFonts w:ascii="仿宋_GB2312" w:eastAsia="仿宋_GB2312"/>
          <w:color w:val="000000"/>
          <w:sz w:val="30"/>
          <w:szCs w:val="30"/>
        </w:rPr>
      </w:pPr>
    </w:p>
    <w:p>
      <w:pPr>
        <w:spacing w:line="400" w:lineRule="exact"/>
        <w:ind w:right="12" w:firstLine="1200" w:firstLineChars="400"/>
        <w:rPr>
          <w:rFonts w:ascii="仿宋_GB2312" w:eastAsia="仿宋_GB2312"/>
          <w:color w:val="000000"/>
          <w:sz w:val="30"/>
          <w:szCs w:val="30"/>
        </w:rPr>
      </w:pPr>
    </w:p>
    <w:p>
      <w:pPr>
        <w:spacing w:line="400" w:lineRule="exact"/>
        <w:ind w:right="12" w:firstLine="1200" w:firstLineChars="400"/>
        <w:rPr>
          <w:rFonts w:ascii="仿宋_GB2312" w:eastAsia="仿宋_GB2312"/>
          <w:color w:val="000000"/>
          <w:sz w:val="30"/>
          <w:szCs w:val="30"/>
        </w:rPr>
      </w:pPr>
    </w:p>
    <w:p>
      <w:pPr>
        <w:spacing w:line="400" w:lineRule="exact"/>
        <w:ind w:right="12" w:firstLine="1200" w:firstLineChars="400"/>
        <w:rPr>
          <w:rFonts w:ascii="仿宋_GB2312" w:eastAsia="仿宋_GB2312"/>
          <w:color w:val="000000"/>
          <w:sz w:val="30"/>
          <w:szCs w:val="30"/>
        </w:rPr>
      </w:pPr>
    </w:p>
    <w:p>
      <w:pPr>
        <w:spacing w:line="400" w:lineRule="exact"/>
        <w:ind w:right="12" w:firstLine="1200" w:firstLineChars="400"/>
        <w:rPr>
          <w:rFonts w:ascii="仿宋_GB2312" w:eastAsia="仿宋_GB2312"/>
          <w:color w:val="000000"/>
          <w:sz w:val="30"/>
          <w:szCs w:val="30"/>
        </w:rPr>
      </w:pPr>
    </w:p>
    <w:p>
      <w:pPr>
        <w:spacing w:line="400" w:lineRule="exact"/>
        <w:ind w:right="12" w:firstLine="1200" w:firstLineChars="400"/>
        <w:rPr>
          <w:rFonts w:hint="eastAsia" w:ascii="仿宋_GB2312" w:eastAsia="仿宋_GB2312"/>
          <w:color w:val="000000"/>
          <w:sz w:val="30"/>
          <w:szCs w:val="30"/>
          <w:lang w:eastAsia="zh-CN"/>
        </w:rPr>
      </w:pPr>
      <w:r>
        <w:rPr>
          <w:rFonts w:hint="eastAsia" w:ascii="仿宋_GB2312" w:eastAsia="仿宋_GB2312"/>
          <w:color w:val="000000"/>
          <w:sz w:val="30"/>
          <w:szCs w:val="30"/>
        </w:rPr>
        <w:t>招标单位：</w:t>
      </w:r>
      <w:r>
        <w:rPr>
          <w:rFonts w:hint="eastAsia" w:ascii="仿宋_GB2312" w:eastAsia="仿宋_GB2312"/>
          <w:color w:val="000000"/>
          <w:sz w:val="30"/>
          <w:szCs w:val="30"/>
          <w:lang w:eastAsia="zh-CN"/>
        </w:rPr>
        <w:t>重庆坤煌潼帆实业有限公司</w:t>
      </w:r>
    </w:p>
    <w:p>
      <w:pPr>
        <w:pStyle w:val="18"/>
      </w:pPr>
    </w:p>
    <w:p>
      <w:pPr>
        <w:spacing w:line="500" w:lineRule="exact"/>
        <w:ind w:firstLine="1050" w:firstLineChars="350"/>
        <w:rPr>
          <w:rFonts w:ascii="仿宋_GB2312" w:eastAsia="仿宋_GB2312"/>
          <w:color w:val="000000"/>
          <w:sz w:val="30"/>
          <w:szCs w:val="30"/>
        </w:rPr>
      </w:pPr>
      <w:r>
        <w:rPr>
          <w:rFonts w:hint="eastAsia" w:ascii="仿宋_GB2312" w:eastAsia="仿宋_GB2312"/>
          <w:color w:val="000000"/>
          <w:sz w:val="30"/>
          <w:szCs w:val="30"/>
        </w:rPr>
        <w:t>招标代理机构：重庆立显企业管理顾问有限公司</w:t>
      </w:r>
    </w:p>
    <w:p>
      <w:pPr>
        <w:widowControl/>
        <w:ind w:firstLine="3534" w:firstLineChars="1100"/>
        <w:jc w:val="left"/>
        <w:rPr>
          <w:rFonts w:ascii="仿宋_GB2312" w:eastAsia="仿宋_GB2312"/>
          <w:b/>
          <w:bCs/>
          <w:color w:val="000000"/>
          <w:sz w:val="32"/>
          <w:szCs w:val="32"/>
        </w:rPr>
      </w:pPr>
    </w:p>
    <w:p>
      <w:pPr>
        <w:widowControl/>
        <w:ind w:firstLine="3534" w:firstLineChars="1100"/>
        <w:jc w:val="left"/>
        <w:rPr>
          <w:rFonts w:ascii="仿宋_GB2312" w:eastAsia="仿宋_GB2312"/>
          <w:b/>
          <w:bCs/>
          <w:color w:val="000000"/>
          <w:sz w:val="32"/>
          <w:szCs w:val="32"/>
        </w:rPr>
      </w:pPr>
      <w:r>
        <w:rPr>
          <w:rFonts w:hint="eastAsia" w:ascii="仿宋_GB2312" w:eastAsia="仿宋_GB2312"/>
          <w:b/>
          <w:bCs/>
          <w:color w:val="000000"/>
          <w:sz w:val="32"/>
          <w:szCs w:val="32"/>
        </w:rPr>
        <w:t>202</w:t>
      </w:r>
      <w:r>
        <w:rPr>
          <w:rFonts w:hint="eastAsia" w:ascii="仿宋_GB2312" w:eastAsia="仿宋_GB2312"/>
          <w:b/>
          <w:bCs/>
          <w:color w:val="000000"/>
          <w:sz w:val="32"/>
          <w:szCs w:val="32"/>
          <w:lang w:val="en-US" w:eastAsia="zh-CN"/>
        </w:rPr>
        <w:t>2</w:t>
      </w:r>
      <w:r>
        <w:rPr>
          <w:rFonts w:hint="eastAsia" w:ascii="仿宋_GB2312" w:eastAsia="仿宋_GB2312"/>
          <w:b/>
          <w:bCs/>
          <w:color w:val="000000"/>
          <w:sz w:val="32"/>
          <w:szCs w:val="32"/>
        </w:rPr>
        <w:t>年</w:t>
      </w:r>
      <w:r>
        <w:rPr>
          <w:rFonts w:hint="eastAsia" w:ascii="仿宋_GB2312" w:eastAsia="仿宋_GB2312"/>
          <w:b/>
          <w:bCs/>
          <w:color w:val="000000"/>
          <w:sz w:val="32"/>
          <w:szCs w:val="32"/>
          <w:lang w:val="en-US" w:eastAsia="zh-CN"/>
        </w:rPr>
        <w:t>3</w:t>
      </w:r>
      <w:r>
        <w:rPr>
          <w:rFonts w:hint="eastAsia" w:ascii="仿宋_GB2312" w:eastAsia="仿宋_GB2312"/>
          <w:b/>
          <w:bCs/>
          <w:color w:val="000000"/>
          <w:sz w:val="32"/>
          <w:szCs w:val="32"/>
        </w:rPr>
        <w:t>月</w:t>
      </w:r>
      <w:r>
        <w:rPr>
          <w:rFonts w:hint="eastAsia" w:ascii="仿宋_GB2312" w:eastAsia="仿宋_GB2312"/>
          <w:b/>
          <w:bCs/>
          <w:color w:val="000000"/>
          <w:sz w:val="32"/>
          <w:szCs w:val="32"/>
          <w:lang w:val="en-US" w:eastAsia="zh-CN"/>
        </w:rPr>
        <w:t>25</w:t>
      </w:r>
      <w:r>
        <w:rPr>
          <w:rFonts w:hint="eastAsia" w:ascii="仿宋_GB2312" w:eastAsia="仿宋_GB2312"/>
          <w:b/>
          <w:bCs/>
          <w:color w:val="000000"/>
          <w:sz w:val="32"/>
          <w:szCs w:val="32"/>
        </w:rPr>
        <w:t>日</w:t>
      </w:r>
    </w:p>
    <w:p>
      <w:pPr>
        <w:widowControl/>
        <w:jc w:val="left"/>
        <w:rPr>
          <w:rFonts w:ascii="仿宋_GB2312" w:eastAsia="仿宋_GB2312"/>
          <w:b/>
          <w:bCs/>
          <w:color w:val="000000"/>
          <w:sz w:val="32"/>
          <w:szCs w:val="32"/>
        </w:rPr>
      </w:pPr>
    </w:p>
    <w:p>
      <w:pPr>
        <w:pStyle w:val="2"/>
      </w:pPr>
    </w:p>
    <w:p>
      <w:pPr>
        <w:pStyle w:val="2"/>
      </w:pPr>
    </w:p>
    <w:p>
      <w:pPr>
        <w:widowControl/>
        <w:jc w:val="center"/>
        <w:rPr>
          <w:rFonts w:ascii="宋体" w:hAnsi="宋体"/>
          <w:color w:val="000000"/>
          <w:sz w:val="32"/>
          <w:szCs w:val="32"/>
        </w:rPr>
      </w:pPr>
      <w:r>
        <w:rPr>
          <w:rFonts w:hint="eastAsia" w:ascii="仿宋_GB2312" w:eastAsia="仿宋_GB2312"/>
          <w:b/>
          <w:bCs/>
          <w:color w:val="000000"/>
          <w:sz w:val="32"/>
          <w:szCs w:val="32"/>
        </w:rPr>
        <w:t>目</w:t>
      </w:r>
      <w:r>
        <w:rPr>
          <w:rFonts w:hint="eastAsia" w:ascii="宋体" w:hAnsi="宋体"/>
          <w:color w:val="000000"/>
          <w:sz w:val="32"/>
          <w:szCs w:val="32"/>
        </w:rPr>
        <w:t xml:space="preserve">    录</w:t>
      </w:r>
    </w:p>
    <w:p>
      <w:pPr>
        <w:spacing w:before="120" w:after="120"/>
        <w:jc w:val="left"/>
        <w:rPr>
          <w:rFonts w:ascii="宋体" w:hAnsi="宋体"/>
          <w:caps/>
          <w:color w:val="000000"/>
          <w:szCs w:val="21"/>
        </w:rPr>
      </w:pPr>
      <w:r>
        <w:rPr>
          <w:rFonts w:hint="eastAsia" w:ascii="宋体" w:hAnsi="宋体"/>
          <w:caps/>
          <w:color w:val="000000"/>
          <w:szCs w:val="21"/>
        </w:rPr>
        <w:t>第一篇 投标邀请书</w:t>
      </w:r>
      <w:r>
        <w:rPr>
          <w:rFonts w:ascii="宋体" w:hAnsi="宋体"/>
          <w:caps/>
          <w:color w:val="000000"/>
          <w:szCs w:val="21"/>
        </w:rPr>
        <w:t>………………………………………………………………………………</w:t>
      </w:r>
      <w:r>
        <w:rPr>
          <w:caps/>
          <w:color w:val="000000"/>
          <w:szCs w:val="21"/>
        </w:rPr>
        <w:tab/>
      </w:r>
      <w:r>
        <w:rPr>
          <w:rFonts w:hint="eastAsia"/>
          <w:caps/>
          <w:color w:val="000000"/>
          <w:szCs w:val="21"/>
        </w:rPr>
        <w:t>4</w:t>
      </w:r>
    </w:p>
    <w:p>
      <w:pPr>
        <w:spacing w:before="120" w:after="120"/>
        <w:jc w:val="left"/>
        <w:rPr>
          <w:color w:val="000000"/>
          <w:szCs w:val="21"/>
        </w:rPr>
      </w:pPr>
      <w:r>
        <w:rPr>
          <w:rFonts w:hint="eastAsia" w:ascii="宋体" w:hAnsi="宋体"/>
          <w:caps/>
          <w:color w:val="000000"/>
          <w:szCs w:val="21"/>
        </w:rPr>
        <w:t>第二篇 项目介绍和服务要求</w:t>
      </w:r>
      <w:r>
        <w:rPr>
          <w:rFonts w:ascii="宋体" w:hAnsi="宋体"/>
          <w:caps/>
          <w:color w:val="000000"/>
          <w:szCs w:val="21"/>
        </w:rPr>
        <w:t>……………………………………………………………………</w:t>
      </w:r>
      <w:r>
        <w:rPr>
          <w:rFonts w:hint="eastAsia" w:ascii="宋体" w:hAnsi="宋体"/>
          <w:caps/>
          <w:color w:val="000000"/>
          <w:szCs w:val="21"/>
        </w:rPr>
        <w:t xml:space="preserve">   </w:t>
      </w:r>
      <w:r>
        <w:rPr>
          <w:rFonts w:hint="eastAsia"/>
          <w:caps/>
          <w:color w:val="000000"/>
          <w:szCs w:val="21"/>
        </w:rPr>
        <w:t>6</w:t>
      </w:r>
    </w:p>
    <w:p>
      <w:pPr>
        <w:spacing w:before="120" w:after="120"/>
        <w:jc w:val="left"/>
        <w:rPr>
          <w:color w:val="000000"/>
          <w:szCs w:val="21"/>
        </w:rPr>
      </w:pPr>
      <w:r>
        <w:rPr>
          <w:rFonts w:hint="eastAsia" w:ascii="宋体" w:hAnsi="宋体"/>
          <w:caps/>
          <w:color w:val="000000"/>
          <w:szCs w:val="21"/>
        </w:rPr>
        <w:t>第三篇 项目商务要求</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w:t>
      </w:r>
      <w:r>
        <w:rPr>
          <w:rFonts w:hint="eastAsia"/>
          <w:caps/>
          <w:color w:val="000000"/>
          <w:szCs w:val="21"/>
        </w:rPr>
        <w:t>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一、服务时间</w:t>
      </w:r>
      <w:r>
        <w:rPr>
          <w:rFonts w:ascii="宋体" w:hAnsi="宋体"/>
          <w:smallCaps/>
          <w:color w:val="000000"/>
          <w:szCs w:val="21"/>
        </w:rPr>
        <w:t>………………………………………………………</w:t>
      </w:r>
      <w:r>
        <w:rPr>
          <w:rFonts w:hint="eastAsia" w:ascii="宋体" w:hAnsi="宋体"/>
          <w:smallCaps/>
          <w:color w:val="000000"/>
          <w:szCs w:val="21"/>
        </w:rPr>
        <w:t>………………………</w:t>
      </w:r>
      <w:r>
        <w:rPr>
          <w:rFonts w:ascii="宋体" w:hAnsi="宋体"/>
          <w:smallCaps/>
          <w:color w:val="000000"/>
          <w:szCs w:val="21"/>
        </w:rPr>
        <w:t>…</w:t>
      </w:r>
      <w:r>
        <w:rPr>
          <w:rFonts w:hint="eastAsia" w:ascii="宋体" w:hAnsi="宋体"/>
          <w:smallCaps/>
          <w:color w:val="000000"/>
          <w:szCs w:val="21"/>
        </w:rPr>
        <w:t xml:space="preserve">    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二、地点</w:t>
      </w:r>
      <w:r>
        <w:rPr>
          <w:rFonts w:ascii="宋体" w:hAnsi="宋体"/>
          <w:smallCaps/>
          <w:color w:val="000000"/>
          <w:szCs w:val="21"/>
        </w:rPr>
        <w:t>…………………………………………………………………</w:t>
      </w:r>
      <w:r>
        <w:rPr>
          <w:rFonts w:hint="eastAsia" w:ascii="宋体" w:hAnsi="宋体"/>
          <w:smallCaps/>
          <w:color w:val="000000"/>
          <w:szCs w:val="21"/>
        </w:rPr>
        <w:t>……………………    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三、质量保证及售后服务</w:t>
      </w:r>
      <w:r>
        <w:rPr>
          <w:rFonts w:ascii="宋体" w:hAnsi="宋体"/>
          <w:smallCaps/>
          <w:color w:val="000000"/>
          <w:szCs w:val="21"/>
        </w:rPr>
        <w:t>……………………………………………………………………</w:t>
      </w:r>
      <w:r>
        <w:rPr>
          <w:smallCaps/>
          <w:color w:val="000000"/>
          <w:szCs w:val="21"/>
        </w:rPr>
        <w:tab/>
      </w:r>
      <w:r>
        <w:rPr>
          <w:rFonts w:hint="eastAsia" w:ascii="宋体" w:hAnsi="宋体"/>
          <w:smallCaps/>
          <w:color w:val="000000"/>
          <w:szCs w:val="21"/>
        </w:rPr>
        <w:t>7</w:t>
      </w:r>
    </w:p>
    <w:p>
      <w:pPr>
        <w:spacing w:before="100" w:beforeAutospacing="1" w:after="100" w:afterAutospacing="1"/>
        <w:ind w:left="280"/>
        <w:jc w:val="left"/>
        <w:rPr>
          <w:color w:val="000000"/>
          <w:szCs w:val="21"/>
        </w:rPr>
      </w:pPr>
      <w:r>
        <w:rPr>
          <w:rFonts w:hint="eastAsia" w:ascii="宋体" w:hAnsi="宋体"/>
          <w:smallCaps/>
          <w:color w:val="000000"/>
          <w:szCs w:val="21"/>
        </w:rPr>
        <w:t>四、知识产权</w:t>
      </w:r>
      <w:r>
        <w:rPr>
          <w:rFonts w:ascii="宋体" w:hAnsi="宋体"/>
          <w:smallCaps/>
          <w:color w:val="000000"/>
          <w:szCs w:val="21"/>
        </w:rPr>
        <w:t>…………………………………………………………………………………</w:t>
      </w:r>
      <w:r>
        <w:rPr>
          <w:smallCaps/>
          <w:color w:val="000000"/>
          <w:szCs w:val="21"/>
        </w:rPr>
        <w:tab/>
      </w:r>
      <w:r>
        <w:rPr>
          <w:rFonts w:hint="eastAsia"/>
          <w:smallCaps/>
          <w:color w:val="000000"/>
          <w:szCs w:val="21"/>
        </w:rPr>
        <w:t>7</w:t>
      </w:r>
    </w:p>
    <w:p>
      <w:pPr>
        <w:spacing w:before="100" w:beforeAutospacing="1" w:after="100" w:afterAutospacing="1"/>
        <w:ind w:left="280"/>
        <w:jc w:val="left"/>
        <w:rPr>
          <w:color w:val="000000"/>
          <w:szCs w:val="21"/>
        </w:rPr>
      </w:pPr>
      <w:r>
        <w:rPr>
          <w:rFonts w:hint="eastAsia" w:ascii="宋体" w:hAnsi="宋体"/>
          <w:smallCaps/>
          <w:color w:val="000000"/>
          <w:szCs w:val="21"/>
        </w:rPr>
        <w:t>五、其他未尽事宜</w:t>
      </w:r>
      <w:r>
        <w:rPr>
          <w:rFonts w:ascii="宋体" w:hAnsi="宋体"/>
          <w:smallCaps/>
          <w:color w:val="000000"/>
          <w:szCs w:val="21"/>
        </w:rPr>
        <w:t>……………………………………………………………………………</w:t>
      </w:r>
      <w:r>
        <w:rPr>
          <w:smallCaps/>
          <w:color w:val="000000"/>
          <w:szCs w:val="21"/>
        </w:rPr>
        <w:tab/>
      </w:r>
      <w:r>
        <w:rPr>
          <w:rFonts w:hint="eastAsia"/>
          <w:smallCaps/>
          <w:color w:val="000000"/>
          <w:szCs w:val="21"/>
        </w:rPr>
        <w:t>7</w:t>
      </w:r>
    </w:p>
    <w:p>
      <w:pPr>
        <w:spacing w:before="120" w:after="120"/>
        <w:jc w:val="left"/>
        <w:rPr>
          <w:color w:val="000000"/>
          <w:szCs w:val="21"/>
        </w:rPr>
      </w:pPr>
      <w:r>
        <w:rPr>
          <w:rFonts w:hint="eastAsia" w:ascii="宋体" w:hAnsi="宋体"/>
          <w:caps/>
          <w:color w:val="000000"/>
          <w:szCs w:val="21"/>
        </w:rPr>
        <w:t xml:space="preserve">第四篇 </w:t>
      </w:r>
      <w:r>
        <w:rPr>
          <w:rFonts w:hint="eastAsia" w:ascii="宋体" w:hAnsi="宋体"/>
          <w:caps/>
          <w:color w:val="000000"/>
          <w:kern w:val="36"/>
          <w:szCs w:val="21"/>
        </w:rPr>
        <w:t>评标方法、评标标准、无效投标条款和废标条款</w:t>
      </w:r>
      <w:r>
        <w:rPr>
          <w:rFonts w:ascii="宋体" w:hAnsi="宋体"/>
          <w:caps/>
          <w:color w:val="000000"/>
          <w:kern w:val="36"/>
          <w:szCs w:val="21"/>
        </w:rPr>
        <w:t>……………………………………</w:t>
      </w:r>
      <w:r>
        <w:rPr>
          <w:caps/>
          <w:color w:val="000000"/>
          <w:szCs w:val="21"/>
        </w:rPr>
        <w:tab/>
      </w:r>
      <w:r>
        <w:rPr>
          <w:rFonts w:hint="eastAsia"/>
          <w:caps/>
          <w:color w:val="000000"/>
          <w:szCs w:val="21"/>
        </w:rPr>
        <w:t>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kern w:val="0"/>
          <w:szCs w:val="21"/>
        </w:rPr>
        <w:t>一、评标方法</w:t>
      </w:r>
      <w:r>
        <w:rPr>
          <w:rFonts w:ascii="宋体" w:hAnsi="宋体"/>
          <w:smallCaps/>
          <w:color w:val="000000"/>
          <w:kern w:val="0"/>
          <w:szCs w:val="21"/>
        </w:rPr>
        <w:t>…………………………………………………………………………………</w:t>
      </w:r>
      <w:r>
        <w:rPr>
          <w:smallCaps/>
          <w:color w:val="000000"/>
          <w:szCs w:val="21"/>
        </w:rPr>
        <w:tab/>
      </w:r>
      <w:r>
        <w:rPr>
          <w:rFonts w:hint="eastAsia" w:ascii="宋体" w:hAnsi="宋体"/>
          <w:smallCaps/>
          <w:color w:val="000000"/>
          <w:szCs w:val="21"/>
        </w:rPr>
        <w:t>7</w:t>
      </w:r>
    </w:p>
    <w:p>
      <w:pPr>
        <w:spacing w:before="100" w:beforeAutospacing="1" w:after="100" w:afterAutospacing="1"/>
        <w:ind w:left="280"/>
        <w:jc w:val="left"/>
        <w:rPr>
          <w:color w:val="000000"/>
          <w:szCs w:val="21"/>
        </w:rPr>
      </w:pPr>
      <w:r>
        <w:rPr>
          <w:rFonts w:hint="eastAsia" w:ascii="宋体" w:hAnsi="宋体"/>
          <w:smallCaps/>
          <w:color w:val="000000"/>
          <w:kern w:val="0"/>
          <w:szCs w:val="21"/>
        </w:rPr>
        <w:t>二、评标标准</w:t>
      </w:r>
      <w:r>
        <w:rPr>
          <w:rFonts w:ascii="宋体" w:hAnsi="宋体"/>
          <w:smallCaps/>
          <w:color w:val="000000"/>
          <w:kern w:val="0"/>
          <w:szCs w:val="21"/>
        </w:rPr>
        <w:t>…………………………………………………………………………………</w:t>
      </w:r>
      <w:r>
        <w:rPr>
          <w:smallCaps/>
          <w:color w:val="000000"/>
          <w:szCs w:val="21"/>
        </w:rPr>
        <w:tab/>
      </w:r>
      <w:r>
        <w:rPr>
          <w:rFonts w:hint="eastAsia"/>
          <w:smallCaps/>
          <w:color w:val="000000"/>
          <w:szCs w:val="21"/>
        </w:rPr>
        <w:t>9</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三、无效投标条款</w:t>
      </w:r>
      <w:r>
        <w:rPr>
          <w:rFonts w:ascii="宋体" w:hAnsi="宋体"/>
          <w:smallCaps/>
          <w:color w:val="000000"/>
          <w:szCs w:val="21"/>
        </w:rPr>
        <w:t>……………………………………………………………………………</w:t>
      </w:r>
      <w:r>
        <w:rPr>
          <w:smallCaps/>
          <w:color w:val="000000"/>
          <w:szCs w:val="21"/>
        </w:rPr>
        <w:tab/>
      </w:r>
      <w:r>
        <w:rPr>
          <w:rFonts w:hint="eastAsia" w:ascii="宋体" w:hAnsi="宋体"/>
          <w:smallCaps/>
          <w:color w:val="000000"/>
          <w:szCs w:val="21"/>
        </w:rPr>
        <w:t>10</w:t>
      </w:r>
    </w:p>
    <w:p>
      <w:pPr>
        <w:spacing w:before="100" w:beforeAutospacing="1" w:after="100" w:afterAutospacing="1"/>
        <w:ind w:left="280"/>
        <w:jc w:val="left"/>
        <w:rPr>
          <w:color w:val="000000"/>
          <w:szCs w:val="21"/>
        </w:rPr>
      </w:pPr>
      <w:r>
        <w:rPr>
          <w:rFonts w:hint="eastAsia" w:ascii="宋体" w:hAnsi="宋体"/>
          <w:smallCaps/>
          <w:color w:val="000000"/>
          <w:szCs w:val="21"/>
        </w:rPr>
        <w:t>四、废标条款</w:t>
      </w:r>
      <w:r>
        <w:rPr>
          <w:rFonts w:ascii="宋体" w:hAnsi="宋体"/>
          <w:smallCaps/>
          <w:color w:val="000000"/>
          <w:szCs w:val="21"/>
        </w:rPr>
        <w:t>…………………………………………………………………………………</w:t>
      </w:r>
      <w:r>
        <w:rPr>
          <w:smallCaps/>
          <w:color w:val="000000"/>
          <w:szCs w:val="21"/>
        </w:rPr>
        <w:tab/>
      </w:r>
      <w:r>
        <w:rPr>
          <w:rFonts w:hint="eastAsia"/>
          <w:smallCaps/>
          <w:color w:val="000000"/>
          <w:szCs w:val="21"/>
        </w:rPr>
        <w:t>10</w:t>
      </w:r>
    </w:p>
    <w:p>
      <w:pPr>
        <w:spacing w:before="120" w:after="120"/>
        <w:jc w:val="left"/>
        <w:rPr>
          <w:color w:val="000000"/>
          <w:szCs w:val="21"/>
        </w:rPr>
      </w:pPr>
      <w:r>
        <w:rPr>
          <w:rFonts w:hint="eastAsia" w:ascii="宋体" w:hAnsi="宋体"/>
          <w:caps/>
          <w:color w:val="000000"/>
          <w:szCs w:val="21"/>
        </w:rPr>
        <w:t>第五篇 投标人须知</w:t>
      </w:r>
      <w:r>
        <w:rPr>
          <w:rFonts w:ascii="宋体" w:hAnsi="宋体"/>
          <w:caps/>
          <w:color w:val="000000"/>
          <w:szCs w:val="21"/>
        </w:rPr>
        <w:t>………………………………………………………………………………</w:t>
      </w:r>
      <w:r>
        <w:rPr>
          <w:caps/>
          <w:color w:val="000000"/>
          <w:szCs w:val="21"/>
        </w:rPr>
        <w:tab/>
      </w:r>
      <w:r>
        <w:rPr>
          <w:rFonts w:hint="eastAsia" w:ascii="宋体" w:hAnsi="宋体"/>
          <w: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一、投标费用</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二、投标人</w:t>
      </w:r>
      <w:r>
        <w:rPr>
          <w:rFonts w:ascii="宋体" w:hAnsi="宋体"/>
          <w:smallCaps/>
          <w:color w:val="000000"/>
          <w:szCs w:val="21"/>
        </w:rPr>
        <w:t>……………………………………………………………………………………</w:t>
      </w:r>
      <w:r>
        <w:rPr>
          <w:rFonts w:hint="eastAsia"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三、招标文件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四、投标文件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五、开标</w:t>
      </w:r>
      <w:r>
        <w:rPr>
          <w:rFonts w:ascii="宋体" w:hAnsi="宋体"/>
          <w:smallCaps/>
          <w:color w:val="000000"/>
          <w:szCs w:val="21"/>
        </w:rPr>
        <w:t>………………………………………………………………………………………</w:t>
      </w:r>
      <w:r>
        <w:rPr>
          <w:smallCaps/>
          <w:color w:val="000000"/>
          <w:szCs w:val="21"/>
        </w:rPr>
        <w:tab/>
      </w:r>
      <w:r>
        <w:rPr>
          <w:rFonts w:hint="eastAsia"/>
          <w:smallCaps/>
          <w:color w:val="000000"/>
          <w:szCs w:val="21"/>
        </w:rPr>
        <w:t>12</w:t>
      </w:r>
    </w:p>
    <w:p>
      <w:pPr>
        <w:spacing w:before="100" w:beforeAutospacing="1" w:after="100" w:afterAutospacing="1"/>
        <w:ind w:left="280"/>
        <w:jc w:val="left"/>
        <w:rPr>
          <w:color w:val="000000"/>
          <w:szCs w:val="21"/>
        </w:rPr>
      </w:pPr>
      <w:r>
        <w:rPr>
          <w:rFonts w:hint="eastAsia" w:ascii="宋体" w:hAnsi="宋体"/>
          <w:smallCaps/>
          <w:color w:val="000000"/>
          <w:szCs w:val="21"/>
        </w:rPr>
        <w:t>六、评标</w:t>
      </w:r>
      <w:r>
        <w:rPr>
          <w:rFonts w:ascii="宋体" w:hAnsi="宋体"/>
          <w:smallCaps/>
          <w:color w:val="000000"/>
          <w:szCs w:val="21"/>
        </w:rPr>
        <w:t>………………………………………………………………………………………</w:t>
      </w:r>
      <w:r>
        <w:rPr>
          <w:smallCaps/>
          <w:color w:val="000000"/>
          <w:szCs w:val="21"/>
        </w:rPr>
        <w:tab/>
      </w:r>
      <w:r>
        <w:rPr>
          <w:rFonts w:hint="eastAsia"/>
          <w:smallCaps/>
          <w:color w:val="000000"/>
          <w:szCs w:val="21"/>
        </w:rPr>
        <w:t>13</w:t>
      </w:r>
    </w:p>
    <w:p>
      <w:pPr>
        <w:spacing w:before="100" w:beforeAutospacing="1" w:after="100" w:afterAutospacing="1"/>
        <w:ind w:left="280"/>
        <w:jc w:val="left"/>
        <w:rPr>
          <w:color w:val="000000"/>
          <w:szCs w:val="21"/>
        </w:rPr>
      </w:pPr>
      <w:r>
        <w:rPr>
          <w:rFonts w:hint="eastAsia" w:ascii="宋体" w:hAnsi="宋体"/>
          <w:smallCaps/>
          <w:color w:val="000000"/>
          <w:szCs w:val="21"/>
        </w:rPr>
        <w:t>七、定标</w:t>
      </w:r>
      <w:r>
        <w:rPr>
          <w:rFonts w:ascii="宋体" w:hAnsi="宋体"/>
          <w:smallCaps/>
          <w:color w:val="000000"/>
          <w:szCs w:val="21"/>
        </w:rPr>
        <w:t>………………………………………………………………………………………</w:t>
      </w:r>
      <w:r>
        <w:rPr>
          <w:smallCaps/>
          <w:color w:val="000000"/>
          <w:szCs w:val="21"/>
        </w:rPr>
        <w:tab/>
      </w:r>
      <w:r>
        <w:rPr>
          <w:rFonts w:hint="eastAsia"/>
          <w:smallCaps/>
          <w:color w:val="000000"/>
          <w:szCs w:val="21"/>
        </w:rPr>
        <w:t>13</w:t>
      </w:r>
    </w:p>
    <w:p>
      <w:pPr>
        <w:spacing w:before="100" w:beforeAutospacing="1" w:after="100" w:afterAutospacing="1"/>
        <w:ind w:left="280"/>
        <w:jc w:val="left"/>
        <w:rPr>
          <w:color w:val="000000"/>
          <w:szCs w:val="21"/>
        </w:rPr>
      </w:pPr>
      <w:r>
        <w:rPr>
          <w:rFonts w:hint="eastAsia" w:ascii="宋体" w:hAnsi="宋体"/>
          <w:smallCaps/>
          <w:color w:val="000000"/>
          <w:szCs w:val="21"/>
        </w:rPr>
        <w:t>八、中标通知书</w:t>
      </w:r>
      <w:r>
        <w:rPr>
          <w:rFonts w:ascii="宋体" w:hAnsi="宋体"/>
          <w:smallCaps/>
          <w:color w:val="000000"/>
          <w:szCs w:val="21"/>
        </w:rPr>
        <w:t>………………………………………………………………………………</w:t>
      </w:r>
      <w:r>
        <w:rPr>
          <w:smallCaps/>
          <w:color w:val="000000"/>
          <w:szCs w:val="21"/>
        </w:rPr>
        <w:tab/>
      </w:r>
      <w:r>
        <w:rPr>
          <w:rFonts w:hint="eastAsia"/>
          <w:smallCaps/>
          <w:color w:val="000000"/>
          <w:szCs w:val="21"/>
        </w:rPr>
        <w:t>13</w:t>
      </w:r>
    </w:p>
    <w:p>
      <w:pPr>
        <w:spacing w:before="100" w:beforeAutospacing="1" w:after="100" w:afterAutospacing="1"/>
        <w:ind w:left="280"/>
        <w:jc w:val="left"/>
        <w:rPr>
          <w:color w:val="000000"/>
          <w:szCs w:val="21"/>
        </w:rPr>
      </w:pPr>
      <w:r>
        <w:rPr>
          <w:rFonts w:hint="eastAsia" w:ascii="宋体" w:hAnsi="宋体"/>
          <w:smallCaps/>
          <w:color w:val="000000"/>
          <w:szCs w:val="21"/>
        </w:rPr>
        <w:t>九、投标人对中标结果的质疑、投诉</w:t>
      </w:r>
      <w:r>
        <w:rPr>
          <w:rFonts w:ascii="宋体" w:hAnsi="宋体"/>
          <w:smallCaps/>
          <w:color w:val="000000"/>
          <w:szCs w:val="21"/>
        </w:rPr>
        <w:t>………………………………………………………</w:t>
      </w:r>
      <w:r>
        <w:rPr>
          <w:smallCaps/>
          <w:color w:val="000000"/>
          <w:szCs w:val="21"/>
        </w:rPr>
        <w:tab/>
      </w:r>
      <w:r>
        <w:rPr>
          <w:rFonts w:hint="eastAsia"/>
          <w:smallCaps/>
          <w:color w:val="000000"/>
          <w:szCs w:val="21"/>
        </w:rPr>
        <w:t>14</w:t>
      </w:r>
    </w:p>
    <w:p>
      <w:pPr>
        <w:spacing w:before="100" w:beforeAutospacing="1" w:after="100" w:afterAutospacing="1"/>
        <w:ind w:left="280"/>
        <w:jc w:val="left"/>
        <w:rPr>
          <w:color w:val="000000"/>
          <w:szCs w:val="21"/>
        </w:rPr>
      </w:pPr>
      <w:r>
        <w:rPr>
          <w:rFonts w:hint="eastAsia" w:ascii="宋体" w:hAnsi="宋体"/>
          <w:smallCaps/>
          <w:color w:val="000000"/>
          <w:szCs w:val="21"/>
        </w:rPr>
        <w:t>十、签订合同</w:t>
      </w:r>
      <w:r>
        <w:rPr>
          <w:rFonts w:ascii="宋体" w:hAnsi="宋体"/>
          <w:smallCaps/>
          <w:color w:val="000000"/>
          <w:szCs w:val="21"/>
        </w:rPr>
        <w:t>…………………………………………………………………………………</w:t>
      </w:r>
      <w:r>
        <w:rPr>
          <w:smallCaps/>
          <w:color w:val="000000"/>
          <w:szCs w:val="21"/>
        </w:rPr>
        <w:tab/>
      </w:r>
      <w:r>
        <w:rPr>
          <w:rFonts w:hint="eastAsia"/>
          <w:smallCaps/>
          <w:color w:val="000000"/>
          <w:szCs w:val="21"/>
        </w:rPr>
        <w:t>14</w:t>
      </w:r>
    </w:p>
    <w:p>
      <w:pPr>
        <w:spacing w:before="120" w:after="120"/>
        <w:jc w:val="left"/>
        <w:rPr>
          <w:color w:val="000000"/>
          <w:szCs w:val="21"/>
        </w:rPr>
      </w:pPr>
      <w:r>
        <w:rPr>
          <w:rFonts w:hint="eastAsia" w:ascii="宋体" w:hAnsi="宋体"/>
          <w:caps/>
          <w:color w:val="000000"/>
          <w:szCs w:val="21"/>
        </w:rPr>
        <w:t>第六篇 合同样本</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caps/>
          <w:color w:val="000000"/>
          <w:szCs w:val="21"/>
        </w:rPr>
        <w:tab/>
      </w:r>
      <w:r>
        <w:rPr>
          <w:rFonts w:hint="eastAsia"/>
          <w:caps/>
          <w:color w:val="000000"/>
          <w:szCs w:val="21"/>
        </w:rPr>
        <w:t>15</w:t>
      </w:r>
    </w:p>
    <w:p>
      <w:pPr>
        <w:spacing w:before="120" w:after="120"/>
        <w:jc w:val="left"/>
        <w:rPr>
          <w:rFonts w:hint="eastAsia" w:eastAsia="宋体"/>
          <w:color w:val="000000"/>
          <w:szCs w:val="21"/>
          <w:lang w:eastAsia="zh-CN"/>
        </w:rPr>
      </w:pPr>
      <w:r>
        <w:rPr>
          <w:rFonts w:hint="eastAsia" w:ascii="宋体" w:hAnsi="宋体"/>
          <w:caps/>
          <w:color w:val="000000"/>
          <w:szCs w:val="21"/>
        </w:rPr>
        <w:t>第七篇 投标文件部分格式</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2</w:t>
      </w:r>
      <w:r>
        <w:rPr>
          <w:rFonts w:hint="eastAsia" w:ascii="宋体" w:hAnsi="宋体"/>
          <w:caps/>
          <w:color w:val="000000"/>
          <w:szCs w:val="21"/>
          <w:lang w:val="en-US" w:eastAsia="zh-CN"/>
        </w:rPr>
        <w:t>5</w:t>
      </w:r>
    </w:p>
    <w:p>
      <w:pPr>
        <w:pStyle w:val="2"/>
        <w:rPr>
          <w:rFonts w:hint="default" w:ascii="宋体" w:hAnsi="宋体" w:eastAsia="宋体"/>
          <w:caps/>
          <w:color w:val="000000"/>
          <w:szCs w:val="21"/>
          <w:lang w:val="en-US" w:eastAsia="zh-CN"/>
        </w:rPr>
      </w:pPr>
      <w:r>
        <w:rPr>
          <w:rFonts w:hint="eastAsia" w:ascii="宋体" w:hAnsi="宋体"/>
          <w:caps/>
          <w:color w:val="000000"/>
          <w:szCs w:val="21"/>
        </w:rPr>
        <w:t>第八篇 附件</w:t>
      </w:r>
      <w:r>
        <w:rPr>
          <w:rFonts w:ascii="宋体" w:hAnsi="宋体"/>
          <w:caps/>
          <w:color w:val="000000"/>
          <w:szCs w:val="21"/>
        </w:rPr>
        <w:t>………………………………………………………</w:t>
      </w:r>
      <w:r>
        <w:rPr>
          <w:rFonts w:hint="eastAsia" w:ascii="宋体" w:hAnsi="宋体"/>
          <w:caps/>
          <w:color w:val="000000"/>
          <w:szCs w:val="21"/>
        </w:rPr>
        <w:t xml:space="preserve"> </w:t>
      </w:r>
      <w:r>
        <w:rPr>
          <w:rFonts w:ascii="宋体" w:hAnsi="宋体"/>
          <w:caps/>
          <w:color w:val="000000"/>
          <w:szCs w:val="21"/>
        </w:rPr>
        <w:t>………………</w:t>
      </w:r>
      <w:r>
        <w:rPr>
          <w:rFonts w:hint="eastAsia" w:ascii="宋体" w:hAnsi="宋体"/>
          <w:caps/>
          <w:color w:val="000000"/>
          <w:szCs w:val="21"/>
        </w:rPr>
        <w:t xml:space="preserve">    </w:t>
      </w:r>
      <w:r>
        <w:rPr>
          <w:rFonts w:hint="eastAsia" w:ascii="宋体" w:hAnsi="宋体"/>
          <w:caps/>
          <w:color w:val="000000"/>
          <w:szCs w:val="21"/>
          <w:lang w:val="en-US" w:eastAsia="zh-CN"/>
        </w:rPr>
        <w:t>30</w:t>
      </w:r>
    </w:p>
    <w:p>
      <w:pPr>
        <w:pStyle w:val="2"/>
        <w:rPr>
          <w:rFonts w:ascii="宋体" w:hAnsi="宋体"/>
          <w:caps/>
          <w:color w:val="000000"/>
          <w:szCs w:val="21"/>
        </w:rPr>
      </w:pPr>
    </w:p>
    <w:p>
      <w:pPr>
        <w:pStyle w:val="2"/>
        <w:rPr>
          <w:rFonts w:hint="eastAsia" w:ascii="宋体" w:hAnsi="宋体"/>
          <w:caps/>
          <w:color w:val="000000"/>
          <w:szCs w:val="21"/>
          <w:lang w:val="en-US" w:eastAsia="zh-CN"/>
        </w:rPr>
      </w:pPr>
      <w:r>
        <w:rPr>
          <w:rFonts w:hint="eastAsia" w:ascii="宋体" w:hAnsi="宋体"/>
          <w:caps/>
          <w:color w:val="000000"/>
          <w:szCs w:val="21"/>
        </w:rPr>
        <w:t>附件一 报名函</w:t>
      </w:r>
      <w:r>
        <w:rPr>
          <w:rFonts w:ascii="宋体" w:hAnsi="宋体"/>
          <w:caps/>
          <w:color w:val="000000"/>
          <w:szCs w:val="21"/>
        </w:rPr>
        <w:t>……………………………………………………………………</w:t>
      </w:r>
      <w:r>
        <w:rPr>
          <w:rFonts w:hint="eastAsia" w:ascii="宋体" w:hAnsi="宋体"/>
          <w:caps/>
          <w:color w:val="000000"/>
          <w:szCs w:val="21"/>
        </w:rPr>
        <w:t xml:space="preserve"> </w:t>
      </w:r>
      <w:r>
        <w:rPr>
          <w:rFonts w:ascii="宋体" w:hAnsi="宋体"/>
          <w:caps/>
          <w:color w:val="000000"/>
          <w:szCs w:val="21"/>
        </w:rPr>
        <w:t>……</w:t>
      </w:r>
      <w:r>
        <w:rPr>
          <w:rFonts w:hint="eastAsia" w:ascii="宋体" w:hAnsi="宋体"/>
          <w:caps/>
          <w:color w:val="000000"/>
          <w:szCs w:val="21"/>
          <w:lang w:val="en-US" w:eastAsia="zh-CN"/>
        </w:rPr>
        <w:t>30</w:t>
      </w:r>
    </w:p>
    <w:p>
      <w:pPr>
        <w:spacing w:before="100" w:beforeAutospacing="1" w:after="100" w:afterAutospacing="1"/>
        <w:jc w:val="left"/>
        <w:rPr>
          <w:rFonts w:hint="eastAsia" w:ascii="宋体" w:hAnsi="宋体"/>
          <w:caps/>
          <w:color w:val="000000" w:themeColor="text1"/>
          <w:szCs w:val="21"/>
          <w:lang w:val="en-US" w:eastAsia="zh-CN"/>
          <w14:textFill>
            <w14:solidFill>
              <w14:schemeClr w14:val="tx1"/>
            </w14:solidFill>
          </w14:textFill>
        </w:rPr>
      </w:pPr>
      <w:r>
        <w:rPr>
          <w:rFonts w:hint="eastAsia" w:ascii="宋体" w:hAnsi="宋体"/>
          <w:smallCaps/>
          <w:color w:val="000000" w:themeColor="text1"/>
          <w:szCs w:val="21"/>
          <w14:textFill>
            <w14:solidFill>
              <w14:schemeClr w14:val="tx1"/>
            </w14:solidFill>
          </w14:textFill>
        </w:rPr>
        <w:t>附件二重庆市住宅物业服务等级标准</w:t>
      </w:r>
      <w:r>
        <w:rPr>
          <w:rFonts w:ascii="宋体" w:hAnsi="宋体"/>
          <w:caps/>
          <w:color w:val="000000" w:themeColor="text1"/>
          <w:szCs w:val="21"/>
          <w14:textFill>
            <w14:solidFill>
              <w14:schemeClr w14:val="tx1"/>
            </w14:solidFill>
          </w14:textFill>
        </w:rPr>
        <w:t>………………………………………………………………</w:t>
      </w:r>
      <w:r>
        <w:rPr>
          <w:rFonts w:hint="eastAsia" w:ascii="宋体" w:hAnsi="宋体"/>
          <w:caps/>
          <w:color w:val="000000" w:themeColor="text1"/>
          <w:szCs w:val="21"/>
          <w:lang w:val="en-US" w:eastAsia="zh-CN"/>
          <w14:textFill>
            <w14:solidFill>
              <w14:schemeClr w14:val="tx1"/>
            </w14:solidFill>
          </w14:textFill>
        </w:rPr>
        <w:t>31</w:t>
      </w:r>
    </w:p>
    <w:p>
      <w:pPr>
        <w:snapToGrid w:val="0"/>
        <w:spacing w:line="500" w:lineRule="exact"/>
        <w:jc w:val="center"/>
        <w:outlineLvl w:val="0"/>
        <w:rPr>
          <w:rFonts w:hint="eastAsia" w:ascii="仿宋" w:hAnsi="仿宋" w:eastAsia="仿宋"/>
          <w:b/>
          <w:color w:val="000000"/>
          <w:sz w:val="28"/>
          <w:szCs w:val="28"/>
        </w:rPr>
      </w:pPr>
      <w:bookmarkStart w:id="0" w:name="_Toc271791963"/>
      <w:bookmarkEnd w:id="0"/>
      <w:bookmarkStart w:id="1" w:name="_Toc311729654"/>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pStyle w:val="2"/>
        <w:rPr>
          <w:rFonts w:hint="eastAsia" w:ascii="仿宋" w:hAnsi="仿宋" w:eastAsia="仿宋"/>
          <w:b/>
          <w:color w:val="000000"/>
          <w:sz w:val="28"/>
          <w:szCs w:val="28"/>
        </w:rPr>
      </w:pPr>
    </w:p>
    <w:p>
      <w:pPr>
        <w:pStyle w:val="2"/>
        <w:rPr>
          <w:rFonts w:hint="eastAsia" w:ascii="仿宋" w:hAnsi="仿宋" w:eastAsia="仿宋"/>
          <w:b/>
          <w:color w:val="000000"/>
          <w:sz w:val="28"/>
          <w:szCs w:val="28"/>
        </w:rPr>
      </w:pPr>
    </w:p>
    <w:p>
      <w:pPr>
        <w:pStyle w:val="2"/>
        <w:rPr>
          <w:rFonts w:hint="eastAsia" w:ascii="仿宋" w:hAnsi="仿宋" w:eastAsia="仿宋"/>
          <w:b/>
          <w:color w:val="000000"/>
          <w:sz w:val="28"/>
          <w:szCs w:val="28"/>
        </w:rPr>
      </w:pPr>
    </w:p>
    <w:p>
      <w:pPr>
        <w:pStyle w:val="2"/>
        <w:rPr>
          <w:rFonts w:hint="eastAsia" w:ascii="仿宋" w:hAnsi="仿宋" w:eastAsia="仿宋"/>
          <w:b/>
          <w:color w:val="000000"/>
          <w:sz w:val="28"/>
          <w:szCs w:val="28"/>
        </w:rPr>
      </w:pPr>
    </w:p>
    <w:p>
      <w:pPr>
        <w:pStyle w:val="2"/>
        <w:rPr>
          <w:rFonts w:hint="eastAsia" w:ascii="仿宋" w:hAnsi="仿宋" w:eastAsia="仿宋"/>
          <w:b/>
          <w:color w:val="000000"/>
          <w:sz w:val="28"/>
          <w:szCs w:val="28"/>
        </w:rPr>
      </w:pPr>
    </w:p>
    <w:p>
      <w:pPr>
        <w:pStyle w:val="2"/>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center"/>
        <w:outlineLvl w:val="0"/>
        <w:rPr>
          <w:rFonts w:hint="eastAsia" w:ascii="仿宋" w:hAnsi="仿宋" w:eastAsia="仿宋"/>
          <w:b/>
          <w:color w:val="000000"/>
          <w:sz w:val="28"/>
          <w:szCs w:val="28"/>
        </w:rPr>
      </w:pPr>
    </w:p>
    <w:p>
      <w:pPr>
        <w:snapToGrid w:val="0"/>
        <w:spacing w:line="500" w:lineRule="exact"/>
        <w:jc w:val="both"/>
        <w:outlineLvl w:val="0"/>
        <w:rPr>
          <w:rFonts w:hint="eastAsia" w:ascii="仿宋" w:hAnsi="仿宋" w:eastAsia="仿宋"/>
          <w:b/>
          <w:color w:val="000000"/>
          <w:sz w:val="28"/>
          <w:szCs w:val="28"/>
        </w:rPr>
      </w:pPr>
    </w:p>
    <w:p>
      <w:pPr>
        <w:snapToGrid w:val="0"/>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第一篇 投标邀请书</w:t>
      </w:r>
      <w:bookmarkEnd w:id="1"/>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重庆立显企业管理顾问有限公司根据重庆</w:t>
      </w:r>
      <w:r>
        <w:rPr>
          <w:rFonts w:hint="default" w:ascii="仿宋" w:hAnsi="仿宋" w:eastAsia="仿宋"/>
          <w:color w:val="000000"/>
          <w:sz w:val="28"/>
          <w:szCs w:val="28"/>
          <w:lang w:val="en-US"/>
        </w:rPr>
        <w:t>坤煌潼帆实业</w:t>
      </w:r>
      <w:r>
        <w:rPr>
          <w:rFonts w:hint="eastAsia" w:ascii="仿宋" w:hAnsi="仿宋" w:eastAsia="仿宋"/>
          <w:color w:val="000000"/>
          <w:sz w:val="28"/>
          <w:szCs w:val="28"/>
        </w:rPr>
        <w:t>有限公司的委托，现对</w:t>
      </w:r>
      <w:r>
        <w:rPr>
          <w:rFonts w:hint="eastAsia" w:ascii="仿宋" w:hAnsi="仿宋" w:eastAsia="仿宋"/>
          <w:color w:val="000000"/>
          <w:sz w:val="28"/>
          <w:szCs w:val="28"/>
          <w:lang w:eastAsia="zh-CN"/>
        </w:rPr>
        <w:t>坤煌（潼南）食品产业园</w:t>
      </w:r>
      <w:r>
        <w:rPr>
          <w:rFonts w:hint="eastAsia" w:ascii="仿宋" w:hAnsi="仿宋" w:eastAsia="仿宋"/>
          <w:color w:val="000000"/>
          <w:sz w:val="28"/>
          <w:szCs w:val="28"/>
          <w:lang w:val="en-US" w:eastAsia="zh-CN"/>
        </w:rPr>
        <w:t>项</w:t>
      </w:r>
      <w:r>
        <w:rPr>
          <w:rFonts w:hint="eastAsia" w:ascii="仿宋" w:hAnsi="仿宋" w:eastAsia="仿宋"/>
          <w:color w:val="000000"/>
          <w:sz w:val="28"/>
          <w:szCs w:val="28"/>
        </w:rPr>
        <w:t>目前期物业管理服务进行公开招标，欢迎合格的投标人参与投标。</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一、招标项目内容</w:t>
      </w:r>
    </w:p>
    <w:tbl>
      <w:tblPr>
        <w:tblStyle w:val="14"/>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9"/>
        <w:gridCol w:w="1842"/>
        <w:gridCol w:w="3142"/>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2479" w:type="dxa"/>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项目名称</w:t>
            </w:r>
          </w:p>
        </w:tc>
        <w:tc>
          <w:tcPr>
            <w:tcW w:w="1842" w:type="dxa"/>
            <w:vAlign w:val="center"/>
          </w:tcPr>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项目内容</w:t>
            </w:r>
          </w:p>
        </w:tc>
        <w:tc>
          <w:tcPr>
            <w:tcW w:w="3142" w:type="dxa"/>
            <w:vAlign w:val="center"/>
          </w:tcPr>
          <w:p>
            <w:pPr>
              <w:spacing w:line="400" w:lineRule="exact"/>
              <w:ind w:right="12"/>
              <w:jc w:val="center"/>
              <w:rPr>
                <w:rFonts w:ascii="仿宋" w:hAnsi="仿宋" w:eastAsia="仿宋"/>
                <w:color w:val="000000"/>
                <w:sz w:val="28"/>
                <w:szCs w:val="28"/>
              </w:rPr>
            </w:pPr>
            <w:r>
              <w:rPr>
                <w:rFonts w:ascii="仿宋" w:hAnsi="仿宋" w:eastAsia="仿宋"/>
                <w:color w:val="000000"/>
                <w:sz w:val="28"/>
                <w:szCs w:val="28"/>
              </w:rPr>
              <w:t>最高单价限价</w:t>
            </w:r>
          </w:p>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（非经济标标底）</w:t>
            </w:r>
          </w:p>
        </w:tc>
        <w:tc>
          <w:tcPr>
            <w:tcW w:w="1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合同期限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47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eastAsia="zh-CN"/>
              </w:rPr>
              <w:t>坤煌（潼南）食品产业园</w:t>
            </w:r>
            <w:r>
              <w:rPr>
                <w:rFonts w:hint="eastAsia" w:ascii="仿宋" w:hAnsi="仿宋" w:eastAsia="仿宋"/>
                <w:color w:val="000000"/>
                <w:sz w:val="28"/>
                <w:szCs w:val="28"/>
              </w:rPr>
              <w:t>前期物业管理服务</w:t>
            </w:r>
          </w:p>
        </w:tc>
        <w:tc>
          <w:tcPr>
            <w:tcW w:w="1842"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厂房</w:t>
            </w:r>
            <w:r>
              <w:rPr>
                <w:rFonts w:hint="eastAsia" w:ascii="仿宋" w:hAnsi="仿宋" w:eastAsia="仿宋"/>
                <w:color w:val="000000"/>
                <w:sz w:val="28"/>
                <w:szCs w:val="28"/>
              </w:rPr>
              <w:t>前期物业服务</w:t>
            </w:r>
          </w:p>
        </w:tc>
        <w:tc>
          <w:tcPr>
            <w:tcW w:w="3142" w:type="dxa"/>
            <w:vAlign w:val="center"/>
          </w:tcPr>
          <w:p>
            <w:pPr>
              <w:numPr>
                <w:ilvl w:val="0"/>
                <w:numId w:val="0"/>
              </w:numPr>
              <w:spacing w:line="400" w:lineRule="exact"/>
              <w:ind w:right="12" w:rightChars="0"/>
              <w:rPr>
                <w:rFonts w:ascii="仿宋" w:hAnsi="仿宋" w:eastAsia="仿宋"/>
                <w:color w:val="000000"/>
                <w:sz w:val="28"/>
                <w:szCs w:val="28"/>
              </w:rPr>
            </w:pPr>
            <w:r>
              <w:rPr>
                <w:rFonts w:hint="eastAsia" w:ascii="仿宋" w:hAnsi="仿宋" w:eastAsia="仿宋"/>
                <w:color w:val="000000"/>
                <w:sz w:val="28"/>
                <w:szCs w:val="28"/>
                <w:lang w:val="en-US" w:eastAsia="zh-CN"/>
              </w:rPr>
              <w:t>1、厂房</w:t>
            </w:r>
            <w:r>
              <w:rPr>
                <w:rFonts w:hint="eastAsia" w:ascii="仿宋" w:hAnsi="仿宋" w:eastAsia="仿宋"/>
                <w:color w:val="000000"/>
                <w:sz w:val="28"/>
                <w:szCs w:val="28"/>
              </w:rPr>
              <w:t>2.50元/月/平方米</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2、</w:t>
            </w:r>
            <w:r>
              <w:rPr>
                <w:rFonts w:hint="eastAsia" w:ascii="仿宋" w:hAnsi="仿宋" w:eastAsia="仿宋"/>
                <w:color w:val="000000"/>
                <w:sz w:val="28"/>
                <w:szCs w:val="28"/>
              </w:rPr>
              <w:t>车位80.00元/月/个</w:t>
            </w:r>
          </w:p>
        </w:tc>
        <w:tc>
          <w:tcPr>
            <w:tcW w:w="1410" w:type="dxa"/>
            <w:vAlign w:val="center"/>
          </w:tcPr>
          <w:p>
            <w:pPr>
              <w:spacing w:line="400" w:lineRule="exact"/>
              <w:ind w:right="12"/>
              <w:jc w:val="center"/>
              <w:rPr>
                <w:rFonts w:ascii="仿宋" w:hAnsi="仿宋" w:eastAsia="仿宋"/>
                <w:color w:val="000000"/>
                <w:sz w:val="28"/>
                <w:szCs w:val="28"/>
              </w:rPr>
            </w:pPr>
            <w:r>
              <w:rPr>
                <w:rFonts w:ascii="仿宋" w:hAnsi="仿宋" w:eastAsia="仿宋"/>
                <w:color w:val="000000"/>
                <w:sz w:val="28"/>
                <w:szCs w:val="28"/>
              </w:rPr>
              <w:t>三年</w:t>
            </w:r>
          </w:p>
        </w:tc>
      </w:tr>
    </w:tbl>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注：投标人投标单价报价不得高于规定的单价最高限价，单价报价高于单价限价的，将视为无效投标。</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二、投标人资格要求及有关规定</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（一）投标人基本资格要求</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1.具有承担民事责任能力的总公司或分公司；</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4.有依法缴纳税收的良好记录。</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（二）特定资格条件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1.投标人提供有效的《营业执照》副本（复印件必须是原件复印或扫描且加盖印章，装订至投标文件中，原件备查）。</w:t>
      </w:r>
    </w:p>
    <w:p>
      <w:pPr>
        <w:spacing w:line="400" w:lineRule="exact"/>
        <w:ind w:right="12" w:firstLine="480"/>
        <w:rPr>
          <w:rFonts w:eastAsia="仿宋"/>
        </w:rPr>
      </w:pPr>
      <w:r>
        <w:rPr>
          <w:rFonts w:hint="eastAsia" w:ascii="仿宋" w:hAnsi="仿宋" w:eastAsia="仿宋"/>
          <w:color w:val="000000"/>
          <w:sz w:val="28"/>
          <w:szCs w:val="28"/>
        </w:rPr>
        <w:t>2.投标人营业执照经营范围必须有物业管理。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（三）投标有关规定</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1.法定代表人为同一个人的，两个及两个以上法人，母公司、全资子公司及其控股公司，都不得在招标中同时投标。</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2.本招标项目所有补遗文件（如果有）一律在重庆市潼南区住房和城乡建设委员会网站（http://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）上发布，请各投标人注意下载，无论是否下载，我公司视为投标人知晓。</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(四)特别说明：</w:t>
      </w:r>
    </w:p>
    <w:p>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招标文件要求的所有材料包括业绩证明材料的复印件加盖鲜章装订到投标文件中（复印件必须清晰），原件备查，评委需审查原件时未提供原件者视为无效投标。</w:t>
      </w:r>
    </w:p>
    <w:p>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三、投标、开标有关说明</w:t>
      </w:r>
      <w:r>
        <w:rPr>
          <w:rFonts w:hint="eastAsia" w:ascii="仿宋" w:hAnsi="仿宋" w:eastAsia="仿宋"/>
          <w:color w:val="000000"/>
          <w:sz w:val="28"/>
          <w:szCs w:val="28"/>
        </w:rPr>
        <w:tab/>
      </w:r>
    </w:p>
    <w:p>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（一）凡有意参加投标的投标人，请在重庆市潼南区住房和城乡建设委员会网站（http://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）上下载本项目招标文件以及图纸、补遗等开标前公布的所有项目资料，无论投标人下载与否，均视为已知晓所有招标内容，招标文件购买费在各投标人递交投标文件时一并缴纳。</w:t>
      </w:r>
    </w:p>
    <w:p>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（二）招标文件公告期限：</w:t>
      </w:r>
      <w:r>
        <w:rPr>
          <w:rFonts w:hint="eastAsia" w:ascii="仿宋" w:hAnsi="仿宋" w:eastAsia="仿宋"/>
          <w:sz w:val="28"/>
          <w:szCs w:val="28"/>
        </w:rPr>
        <w:t>202</w:t>
      </w:r>
      <w:r>
        <w:rPr>
          <w:rFonts w:hint="eastAsia" w:ascii="仿宋" w:hAnsi="仿宋" w:eastAsia="仿宋"/>
          <w:sz w:val="28"/>
          <w:szCs w:val="28"/>
          <w:lang w:val="en-US" w:eastAsia="zh-CN"/>
        </w:rPr>
        <w:t>2</w:t>
      </w:r>
      <w:r>
        <w:rPr>
          <w:rFonts w:hint="eastAsia" w:ascii="仿宋" w:hAnsi="仿宋" w:eastAsia="仿宋"/>
          <w:sz w:val="28"/>
          <w:szCs w:val="28"/>
        </w:rPr>
        <w:t>年</w:t>
      </w:r>
      <w:r>
        <w:rPr>
          <w:rFonts w:hint="eastAsia" w:ascii="仿宋" w:hAnsi="仿宋" w:eastAsia="仿宋"/>
          <w:sz w:val="28"/>
          <w:szCs w:val="28"/>
          <w:lang w:val="en-US" w:eastAsia="zh-CN"/>
        </w:rPr>
        <w:t>4</w:t>
      </w:r>
      <w:r>
        <w:rPr>
          <w:rFonts w:hint="eastAsia" w:ascii="仿宋" w:hAnsi="仿宋" w:eastAsia="仿宋"/>
          <w:sz w:val="28"/>
          <w:szCs w:val="28"/>
        </w:rPr>
        <w:t>月</w:t>
      </w:r>
      <w:r>
        <w:rPr>
          <w:rFonts w:hint="eastAsia" w:ascii="仿宋" w:hAnsi="仿宋" w:eastAsia="仿宋"/>
          <w:sz w:val="28"/>
          <w:szCs w:val="28"/>
          <w:lang w:val="en-US" w:eastAsia="zh-CN"/>
        </w:rPr>
        <w:t>6</w:t>
      </w:r>
      <w:r>
        <w:rPr>
          <w:rFonts w:hint="eastAsia" w:ascii="仿宋" w:hAnsi="仿宋" w:eastAsia="仿宋"/>
          <w:sz w:val="28"/>
          <w:szCs w:val="28"/>
        </w:rPr>
        <w:t>日至202</w:t>
      </w:r>
      <w:r>
        <w:rPr>
          <w:rFonts w:hint="eastAsia" w:ascii="仿宋" w:hAnsi="仿宋" w:eastAsia="仿宋"/>
          <w:sz w:val="28"/>
          <w:szCs w:val="28"/>
          <w:lang w:val="en-US" w:eastAsia="zh-CN"/>
        </w:rPr>
        <w:t>2</w:t>
      </w:r>
      <w:r>
        <w:rPr>
          <w:rFonts w:hint="eastAsia" w:ascii="仿宋" w:hAnsi="仿宋" w:eastAsia="仿宋"/>
          <w:sz w:val="28"/>
          <w:szCs w:val="28"/>
        </w:rPr>
        <w:t>年</w:t>
      </w:r>
      <w:r>
        <w:rPr>
          <w:rFonts w:hint="eastAsia" w:ascii="仿宋" w:hAnsi="仿宋" w:eastAsia="仿宋"/>
          <w:sz w:val="28"/>
          <w:szCs w:val="28"/>
          <w:lang w:val="en-US" w:eastAsia="zh-CN"/>
        </w:rPr>
        <w:t>4</w:t>
      </w:r>
      <w:r>
        <w:rPr>
          <w:rFonts w:hint="eastAsia" w:ascii="仿宋" w:hAnsi="仿宋" w:eastAsia="仿宋"/>
          <w:sz w:val="28"/>
          <w:szCs w:val="28"/>
        </w:rPr>
        <w:t>月</w:t>
      </w:r>
      <w:r>
        <w:rPr>
          <w:rFonts w:hint="eastAsia" w:ascii="仿宋" w:hAnsi="仿宋" w:eastAsia="仿宋"/>
          <w:sz w:val="28"/>
          <w:szCs w:val="28"/>
          <w:lang w:val="en-US" w:eastAsia="zh-CN"/>
        </w:rPr>
        <w:t>14</w:t>
      </w:r>
      <w:r>
        <w:rPr>
          <w:rFonts w:hint="eastAsia" w:ascii="仿宋" w:hAnsi="仿宋" w:eastAsia="仿宋"/>
          <w:sz w:val="28"/>
          <w:szCs w:val="28"/>
        </w:rPr>
        <w:t>日。</w:t>
      </w:r>
    </w:p>
    <w:p>
      <w:pPr>
        <w:spacing w:line="320" w:lineRule="exact"/>
        <w:ind w:right="11" w:firstLine="482"/>
        <w:rPr>
          <w:rFonts w:ascii="仿宋" w:hAnsi="仿宋" w:eastAsia="仿宋"/>
          <w:color w:val="000000"/>
          <w:sz w:val="28"/>
          <w:szCs w:val="28"/>
        </w:rPr>
      </w:pPr>
      <w:r>
        <w:rPr>
          <w:rFonts w:hint="eastAsia" w:ascii="仿宋" w:hAnsi="仿宋" w:eastAsia="仿宋"/>
          <w:color w:val="000000"/>
          <w:sz w:val="28"/>
          <w:szCs w:val="28"/>
        </w:rPr>
        <w:t>（三）招标文件的获取及投标报名</w:t>
      </w:r>
    </w:p>
    <w:p>
      <w:pPr>
        <w:spacing w:line="320" w:lineRule="exact"/>
        <w:ind w:right="11" w:firstLine="482"/>
        <w:rPr>
          <w:rFonts w:ascii="仿宋" w:hAnsi="仿宋" w:eastAsia="仿宋"/>
          <w:color w:val="000000"/>
          <w:sz w:val="28"/>
          <w:szCs w:val="28"/>
        </w:rPr>
      </w:pPr>
      <w:bookmarkStart w:id="2" w:name="_bookmark6"/>
      <w:bookmarkEnd w:id="2"/>
      <w:r>
        <w:rPr>
          <w:rFonts w:hint="eastAsia" w:ascii="仿宋" w:hAnsi="仿宋" w:eastAsia="仿宋"/>
          <w:color w:val="000000"/>
          <w:sz w:val="28"/>
          <w:szCs w:val="28"/>
        </w:rPr>
        <w:t>1、招标文件自行在网上下载。</w:t>
      </w:r>
    </w:p>
    <w:p>
      <w:pPr>
        <w:spacing w:line="360" w:lineRule="exact"/>
        <w:ind w:right="11" w:firstLine="482"/>
        <w:rPr>
          <w:rFonts w:ascii="仿宋" w:hAnsi="仿宋" w:eastAsia="仿宋"/>
          <w:color w:val="000000"/>
          <w:sz w:val="28"/>
          <w:szCs w:val="28"/>
        </w:rPr>
      </w:pPr>
      <w:r>
        <w:rPr>
          <w:rFonts w:hint="eastAsia" w:ascii="仿宋" w:hAnsi="仿宋" w:eastAsia="仿宋"/>
          <w:color w:val="000000"/>
          <w:sz w:val="28"/>
          <w:szCs w:val="28"/>
        </w:rPr>
        <w:t>2、报名时间：</w:t>
      </w:r>
      <w:r>
        <w:rPr>
          <w:rFonts w:hint="eastAsia" w:ascii="仿宋" w:hAnsi="仿宋" w:eastAsia="仿宋"/>
          <w:sz w:val="28"/>
          <w:szCs w:val="28"/>
        </w:rPr>
        <w:t>202</w:t>
      </w:r>
      <w:r>
        <w:rPr>
          <w:rFonts w:hint="eastAsia" w:ascii="仿宋" w:hAnsi="仿宋" w:eastAsia="仿宋"/>
          <w:sz w:val="28"/>
          <w:szCs w:val="28"/>
          <w:lang w:val="en-US" w:eastAsia="zh-CN"/>
        </w:rPr>
        <w:t>2</w:t>
      </w:r>
      <w:r>
        <w:rPr>
          <w:rFonts w:hint="eastAsia" w:ascii="仿宋" w:hAnsi="仿宋" w:eastAsia="仿宋"/>
          <w:sz w:val="28"/>
          <w:szCs w:val="28"/>
        </w:rPr>
        <w:t>年</w:t>
      </w:r>
      <w:r>
        <w:rPr>
          <w:rFonts w:hint="eastAsia" w:ascii="仿宋" w:hAnsi="仿宋" w:eastAsia="仿宋"/>
          <w:sz w:val="28"/>
          <w:szCs w:val="28"/>
          <w:lang w:val="en-US" w:eastAsia="zh-CN"/>
        </w:rPr>
        <w:t>4</w:t>
      </w:r>
      <w:r>
        <w:rPr>
          <w:rFonts w:hint="eastAsia" w:ascii="仿宋" w:hAnsi="仿宋" w:eastAsia="仿宋"/>
          <w:sz w:val="28"/>
          <w:szCs w:val="28"/>
        </w:rPr>
        <w:t>月</w:t>
      </w:r>
      <w:r>
        <w:rPr>
          <w:rFonts w:hint="eastAsia" w:ascii="仿宋" w:hAnsi="仿宋" w:eastAsia="仿宋"/>
          <w:sz w:val="28"/>
          <w:szCs w:val="28"/>
          <w:lang w:val="en-US" w:eastAsia="zh-CN"/>
        </w:rPr>
        <w:t>6</w:t>
      </w:r>
      <w:r>
        <w:rPr>
          <w:rFonts w:hint="eastAsia" w:ascii="仿宋" w:hAnsi="仿宋" w:eastAsia="仿宋"/>
          <w:sz w:val="28"/>
          <w:szCs w:val="28"/>
        </w:rPr>
        <w:t>日至202</w:t>
      </w:r>
      <w:r>
        <w:rPr>
          <w:rFonts w:hint="eastAsia" w:ascii="仿宋" w:hAnsi="仿宋" w:eastAsia="仿宋"/>
          <w:sz w:val="28"/>
          <w:szCs w:val="28"/>
          <w:lang w:val="en-US" w:eastAsia="zh-CN"/>
        </w:rPr>
        <w:t>2</w:t>
      </w:r>
      <w:r>
        <w:rPr>
          <w:rFonts w:hint="eastAsia" w:ascii="仿宋" w:hAnsi="仿宋" w:eastAsia="仿宋"/>
          <w:sz w:val="28"/>
          <w:szCs w:val="28"/>
        </w:rPr>
        <w:t>年</w:t>
      </w:r>
      <w:r>
        <w:rPr>
          <w:rFonts w:hint="eastAsia" w:ascii="仿宋" w:hAnsi="仿宋" w:eastAsia="仿宋"/>
          <w:sz w:val="28"/>
          <w:szCs w:val="28"/>
          <w:lang w:val="en-US" w:eastAsia="zh-CN"/>
        </w:rPr>
        <w:t>4</w:t>
      </w:r>
      <w:r>
        <w:rPr>
          <w:rFonts w:hint="eastAsia" w:ascii="仿宋" w:hAnsi="仿宋" w:eastAsia="仿宋"/>
          <w:sz w:val="28"/>
          <w:szCs w:val="28"/>
        </w:rPr>
        <w:t>月</w:t>
      </w:r>
      <w:r>
        <w:rPr>
          <w:rFonts w:hint="eastAsia" w:ascii="仿宋" w:hAnsi="仿宋" w:eastAsia="仿宋"/>
          <w:sz w:val="28"/>
          <w:szCs w:val="28"/>
          <w:lang w:val="en-US" w:eastAsia="zh-CN"/>
        </w:rPr>
        <w:t>14</w:t>
      </w:r>
      <w:r>
        <w:rPr>
          <w:rFonts w:hint="eastAsia" w:ascii="仿宋" w:hAnsi="仿宋" w:eastAsia="仿宋"/>
          <w:sz w:val="28"/>
          <w:szCs w:val="28"/>
        </w:rPr>
        <w:t>日，上午</w:t>
      </w:r>
      <w:r>
        <w:rPr>
          <w:rFonts w:hint="eastAsia" w:ascii="仿宋" w:hAnsi="仿宋" w:eastAsia="仿宋"/>
          <w:color w:val="000000"/>
          <w:sz w:val="28"/>
          <w:szCs w:val="28"/>
        </w:rPr>
        <w:t>09：00至11:00时，下午15：00-17:00时（节假日除外）。</w:t>
      </w:r>
    </w:p>
    <w:p>
      <w:pPr>
        <w:spacing w:line="320" w:lineRule="exact"/>
        <w:ind w:right="11" w:firstLine="482"/>
      </w:pPr>
      <w:r>
        <w:rPr>
          <w:rFonts w:hint="eastAsia" w:ascii="仿宋" w:hAnsi="仿宋" w:eastAsia="仿宋"/>
          <w:color w:val="000000"/>
          <w:sz w:val="28"/>
          <w:szCs w:val="28"/>
        </w:rPr>
        <w:t>有意向投标的单位</w:t>
      </w:r>
      <w:r>
        <w:fldChar w:fldCharType="begin"/>
      </w:r>
      <w:r>
        <w:instrText xml:space="preserve"> HYPERLINK "mailto:按附件格式填写采购文件领取登记表,并发送至574117448@qq.com邮箱重庆灵晖工程项目管理咨询有限公司，采购文件将发送至登记表中注明的邮箱。未在规定时间内报名领取采购文件的，不能参与本次应答。" </w:instrText>
      </w:r>
      <w:r>
        <w:fldChar w:fldCharType="separate"/>
      </w:r>
      <w:r>
        <w:rPr>
          <w:rFonts w:hint="eastAsia" w:ascii="仿宋" w:hAnsi="仿宋" w:eastAsia="仿宋"/>
          <w:color w:val="000000"/>
          <w:sz w:val="28"/>
          <w:szCs w:val="28"/>
        </w:rPr>
        <w:t>请按照本招标文件报名函格式填写报名函，并将报名函扫描件在报名规定时间内发送至354258752@qq.com邮箱，未在规定时间内报名的，不能参与本次投标</w:t>
      </w:r>
      <w:r>
        <w:rPr>
          <w:rFonts w:hint="eastAsia" w:ascii="仿宋" w:hAnsi="仿宋" w:eastAsia="仿宋"/>
          <w:color w:val="000000"/>
          <w:sz w:val="28"/>
          <w:szCs w:val="28"/>
        </w:rPr>
        <w:fldChar w:fldCharType="end"/>
      </w:r>
      <w:r>
        <w:rPr>
          <w:rFonts w:hint="eastAsia"/>
        </w:rPr>
        <w:t>。</w:t>
      </w:r>
    </w:p>
    <w:p>
      <w:pPr>
        <w:spacing w:line="320" w:lineRule="exact"/>
        <w:ind w:right="11" w:firstLine="482"/>
        <w:rPr>
          <w:rFonts w:ascii="仿宋" w:hAnsi="仿宋" w:eastAsia="仿宋"/>
          <w:color w:val="auto"/>
          <w:sz w:val="28"/>
          <w:szCs w:val="28"/>
        </w:rPr>
      </w:pPr>
      <w:r>
        <w:rPr>
          <w:rFonts w:hint="eastAsia" w:ascii="仿宋" w:hAnsi="仿宋" w:eastAsia="仿宋"/>
          <w:color w:val="auto"/>
          <w:sz w:val="28"/>
          <w:szCs w:val="28"/>
        </w:rPr>
        <w:t>3、招标文件购买费为：0元/份。</w:t>
      </w:r>
    </w:p>
    <w:p>
      <w:pPr>
        <w:spacing w:line="320" w:lineRule="exact"/>
        <w:ind w:right="11" w:firstLine="482"/>
        <w:rPr>
          <w:rFonts w:ascii="仿宋" w:hAnsi="仿宋" w:eastAsia="仿宋"/>
          <w:color w:val="auto"/>
          <w:sz w:val="28"/>
          <w:szCs w:val="28"/>
        </w:rPr>
      </w:pPr>
      <w:r>
        <w:rPr>
          <w:rFonts w:hint="eastAsia" w:ascii="仿宋" w:hAnsi="仿宋" w:eastAsia="仿宋"/>
          <w:color w:val="auto"/>
          <w:sz w:val="28"/>
          <w:szCs w:val="28"/>
        </w:rPr>
        <w:t>（四）投标人须在投标截止时间前满足以下2种要件，其投标才被接受：</w:t>
      </w:r>
    </w:p>
    <w:p>
      <w:pPr>
        <w:spacing w:line="320" w:lineRule="exact"/>
        <w:ind w:right="11" w:firstLine="482"/>
        <w:rPr>
          <w:rFonts w:ascii="仿宋" w:hAnsi="仿宋" w:eastAsia="仿宋"/>
          <w:color w:val="auto"/>
          <w:sz w:val="28"/>
          <w:szCs w:val="28"/>
        </w:rPr>
      </w:pPr>
      <w:r>
        <w:rPr>
          <w:rFonts w:hint="eastAsia" w:ascii="仿宋" w:hAnsi="仿宋" w:eastAsia="仿宋"/>
          <w:color w:val="auto"/>
          <w:sz w:val="28"/>
          <w:szCs w:val="28"/>
        </w:rPr>
        <w:t>1、按时递交了投标文件；</w:t>
      </w:r>
    </w:p>
    <w:p>
      <w:pPr>
        <w:spacing w:line="320" w:lineRule="exact"/>
        <w:ind w:right="11" w:firstLine="482"/>
        <w:rPr>
          <w:rFonts w:ascii="仿宋" w:hAnsi="仿宋" w:eastAsia="仿宋"/>
          <w:color w:val="auto"/>
          <w:sz w:val="28"/>
          <w:szCs w:val="28"/>
        </w:rPr>
      </w:pPr>
      <w:r>
        <w:rPr>
          <w:rFonts w:hint="eastAsia" w:ascii="仿宋" w:hAnsi="仿宋" w:eastAsia="仿宋"/>
          <w:color w:val="auto"/>
          <w:sz w:val="28"/>
          <w:szCs w:val="28"/>
        </w:rPr>
        <w:t>2、按时报名，按时签到；</w:t>
      </w:r>
    </w:p>
    <w:p>
      <w:pPr>
        <w:spacing w:line="320" w:lineRule="exact"/>
        <w:ind w:right="12" w:firstLine="480"/>
        <w:rPr>
          <w:rFonts w:ascii="仿宋" w:hAnsi="仿宋" w:eastAsia="仿宋"/>
          <w:sz w:val="28"/>
          <w:szCs w:val="28"/>
        </w:rPr>
      </w:pPr>
      <w:r>
        <w:rPr>
          <w:rFonts w:hint="eastAsia" w:ascii="仿宋" w:hAnsi="仿宋" w:eastAsia="仿宋"/>
          <w:sz w:val="28"/>
          <w:szCs w:val="28"/>
        </w:rPr>
        <w:t>（五）投标地点：</w:t>
      </w:r>
      <w:r>
        <w:rPr>
          <w:rFonts w:hint="eastAsia" w:ascii="仿宋" w:hAnsi="仿宋" w:eastAsia="仿宋"/>
          <w:sz w:val="28"/>
          <w:szCs w:val="28"/>
          <w:lang w:val="en-US" w:eastAsia="zh-CN"/>
        </w:rPr>
        <w:t>潼南区住建委7楼开标室</w:t>
      </w:r>
      <w:r>
        <w:rPr>
          <w:rFonts w:hint="eastAsia" w:ascii="仿宋" w:hAnsi="仿宋" w:eastAsia="仿宋"/>
          <w:sz w:val="28"/>
          <w:szCs w:val="28"/>
        </w:rPr>
        <w:t>。</w:t>
      </w:r>
    </w:p>
    <w:p>
      <w:pPr>
        <w:spacing w:line="320" w:lineRule="exact"/>
        <w:ind w:right="12" w:firstLine="480"/>
        <w:rPr>
          <w:rFonts w:ascii="仿宋" w:hAnsi="仿宋" w:eastAsia="仿宋"/>
          <w:sz w:val="28"/>
          <w:szCs w:val="28"/>
        </w:rPr>
      </w:pPr>
      <w:r>
        <w:rPr>
          <w:rFonts w:hint="eastAsia" w:ascii="仿宋" w:hAnsi="仿宋" w:eastAsia="仿宋"/>
          <w:sz w:val="28"/>
          <w:szCs w:val="28"/>
        </w:rPr>
        <w:t>（六）投标文件递交起止时间：202</w:t>
      </w:r>
      <w:r>
        <w:rPr>
          <w:rFonts w:hint="eastAsia" w:ascii="仿宋" w:hAnsi="仿宋" w:eastAsia="仿宋"/>
          <w:sz w:val="28"/>
          <w:szCs w:val="28"/>
          <w:lang w:val="en-US" w:eastAsia="zh-CN"/>
        </w:rPr>
        <w:t>2</w:t>
      </w:r>
      <w:r>
        <w:rPr>
          <w:rFonts w:hint="eastAsia" w:ascii="仿宋" w:hAnsi="仿宋" w:eastAsia="仿宋"/>
          <w:sz w:val="28"/>
          <w:szCs w:val="28"/>
        </w:rPr>
        <w:t>年</w:t>
      </w:r>
      <w:r>
        <w:rPr>
          <w:rFonts w:hint="eastAsia" w:ascii="仿宋" w:hAnsi="仿宋" w:eastAsia="仿宋"/>
          <w:sz w:val="28"/>
          <w:szCs w:val="28"/>
          <w:lang w:val="en-US" w:eastAsia="zh-CN"/>
        </w:rPr>
        <w:t>4</w:t>
      </w:r>
      <w:r>
        <w:rPr>
          <w:rFonts w:hint="eastAsia" w:ascii="仿宋" w:hAnsi="仿宋" w:eastAsia="仿宋"/>
          <w:sz w:val="28"/>
          <w:szCs w:val="28"/>
        </w:rPr>
        <w:t>月</w:t>
      </w:r>
      <w:r>
        <w:rPr>
          <w:rFonts w:hint="eastAsia" w:ascii="仿宋" w:hAnsi="仿宋" w:eastAsia="仿宋"/>
          <w:sz w:val="28"/>
          <w:szCs w:val="28"/>
          <w:lang w:val="en-US" w:eastAsia="zh-CN"/>
        </w:rPr>
        <w:t>15</w:t>
      </w:r>
      <w:r>
        <w:rPr>
          <w:rFonts w:hint="eastAsia" w:ascii="仿宋" w:hAnsi="仿宋" w:eastAsia="仿宋"/>
          <w:sz w:val="28"/>
          <w:szCs w:val="28"/>
        </w:rPr>
        <w:t>日北京时间9：00-</w:t>
      </w:r>
      <w:r>
        <w:rPr>
          <w:rFonts w:hint="eastAsia" w:ascii="仿宋" w:hAnsi="仿宋" w:eastAsia="仿宋"/>
          <w:sz w:val="28"/>
          <w:szCs w:val="28"/>
          <w:lang w:val="en-US" w:eastAsia="zh-CN"/>
        </w:rPr>
        <w:t>9</w:t>
      </w:r>
      <w:r>
        <w:rPr>
          <w:rFonts w:hint="eastAsia" w:ascii="仿宋" w:hAnsi="仿宋" w:eastAsia="仿宋"/>
          <w:sz w:val="28"/>
          <w:szCs w:val="28"/>
        </w:rPr>
        <w:t>：</w:t>
      </w:r>
      <w:r>
        <w:rPr>
          <w:rFonts w:hint="eastAsia" w:ascii="仿宋" w:hAnsi="仿宋" w:eastAsia="仿宋"/>
          <w:sz w:val="28"/>
          <w:szCs w:val="28"/>
          <w:lang w:val="en-US" w:eastAsia="zh-CN"/>
        </w:rPr>
        <w:t>3</w:t>
      </w:r>
      <w:r>
        <w:rPr>
          <w:rFonts w:hint="eastAsia" w:ascii="仿宋" w:hAnsi="仿宋" w:eastAsia="仿宋"/>
          <w:sz w:val="28"/>
          <w:szCs w:val="28"/>
        </w:rPr>
        <w:t>0投标人必须在投标截止时间前将投标文件交到投标地点。</w:t>
      </w:r>
    </w:p>
    <w:p>
      <w:pPr>
        <w:spacing w:line="320" w:lineRule="exact"/>
        <w:ind w:right="12" w:firstLine="480"/>
        <w:rPr>
          <w:rFonts w:ascii="仿宋" w:hAnsi="仿宋" w:eastAsia="仿宋"/>
          <w:sz w:val="28"/>
          <w:szCs w:val="28"/>
        </w:rPr>
      </w:pPr>
      <w:r>
        <w:rPr>
          <w:rFonts w:hint="eastAsia" w:ascii="仿宋" w:hAnsi="仿宋" w:eastAsia="仿宋"/>
          <w:sz w:val="28"/>
          <w:szCs w:val="28"/>
        </w:rPr>
        <w:t>（七）开标时间：202</w:t>
      </w:r>
      <w:r>
        <w:rPr>
          <w:rFonts w:hint="eastAsia" w:ascii="仿宋" w:hAnsi="仿宋" w:eastAsia="仿宋"/>
          <w:sz w:val="28"/>
          <w:szCs w:val="28"/>
          <w:lang w:val="en-US" w:eastAsia="zh-CN"/>
        </w:rPr>
        <w:t>2</w:t>
      </w:r>
      <w:r>
        <w:rPr>
          <w:rFonts w:hint="eastAsia" w:ascii="仿宋" w:hAnsi="仿宋" w:eastAsia="仿宋"/>
          <w:sz w:val="28"/>
          <w:szCs w:val="28"/>
        </w:rPr>
        <w:t>年</w:t>
      </w:r>
      <w:r>
        <w:rPr>
          <w:rFonts w:hint="eastAsia" w:ascii="仿宋" w:hAnsi="仿宋" w:eastAsia="仿宋"/>
          <w:sz w:val="28"/>
          <w:szCs w:val="28"/>
          <w:lang w:val="en-US" w:eastAsia="zh-CN"/>
        </w:rPr>
        <w:t>4</w:t>
      </w:r>
      <w:r>
        <w:rPr>
          <w:rFonts w:hint="eastAsia" w:ascii="仿宋" w:hAnsi="仿宋" w:eastAsia="仿宋"/>
          <w:sz w:val="28"/>
          <w:szCs w:val="28"/>
        </w:rPr>
        <w:t>月</w:t>
      </w:r>
      <w:r>
        <w:rPr>
          <w:rFonts w:hint="eastAsia" w:ascii="仿宋" w:hAnsi="仿宋" w:eastAsia="仿宋"/>
          <w:sz w:val="28"/>
          <w:szCs w:val="28"/>
          <w:lang w:val="en-US" w:eastAsia="zh-CN"/>
        </w:rPr>
        <w:t>15</w:t>
      </w:r>
      <w:r>
        <w:rPr>
          <w:rFonts w:hint="eastAsia" w:ascii="仿宋" w:hAnsi="仿宋" w:eastAsia="仿宋"/>
          <w:sz w:val="28"/>
          <w:szCs w:val="28"/>
        </w:rPr>
        <w:t>日北京时间</w:t>
      </w:r>
      <w:r>
        <w:rPr>
          <w:rFonts w:hint="eastAsia" w:ascii="仿宋" w:hAnsi="仿宋" w:eastAsia="仿宋"/>
          <w:sz w:val="28"/>
          <w:szCs w:val="28"/>
          <w:lang w:val="en-US" w:eastAsia="zh-CN"/>
        </w:rPr>
        <w:t>9</w:t>
      </w:r>
      <w:r>
        <w:rPr>
          <w:rFonts w:hint="eastAsia" w:ascii="仿宋" w:hAnsi="仿宋" w:eastAsia="仿宋"/>
          <w:sz w:val="28"/>
          <w:szCs w:val="28"/>
        </w:rPr>
        <w:t>:</w:t>
      </w:r>
      <w:r>
        <w:rPr>
          <w:rFonts w:hint="eastAsia" w:ascii="仿宋" w:hAnsi="仿宋" w:eastAsia="仿宋"/>
          <w:sz w:val="28"/>
          <w:szCs w:val="28"/>
          <w:lang w:val="en-US" w:eastAsia="zh-CN"/>
        </w:rPr>
        <w:t>3</w:t>
      </w:r>
      <w:r>
        <w:rPr>
          <w:rFonts w:hint="eastAsia" w:ascii="仿宋" w:hAnsi="仿宋" w:eastAsia="仿宋"/>
          <w:sz w:val="28"/>
          <w:szCs w:val="28"/>
        </w:rPr>
        <w:t>0。</w:t>
      </w:r>
    </w:p>
    <w:p>
      <w:pPr>
        <w:spacing w:line="320" w:lineRule="exact"/>
        <w:ind w:right="12" w:firstLine="480"/>
        <w:rPr>
          <w:rFonts w:ascii="仿宋" w:hAnsi="仿宋" w:eastAsia="仿宋"/>
          <w:sz w:val="28"/>
          <w:szCs w:val="28"/>
        </w:rPr>
      </w:pPr>
      <w:r>
        <w:rPr>
          <w:rFonts w:hint="eastAsia" w:ascii="仿宋" w:hAnsi="仿宋" w:eastAsia="仿宋"/>
          <w:sz w:val="28"/>
          <w:szCs w:val="28"/>
        </w:rPr>
        <w:t>（八）开标地点：</w:t>
      </w:r>
      <w:r>
        <w:rPr>
          <w:rFonts w:hint="eastAsia" w:ascii="仿宋" w:hAnsi="仿宋" w:eastAsia="仿宋"/>
          <w:sz w:val="28"/>
          <w:szCs w:val="28"/>
          <w:lang w:val="en-US" w:eastAsia="zh-CN"/>
        </w:rPr>
        <w:t>潼南区住建委7楼开标室</w:t>
      </w:r>
      <w:r>
        <w:rPr>
          <w:rFonts w:hint="eastAsia" w:ascii="仿宋" w:hAnsi="仿宋" w:eastAsia="仿宋"/>
          <w:sz w:val="28"/>
          <w:szCs w:val="28"/>
        </w:rPr>
        <w:t>。</w:t>
      </w:r>
    </w:p>
    <w:p>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四、超过投标截止时间的投标，招标人和招标代理机构恕不接受。</w:t>
      </w:r>
    </w:p>
    <w:p>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人应在招标文件发出后对项目现场及周围环境自行踏勘。无论投标人是否踏勘过现场，均被认为在递交投标文件之前已踏勘现场，对本项目的风险和义务已经了解，并在投标文件中已充分考虑了现场和环境因素。踏勘现场所发生的费用由投标人自行承担。</w:t>
      </w:r>
    </w:p>
    <w:p>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人及其相关人员经过招标人的许可，可因踏勘目的进入工程现场，但投标人及其相关人员不得因此使招标人及其相关人员承担有关的责任和损失。投标人并应对由此而造成的死亡、人身伤害、财产损失、损害以及任何其它损失、损害和引起的费用和开支承担责任。</w:t>
      </w:r>
    </w:p>
    <w:p>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七、投标费用：投标人应承担其编制与递交投标文件所涉及的一切费用，无论投标结果如何，招标人对上述费用概不负责，均由投标人承担。</w:t>
      </w:r>
    </w:p>
    <w:p>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八、联系方式</w:t>
      </w:r>
    </w:p>
    <w:p>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（一）招标代理机构： 重庆立显企业管理顾问有限公司</w:t>
      </w:r>
    </w:p>
    <w:p>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联系人：舒老师            </w:t>
      </w:r>
    </w:p>
    <w:p>
      <w:pPr>
        <w:spacing w:line="320" w:lineRule="exact"/>
        <w:ind w:right="12" w:firstLine="480"/>
        <w:rPr>
          <w:rFonts w:hint="eastAsia" w:ascii="仿宋" w:hAnsi="仿宋" w:eastAsia="仿宋"/>
          <w:color w:val="000000"/>
          <w:sz w:val="28"/>
          <w:szCs w:val="28"/>
          <w:lang w:val="en-US" w:eastAsia="zh-CN"/>
        </w:rPr>
      </w:pPr>
      <w:r>
        <w:rPr>
          <w:rFonts w:hint="eastAsia" w:ascii="仿宋" w:hAnsi="仿宋" w:eastAsia="仿宋"/>
          <w:color w:val="000000"/>
          <w:sz w:val="28"/>
          <w:szCs w:val="28"/>
        </w:rPr>
        <w:t>电  话：</w:t>
      </w:r>
      <w:r>
        <w:rPr>
          <w:rFonts w:hint="eastAsia" w:ascii="仿宋" w:hAnsi="仿宋" w:eastAsia="仿宋"/>
          <w:color w:val="000000"/>
          <w:sz w:val="28"/>
          <w:szCs w:val="28"/>
          <w:lang w:val="en-US" w:eastAsia="zh-CN"/>
        </w:rPr>
        <w:t>18983793339</w:t>
      </w:r>
    </w:p>
    <w:p>
      <w:pPr>
        <w:spacing w:line="320" w:lineRule="exact"/>
        <w:ind w:right="12" w:firstLine="480"/>
        <w:rPr>
          <w:rFonts w:ascii="仿宋" w:hAnsi="仿宋" w:eastAsia="仿宋"/>
          <w:sz w:val="28"/>
          <w:szCs w:val="28"/>
        </w:rPr>
      </w:pPr>
      <w:r>
        <w:rPr>
          <w:rFonts w:hint="eastAsia" w:ascii="仿宋" w:hAnsi="仿宋" w:eastAsia="仿宋"/>
          <w:color w:val="000000"/>
          <w:sz w:val="28"/>
          <w:szCs w:val="28"/>
        </w:rPr>
        <w:t>（二）招标人：</w:t>
      </w:r>
      <w:r>
        <w:rPr>
          <w:rFonts w:hint="eastAsia" w:ascii="仿宋" w:hAnsi="仿宋" w:eastAsia="仿宋"/>
          <w:color w:val="000000"/>
          <w:sz w:val="28"/>
          <w:szCs w:val="28"/>
          <w:lang w:eastAsia="zh-CN"/>
        </w:rPr>
        <w:t>重庆坤煌潼帆实业有限公司</w:t>
      </w:r>
      <w:r>
        <w:rPr>
          <w:rFonts w:hint="eastAsia" w:ascii="仿宋" w:hAnsi="仿宋" w:eastAsia="仿宋"/>
          <w:sz w:val="28"/>
          <w:szCs w:val="28"/>
        </w:rPr>
        <w:t>联系人：</w:t>
      </w:r>
      <w:r>
        <w:rPr>
          <w:rFonts w:hint="eastAsia" w:ascii="仿宋" w:hAnsi="仿宋" w:eastAsia="仿宋"/>
          <w:sz w:val="28"/>
          <w:szCs w:val="28"/>
          <w:lang w:val="en-US" w:eastAsia="zh-CN"/>
        </w:rPr>
        <w:t>黄</w:t>
      </w:r>
      <w:r>
        <w:rPr>
          <w:rFonts w:hint="eastAsia" w:ascii="仿宋" w:hAnsi="仿宋" w:eastAsia="仿宋"/>
          <w:sz w:val="28"/>
          <w:szCs w:val="28"/>
        </w:rPr>
        <w:t>先生</w:t>
      </w:r>
    </w:p>
    <w:p>
      <w:pPr>
        <w:spacing w:line="320" w:lineRule="exact"/>
        <w:ind w:right="12" w:firstLine="480"/>
        <w:rPr>
          <w:rFonts w:hint="default" w:ascii="仿宋" w:hAnsi="仿宋" w:eastAsia="仿宋"/>
          <w:color w:val="000000"/>
          <w:sz w:val="28"/>
          <w:szCs w:val="28"/>
          <w:lang w:val="en-US" w:eastAsia="zh-CN"/>
        </w:rPr>
      </w:pPr>
      <w:r>
        <w:rPr>
          <w:rFonts w:hint="eastAsia" w:ascii="仿宋" w:hAnsi="仿宋" w:eastAsia="仿宋"/>
          <w:sz w:val="28"/>
          <w:szCs w:val="28"/>
        </w:rPr>
        <w:t>电  话：</w:t>
      </w:r>
      <w:r>
        <w:rPr>
          <w:rFonts w:hint="eastAsia" w:ascii="仿宋" w:hAnsi="仿宋" w:eastAsia="仿宋"/>
          <w:sz w:val="28"/>
          <w:szCs w:val="28"/>
          <w:lang w:val="en-US" w:eastAsia="zh-CN"/>
        </w:rPr>
        <w:t>13983640948</w:t>
      </w:r>
    </w:p>
    <w:p>
      <w:pPr>
        <w:pStyle w:val="2"/>
      </w:pPr>
    </w:p>
    <w:p>
      <w:pPr>
        <w:snapToGrid w:val="0"/>
        <w:spacing w:line="500" w:lineRule="exact"/>
        <w:jc w:val="center"/>
        <w:outlineLvl w:val="0"/>
        <w:rPr>
          <w:rFonts w:ascii="仿宋" w:hAnsi="仿宋" w:eastAsia="仿宋"/>
          <w:color w:val="000000"/>
          <w:sz w:val="28"/>
          <w:szCs w:val="28"/>
        </w:rPr>
      </w:pPr>
      <w:bookmarkStart w:id="3" w:name="_Toc311729655"/>
      <w:bookmarkEnd w:id="3"/>
      <w:r>
        <w:rPr>
          <w:rFonts w:hint="eastAsia" w:ascii="仿宋" w:hAnsi="仿宋" w:eastAsia="仿宋"/>
          <w:b/>
          <w:color w:val="000000"/>
          <w:sz w:val="28"/>
          <w:szCs w:val="28"/>
        </w:rPr>
        <w:t>第二篇 项目介绍和服务要求</w:t>
      </w:r>
    </w:p>
    <w:p>
      <w:pPr>
        <w:spacing w:line="400" w:lineRule="atLeast"/>
        <w:ind w:right="12" w:firstLine="480"/>
      </w:pPr>
      <w:r>
        <w:rPr>
          <w:rFonts w:ascii="仿宋" w:hAnsi="仿宋" w:eastAsia="仿宋"/>
          <w:color w:val="000000"/>
          <w:sz w:val="28"/>
          <w:szCs w:val="28"/>
        </w:rPr>
        <w:t>投标人须明确承诺提供</w:t>
      </w:r>
      <w:r>
        <w:rPr>
          <w:rFonts w:hint="eastAsia" w:ascii="仿宋" w:hAnsi="仿宋" w:eastAsia="仿宋"/>
          <w:color w:val="000000"/>
          <w:sz w:val="28"/>
          <w:szCs w:val="28"/>
          <w:lang w:val="en-US" w:eastAsia="zh-CN"/>
        </w:rPr>
        <w:t>不低于住宅二</w:t>
      </w:r>
      <w:r>
        <w:rPr>
          <w:rFonts w:ascii="仿宋" w:hAnsi="仿宋" w:eastAsia="仿宋"/>
          <w:color w:val="000000"/>
          <w:sz w:val="28"/>
          <w:szCs w:val="28"/>
        </w:rPr>
        <w:t>级以上等级服务标准物业服务，具体服务方案请在投标文件中制作体现。</w:t>
      </w:r>
    </w:p>
    <w:p>
      <w:pPr>
        <w:spacing w:line="360" w:lineRule="exact"/>
        <w:ind w:right="11" w:firstLine="482"/>
        <w:rPr>
          <w:rFonts w:ascii="仿宋" w:hAnsi="仿宋" w:eastAsia="仿宋"/>
          <w:color w:val="000000"/>
          <w:sz w:val="28"/>
          <w:szCs w:val="28"/>
        </w:rPr>
      </w:pPr>
      <w:r>
        <w:rPr>
          <w:rFonts w:hint="eastAsia" w:ascii="仿宋" w:hAnsi="仿宋" w:eastAsia="仿宋"/>
          <w:color w:val="000000"/>
          <w:sz w:val="28"/>
          <w:szCs w:val="28"/>
        </w:rPr>
        <w:t>一、物业名称：坤煌（潼南）食品产业园</w:t>
      </w:r>
      <w:r>
        <w:rPr>
          <w:rFonts w:hint="eastAsia" w:ascii="仿宋" w:hAnsi="仿宋" w:eastAsia="仿宋"/>
          <w:color w:val="00B050"/>
          <w:sz w:val="28"/>
          <w:szCs w:val="28"/>
        </w:rPr>
        <w:t xml:space="preserve"> </w:t>
      </w:r>
    </w:p>
    <w:p>
      <w:pPr>
        <w:spacing w:line="360" w:lineRule="exact"/>
        <w:ind w:right="11" w:firstLine="482"/>
        <w:rPr>
          <w:rFonts w:ascii="仿宋" w:hAnsi="仿宋" w:eastAsia="仿宋"/>
          <w:color w:val="000000"/>
          <w:sz w:val="28"/>
          <w:szCs w:val="28"/>
        </w:rPr>
      </w:pPr>
      <w:r>
        <w:rPr>
          <w:rFonts w:hint="eastAsia" w:ascii="仿宋" w:hAnsi="仿宋" w:eastAsia="仿宋"/>
          <w:color w:val="000000"/>
          <w:sz w:val="28"/>
          <w:szCs w:val="28"/>
        </w:rPr>
        <w:t>二、物业位置：</w:t>
      </w:r>
      <w:r>
        <w:rPr>
          <w:rFonts w:hint="default" w:ascii="仿宋" w:hAnsi="仿宋" w:eastAsia="仿宋"/>
          <w:color w:val="000000"/>
          <w:sz w:val="28"/>
          <w:szCs w:val="28"/>
          <w:lang w:val="en-US"/>
        </w:rPr>
        <w:t>潼南工业园南区C-27-02号地块</w:t>
      </w:r>
    </w:p>
    <w:p>
      <w:pPr>
        <w:spacing w:line="360" w:lineRule="exact"/>
        <w:ind w:right="11" w:firstLine="482"/>
        <w:rPr>
          <w:rFonts w:ascii="仿宋" w:hAnsi="仿宋" w:eastAsia="仿宋"/>
          <w:color w:val="000000"/>
          <w:sz w:val="28"/>
          <w:szCs w:val="28"/>
        </w:rPr>
      </w:pPr>
      <w:r>
        <w:rPr>
          <w:rFonts w:hint="eastAsia" w:ascii="仿宋" w:hAnsi="仿宋" w:eastAsia="仿宋"/>
          <w:color w:val="000000"/>
          <w:sz w:val="28"/>
          <w:szCs w:val="28"/>
        </w:rPr>
        <w:t>三、物业类型：厂房</w:t>
      </w:r>
    </w:p>
    <w:p>
      <w:pPr>
        <w:spacing w:line="360" w:lineRule="exact"/>
        <w:ind w:right="11" w:firstLine="482"/>
        <w:rPr>
          <w:rFonts w:ascii="仿宋" w:hAnsi="仿宋" w:eastAsia="仿宋"/>
          <w:color w:val="000000"/>
          <w:sz w:val="28"/>
          <w:szCs w:val="28"/>
        </w:rPr>
      </w:pPr>
      <w:r>
        <w:rPr>
          <w:rFonts w:hint="eastAsia" w:ascii="仿宋" w:hAnsi="仿宋" w:eastAsia="仿宋"/>
          <w:color w:val="000000"/>
          <w:sz w:val="28"/>
          <w:szCs w:val="28"/>
        </w:rPr>
        <w:t>四、物业面积：</w:t>
      </w:r>
    </w:p>
    <w:p>
      <w:pPr>
        <w:spacing w:line="360" w:lineRule="exact"/>
        <w:ind w:right="11" w:firstLine="482"/>
        <w:rPr>
          <w:rFonts w:ascii="仿宋" w:hAnsi="仿宋" w:eastAsia="仿宋"/>
          <w:sz w:val="28"/>
          <w:szCs w:val="28"/>
        </w:rPr>
      </w:pPr>
      <w:r>
        <w:rPr>
          <w:rFonts w:hint="eastAsia" w:ascii="仿宋" w:hAnsi="仿宋" w:eastAsia="仿宋"/>
          <w:color w:val="000000"/>
          <w:sz w:val="28"/>
          <w:szCs w:val="28"/>
        </w:rPr>
        <w:t>坤煌（潼南）食品产业园位于重庆潼南区工业园区南区</w:t>
      </w:r>
      <w:r>
        <w:rPr>
          <w:rFonts w:hint="default" w:ascii="仿宋" w:hAnsi="仿宋" w:eastAsia="仿宋"/>
          <w:color w:val="000000"/>
          <w:sz w:val="28"/>
          <w:szCs w:val="28"/>
          <w:lang w:val="en-US"/>
        </w:rPr>
        <w:t>C-27-02号地块</w:t>
      </w:r>
      <w:r>
        <w:rPr>
          <w:rFonts w:hint="eastAsia" w:ascii="仿宋" w:hAnsi="仿宋" w:eastAsia="仿宋"/>
          <w:color w:val="000000"/>
          <w:sz w:val="28"/>
          <w:szCs w:val="28"/>
        </w:rPr>
        <w:t>，本建筑区域规划设计为工业厂房，规划建设净用地面积</w:t>
      </w:r>
      <w:r>
        <w:rPr>
          <w:rFonts w:ascii="仿宋" w:hAnsi="仿宋" w:eastAsia="仿宋"/>
          <w:color w:val="000000"/>
          <w:sz w:val="28"/>
          <w:szCs w:val="28"/>
        </w:rPr>
        <w:t>57512.15</w:t>
      </w:r>
      <w:r>
        <w:rPr>
          <w:rFonts w:hint="eastAsia" w:ascii="仿宋" w:hAnsi="仿宋" w:eastAsia="仿宋"/>
          <w:color w:val="000000"/>
          <w:sz w:val="28"/>
          <w:szCs w:val="28"/>
        </w:rPr>
        <w:t>平方米，总建筑面积62489.20平方米，其中工业厂房面积61640.27平米，容积率为1.084，建筑密度46.39%，绿地率15.3%，项目东临Z14道路，</w:t>
      </w:r>
      <w:r>
        <w:rPr>
          <w:rFonts w:hint="eastAsia" w:ascii="仿宋" w:hAnsi="仿宋" w:eastAsia="仿宋"/>
          <w:sz w:val="28"/>
          <w:szCs w:val="28"/>
        </w:rPr>
        <w:t>西临雷波路，南临创新大道延长段，北临红旗路，项目共有22栋厂房,物业管理用房36平方米，地上停车位310个，绿化面积8798.95平方米。</w:t>
      </w:r>
    </w:p>
    <w:p>
      <w:pPr>
        <w:spacing w:line="360" w:lineRule="exact"/>
        <w:ind w:right="11" w:firstLine="482"/>
        <w:rPr>
          <w:rFonts w:ascii="仿宋" w:hAnsi="仿宋" w:eastAsia="仿宋"/>
          <w:sz w:val="28"/>
          <w:szCs w:val="28"/>
        </w:rPr>
      </w:pPr>
      <w:r>
        <w:rPr>
          <w:rFonts w:hint="eastAsia" w:ascii="仿宋" w:hAnsi="仿宋" w:eastAsia="仿宋"/>
          <w:sz w:val="28"/>
          <w:szCs w:val="28"/>
        </w:rPr>
        <w:t>五、规划建设基本情况</w:t>
      </w:r>
    </w:p>
    <w:p>
      <w:pPr>
        <w:spacing w:line="360" w:lineRule="exact"/>
        <w:ind w:right="11" w:firstLine="482"/>
        <w:rPr>
          <w:rFonts w:ascii="仿宋" w:hAnsi="仿宋" w:eastAsia="仿宋"/>
          <w:sz w:val="28"/>
          <w:szCs w:val="28"/>
        </w:rPr>
      </w:pPr>
      <w:r>
        <w:rPr>
          <w:rFonts w:hint="eastAsia" w:ascii="仿宋" w:hAnsi="仿宋" w:eastAsia="仿宋"/>
          <w:sz w:val="28"/>
          <w:szCs w:val="28"/>
        </w:rPr>
        <w:t>（一）建设单位及交付时间2022年5月31日</w:t>
      </w:r>
    </w:p>
    <w:p>
      <w:pPr>
        <w:spacing w:line="360" w:lineRule="exact"/>
        <w:ind w:right="11" w:firstLine="482"/>
        <w:rPr>
          <w:rFonts w:ascii="仿宋" w:hAnsi="仿宋" w:eastAsia="仿宋"/>
          <w:sz w:val="28"/>
          <w:szCs w:val="28"/>
        </w:rPr>
      </w:pPr>
      <w:r>
        <w:rPr>
          <w:rFonts w:hint="eastAsia" w:ascii="仿宋" w:hAnsi="仿宋" w:eastAsia="仿宋"/>
          <w:sz w:val="28"/>
          <w:szCs w:val="28"/>
        </w:rPr>
        <w:t>1、开发单位：重庆坤煌潼帆实业有限公司</w:t>
      </w:r>
    </w:p>
    <w:p>
      <w:pPr>
        <w:spacing w:line="360" w:lineRule="exact"/>
        <w:ind w:right="11" w:firstLine="482"/>
        <w:rPr>
          <w:rFonts w:ascii="仿宋" w:hAnsi="仿宋" w:eastAsia="仿宋"/>
          <w:sz w:val="28"/>
          <w:szCs w:val="28"/>
        </w:rPr>
      </w:pPr>
      <w:r>
        <w:rPr>
          <w:rFonts w:hint="eastAsia" w:ascii="仿宋" w:hAnsi="仿宋" w:eastAsia="仿宋"/>
          <w:sz w:val="28"/>
          <w:szCs w:val="28"/>
        </w:rPr>
        <w:t>2、计划竣工日期：  2022年5月31日</w:t>
      </w:r>
    </w:p>
    <w:p>
      <w:pPr>
        <w:spacing w:line="360" w:lineRule="exact"/>
        <w:ind w:right="11" w:firstLine="482"/>
        <w:rPr>
          <w:rFonts w:ascii="仿宋" w:hAnsi="仿宋" w:eastAsia="仿宋"/>
          <w:sz w:val="28"/>
          <w:szCs w:val="28"/>
        </w:rPr>
      </w:pPr>
      <w:r>
        <w:rPr>
          <w:rFonts w:hint="eastAsia" w:ascii="仿宋" w:hAnsi="仿宋" w:eastAsia="仿宋"/>
          <w:sz w:val="28"/>
          <w:szCs w:val="28"/>
        </w:rPr>
        <w:t>（二）物业设施设备</w:t>
      </w:r>
    </w:p>
    <w:p>
      <w:pPr>
        <w:spacing w:line="360" w:lineRule="exact"/>
        <w:ind w:right="11" w:firstLine="482"/>
        <w:rPr>
          <w:rFonts w:ascii="仿宋" w:hAnsi="仿宋" w:eastAsia="仿宋"/>
          <w:sz w:val="28"/>
          <w:szCs w:val="28"/>
        </w:rPr>
      </w:pPr>
      <w:r>
        <w:rPr>
          <w:rFonts w:hint="eastAsia" w:ascii="仿宋" w:hAnsi="仿宋" w:eastAsia="仿宋"/>
          <w:sz w:val="28"/>
          <w:szCs w:val="28"/>
        </w:rPr>
        <w:t>1.化粪池：1个，75立方米。</w:t>
      </w:r>
    </w:p>
    <w:p>
      <w:pPr>
        <w:spacing w:line="360" w:lineRule="exact"/>
        <w:ind w:right="11" w:firstLine="482"/>
        <w:rPr>
          <w:rFonts w:ascii="仿宋" w:hAnsi="仿宋" w:eastAsia="仿宋"/>
          <w:sz w:val="28"/>
          <w:szCs w:val="28"/>
        </w:rPr>
      </w:pPr>
      <w:r>
        <w:rPr>
          <w:rFonts w:hint="eastAsia" w:ascii="仿宋" w:hAnsi="仿宋" w:eastAsia="仿宋"/>
          <w:sz w:val="28"/>
          <w:szCs w:val="28"/>
        </w:rPr>
        <w:t>2.停车位：309个</w:t>
      </w:r>
    </w:p>
    <w:p>
      <w:pPr>
        <w:spacing w:line="360" w:lineRule="exact"/>
        <w:ind w:right="11" w:firstLine="482"/>
        <w:rPr>
          <w:rFonts w:ascii="仿宋" w:hAnsi="仿宋" w:eastAsia="仿宋"/>
          <w:sz w:val="28"/>
          <w:szCs w:val="28"/>
        </w:rPr>
      </w:pPr>
      <w:r>
        <w:rPr>
          <w:rFonts w:hint="eastAsia" w:ascii="仿宋" w:hAnsi="仿宋" w:eastAsia="仿宋"/>
          <w:sz w:val="28"/>
          <w:szCs w:val="28"/>
        </w:rPr>
        <w:t>3.2个主出入口， 电梯0台。</w:t>
      </w:r>
    </w:p>
    <w:p>
      <w:pPr>
        <w:spacing w:line="360" w:lineRule="exact"/>
        <w:ind w:right="11" w:firstLine="482"/>
        <w:rPr>
          <w:rFonts w:ascii="仿宋" w:hAnsi="仿宋" w:eastAsia="仿宋"/>
          <w:sz w:val="28"/>
          <w:szCs w:val="28"/>
        </w:rPr>
      </w:pPr>
      <w:r>
        <w:rPr>
          <w:rFonts w:hint="eastAsia" w:ascii="仿宋" w:hAnsi="仿宋" w:eastAsia="仿宋"/>
          <w:sz w:val="28"/>
          <w:szCs w:val="28"/>
        </w:rPr>
        <w:t>4.消防水池：1个（ 648立方米）</w:t>
      </w:r>
    </w:p>
    <w:p>
      <w:pPr>
        <w:spacing w:line="360" w:lineRule="exact"/>
        <w:ind w:right="11" w:firstLine="482"/>
        <w:rPr>
          <w:rFonts w:ascii="仿宋" w:hAnsi="仿宋" w:eastAsia="仿宋"/>
          <w:sz w:val="28"/>
          <w:szCs w:val="28"/>
        </w:rPr>
      </w:pPr>
      <w:r>
        <w:rPr>
          <w:rFonts w:hint="eastAsia" w:ascii="仿宋" w:hAnsi="仿宋" w:eastAsia="仿宋"/>
          <w:sz w:val="28"/>
          <w:szCs w:val="28"/>
        </w:rPr>
        <w:t>（三）配套情况</w:t>
      </w:r>
    </w:p>
    <w:p>
      <w:pPr>
        <w:spacing w:line="360" w:lineRule="exact"/>
        <w:ind w:right="11" w:firstLine="482"/>
        <w:rPr>
          <w:rFonts w:ascii="仿宋" w:hAnsi="仿宋" w:eastAsia="仿宋"/>
          <w:sz w:val="28"/>
          <w:szCs w:val="28"/>
        </w:rPr>
      </w:pPr>
      <w:r>
        <w:rPr>
          <w:rFonts w:hint="eastAsia" w:ascii="仿宋" w:hAnsi="仿宋" w:eastAsia="仿宋"/>
          <w:sz w:val="28"/>
          <w:szCs w:val="28"/>
        </w:rPr>
        <w:t>小区供水系统部分楼层采用市政供水；</w:t>
      </w:r>
    </w:p>
    <w:p>
      <w:pPr>
        <w:spacing w:line="360" w:lineRule="exact"/>
        <w:ind w:right="11" w:firstLine="482"/>
        <w:rPr>
          <w:rFonts w:ascii="仿宋" w:hAnsi="仿宋" w:eastAsia="仿宋"/>
          <w:sz w:val="28"/>
          <w:szCs w:val="28"/>
        </w:rPr>
      </w:pPr>
      <w:r>
        <w:rPr>
          <w:rFonts w:hint="eastAsia" w:ascii="仿宋" w:hAnsi="仿宋" w:eastAsia="仿宋"/>
          <w:sz w:val="28"/>
          <w:szCs w:val="28"/>
        </w:rPr>
        <w:t>小区共设置变压器22台；</w:t>
      </w:r>
    </w:p>
    <w:p>
      <w:pPr>
        <w:spacing w:line="360" w:lineRule="exact"/>
        <w:ind w:right="11" w:firstLine="482"/>
        <w:rPr>
          <w:rFonts w:ascii="仿宋" w:hAnsi="仿宋" w:eastAsia="仿宋"/>
          <w:sz w:val="28"/>
          <w:szCs w:val="28"/>
        </w:rPr>
      </w:pPr>
      <w:r>
        <w:rPr>
          <w:rFonts w:hint="eastAsia" w:ascii="仿宋" w:hAnsi="仿宋" w:eastAsia="仿宋"/>
          <w:sz w:val="28"/>
          <w:szCs w:val="28"/>
        </w:rPr>
        <w:t>小区安装有弱电系统中心机房；</w:t>
      </w:r>
    </w:p>
    <w:p>
      <w:pPr>
        <w:spacing w:line="360" w:lineRule="exact"/>
        <w:ind w:right="11" w:firstLine="482"/>
        <w:rPr>
          <w:rFonts w:ascii="仿宋" w:hAnsi="仿宋" w:eastAsia="仿宋"/>
          <w:sz w:val="28"/>
          <w:szCs w:val="28"/>
        </w:rPr>
      </w:pPr>
      <w:r>
        <w:rPr>
          <w:rFonts w:hint="eastAsia" w:ascii="仿宋" w:hAnsi="仿宋" w:eastAsia="仿宋"/>
          <w:sz w:val="28"/>
          <w:szCs w:val="28"/>
        </w:rPr>
        <w:t>废水处理池一座，室内、外合用消防水泵2组，喷淋泵2组，天然气预留管道，业主自行申请开通，正压送风系统1套，排烟机系统1套；</w:t>
      </w:r>
    </w:p>
    <w:p>
      <w:pPr>
        <w:spacing w:line="360" w:lineRule="exact"/>
        <w:ind w:right="11" w:firstLine="482"/>
        <w:rPr>
          <w:rFonts w:ascii="仿宋" w:hAnsi="仿宋" w:eastAsia="仿宋"/>
          <w:sz w:val="28"/>
          <w:szCs w:val="28"/>
        </w:rPr>
      </w:pPr>
      <w:r>
        <w:rPr>
          <w:rFonts w:hint="eastAsia" w:ascii="仿宋" w:hAnsi="仿宋" w:eastAsia="仿宋"/>
          <w:sz w:val="28"/>
          <w:szCs w:val="28"/>
        </w:rPr>
        <w:t>小区配置专用发电机组1台，发电机200千瓦；</w:t>
      </w:r>
    </w:p>
    <w:p>
      <w:pPr>
        <w:spacing w:line="360" w:lineRule="exact"/>
        <w:ind w:right="11" w:firstLine="482"/>
        <w:rPr>
          <w:rFonts w:ascii="仿宋" w:hAnsi="仿宋" w:eastAsia="仿宋"/>
          <w:sz w:val="28"/>
          <w:szCs w:val="28"/>
        </w:rPr>
      </w:pPr>
      <w:r>
        <w:rPr>
          <w:rFonts w:hint="eastAsia" w:ascii="仿宋" w:hAnsi="仿宋" w:eastAsia="仿宋"/>
          <w:sz w:val="28"/>
          <w:szCs w:val="28"/>
        </w:rPr>
        <w:t>污水检查井50座，雨水检查井70座。</w:t>
      </w:r>
    </w:p>
    <w:p>
      <w:pPr>
        <w:rPr>
          <w:rFonts w:ascii="仿宋" w:hAnsi="仿宋" w:eastAsia="仿宋"/>
          <w:sz w:val="28"/>
          <w:szCs w:val="28"/>
        </w:rPr>
      </w:pPr>
      <w:r>
        <w:rPr>
          <w:rFonts w:hint="eastAsia" w:ascii="仿宋" w:hAnsi="仿宋" w:eastAsia="仿宋"/>
          <w:sz w:val="28"/>
          <w:szCs w:val="28"/>
        </w:rPr>
        <w:t xml:space="preserve">     门卫室1个，消防控制室兼门卫室1个</w:t>
      </w:r>
    </w:p>
    <w:p>
      <w:pPr>
        <w:spacing w:line="400" w:lineRule="exact"/>
        <w:ind w:right="12" w:firstLine="480"/>
        <w:rPr>
          <w:rFonts w:ascii="仿宋" w:hAnsi="仿宋" w:eastAsia="仿宋"/>
          <w:sz w:val="28"/>
          <w:szCs w:val="28"/>
        </w:rPr>
      </w:pPr>
    </w:p>
    <w:p/>
    <w:p>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第三篇 项目商务要求</w:t>
      </w:r>
    </w:p>
    <w:p>
      <w:pPr>
        <w:spacing w:line="400" w:lineRule="exact"/>
        <w:ind w:right="12" w:firstLine="480"/>
        <w:rPr>
          <w:rFonts w:ascii="仿宋" w:hAnsi="仿宋" w:eastAsia="仿宋"/>
          <w:color w:val="000000"/>
          <w:sz w:val="28"/>
          <w:szCs w:val="28"/>
        </w:rPr>
      </w:pPr>
      <w:bookmarkStart w:id="4" w:name="_Toc271791968"/>
      <w:bookmarkEnd w:id="4"/>
      <w:r>
        <w:rPr>
          <w:rFonts w:hint="eastAsia" w:ascii="仿宋" w:hAnsi="仿宋" w:eastAsia="仿宋"/>
          <w:color w:val="000000"/>
          <w:sz w:val="28"/>
          <w:szCs w:val="28"/>
        </w:rPr>
        <w:t>一、服务时间：从项目交房入伙开始计算。</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二、地点：</w:t>
      </w:r>
      <w:r>
        <w:rPr>
          <w:rFonts w:hint="default" w:ascii="仿宋" w:hAnsi="仿宋" w:eastAsia="仿宋"/>
          <w:color w:val="000000"/>
          <w:sz w:val="28"/>
          <w:szCs w:val="28"/>
          <w:lang w:val="en-US"/>
        </w:rPr>
        <w:t>潼南工业园南区C-27-02号地块</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三、质量保证及售后服务内容：</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投标人应承诺提供的服务满足招标人要求。</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投标人应承诺根据招标人的合理建议，做好物业服务工作。</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投标人应承诺交房入伙后最短一年内，授受招标人的监督和管理，配合招标人的检查，需要整改的及时进行整改。</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投标人应承诺对服务人员进行培训，以提高服务人员的服务意识和服务质量。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投标人可根据自身实力，作更为优惠的服务承诺。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四、知识产权</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招标人在中华人民共和国境内使用投标人提供的货物及服务时免受第三方提出的侵犯其专利权或其它知识产权的起诉。如果第三方提出侵权指控，中标人应承担由此而引起的一切法律责任和费用。</w:t>
      </w:r>
    </w:p>
    <w:p>
      <w:pPr>
        <w:spacing w:line="400" w:lineRule="exact"/>
        <w:ind w:right="12" w:firstLine="480"/>
        <w:rPr>
          <w:rFonts w:ascii="仿宋" w:hAnsi="仿宋" w:eastAsia="仿宋"/>
          <w:color w:val="000000"/>
          <w:sz w:val="28"/>
          <w:szCs w:val="28"/>
        </w:rPr>
      </w:pPr>
      <w:bookmarkStart w:id="5" w:name="_Toc271791969"/>
      <w:bookmarkEnd w:id="5"/>
      <w:bookmarkStart w:id="6" w:name="_Toc271791971"/>
      <w:bookmarkEnd w:id="6"/>
      <w:r>
        <w:rPr>
          <w:rFonts w:hint="eastAsia" w:ascii="仿宋" w:hAnsi="仿宋" w:eastAsia="仿宋"/>
          <w:color w:val="000000"/>
          <w:sz w:val="28"/>
          <w:szCs w:val="28"/>
        </w:rPr>
        <w:t>五、其他未尽事宜由供需双方在商务合同中详细约定。</w:t>
      </w:r>
      <w:bookmarkStart w:id="7" w:name="_Toc311729662"/>
      <w:bookmarkEnd w:id="7"/>
    </w:p>
    <w:p>
      <w:pPr>
        <w:spacing w:line="500" w:lineRule="exact"/>
        <w:ind w:firstLine="560" w:firstLineChars="200"/>
        <w:jc w:val="left"/>
        <w:rPr>
          <w:rFonts w:ascii="仿宋" w:hAnsi="仿宋" w:eastAsia="仿宋"/>
          <w:color w:val="000000"/>
          <w:sz w:val="28"/>
          <w:szCs w:val="28"/>
        </w:rPr>
      </w:pPr>
    </w:p>
    <w:p>
      <w:pPr>
        <w:snapToGrid w:val="0"/>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 xml:space="preserve">第四篇 </w:t>
      </w:r>
      <w:bookmarkStart w:id="8" w:name="_Toc271791973"/>
      <w:bookmarkEnd w:id="8"/>
      <w:r>
        <w:rPr>
          <w:rFonts w:hint="eastAsia" w:ascii="仿宋" w:hAnsi="仿宋" w:eastAsia="仿宋"/>
          <w:b/>
          <w:color w:val="000000"/>
          <w:sz w:val="28"/>
          <w:szCs w:val="28"/>
        </w:rPr>
        <w:t>评标方法、评标标准、无效投标条款和废标条款</w:t>
      </w:r>
    </w:p>
    <w:p>
      <w:pPr>
        <w:spacing w:line="400" w:lineRule="exact"/>
        <w:ind w:right="12" w:firstLine="480"/>
        <w:rPr>
          <w:rFonts w:ascii="仿宋" w:hAnsi="仿宋" w:eastAsia="仿宋"/>
          <w:color w:val="000000"/>
          <w:sz w:val="28"/>
          <w:szCs w:val="28"/>
        </w:rPr>
      </w:pPr>
      <w:bookmarkStart w:id="9" w:name="_Toc316654047"/>
      <w:bookmarkEnd w:id="9"/>
      <w:bookmarkStart w:id="10" w:name="_Toc311729664"/>
      <w:r>
        <w:rPr>
          <w:rFonts w:hint="eastAsia" w:ascii="仿宋" w:hAnsi="仿宋" w:eastAsia="仿宋"/>
          <w:color w:val="000000"/>
          <w:sz w:val="28"/>
          <w:szCs w:val="28"/>
        </w:rPr>
        <w:t>一、评标方法</w:t>
      </w:r>
      <w:bookmarkEnd w:id="10"/>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（一）评标方法定义</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项目采用综合评分法进行评标。综合评分法是指投标文件满足招标文件全部实质性要求且按照评审因素的量化指标评审得分最高的投标人为中标候选人的评标方法。投标人总得分为价格、商务、技术、答辩等评定因素分别按照相应权重值计算分项得分后相加，满分为100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（二）评标程序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评标工作由招标机构负责组织，具体评标事务由依法组建的评标委员会负责（评标委员会成员由招标人到区住保科评标专家库随机抽取组成）。</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评标委员会成员到位后，推举其中一位评审专家担任评审组长，并由评审组长牵头组织该项目评审工作。评标委员会按以下程序独立履行评审职责：</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资格性检查。依据法律法规和招标文件的规定，对投标文件中的资格证明等进行审查，以确定投标人是否具备投标资格。请投标人代表手持一份法定代表人授权委托书和身份证原件，以便监标人在评标会现场确认身份。</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资格性检查资料表如下：</w:t>
      </w:r>
    </w:p>
    <w:tbl>
      <w:tblPr>
        <w:tblStyle w:val="14"/>
        <w:tblW w:w="10200"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77"/>
        <w:gridCol w:w="4110"/>
        <w:gridCol w:w="4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8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4987" w:type="dxa"/>
            <w:gridSpan w:val="2"/>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检查因素</w:t>
            </w:r>
          </w:p>
        </w:tc>
        <w:tc>
          <w:tcPr>
            <w:tcW w:w="4433" w:type="dxa"/>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780" w:type="dxa"/>
            <w:vMerge w:val="restart"/>
            <w:vAlign w:val="center"/>
          </w:tcPr>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1</w:t>
            </w:r>
          </w:p>
        </w:tc>
        <w:tc>
          <w:tcPr>
            <w:tcW w:w="877"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投标人应符合的基本资格条件</w:t>
            </w:r>
          </w:p>
        </w:tc>
        <w:tc>
          <w:tcPr>
            <w:tcW w:w="41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（1）具有独立承担民事责任的能力</w:t>
            </w:r>
          </w:p>
        </w:tc>
        <w:tc>
          <w:tcPr>
            <w:tcW w:w="4433"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投标人法人营业执照；</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投标人法定代表人身份证明或法定代表人授权代表委托书。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780" w:type="dxa"/>
            <w:vMerge w:val="continue"/>
            <w:vAlign w:val="center"/>
          </w:tcPr>
          <w:p>
            <w:pPr>
              <w:spacing w:line="400" w:lineRule="exact"/>
              <w:ind w:right="12" w:firstLine="480"/>
              <w:jc w:val="center"/>
              <w:rPr>
                <w:rFonts w:ascii="仿宋" w:hAnsi="仿宋" w:eastAsia="仿宋"/>
                <w:color w:val="000000"/>
                <w:sz w:val="28"/>
                <w:szCs w:val="28"/>
              </w:rPr>
            </w:pPr>
          </w:p>
        </w:tc>
        <w:tc>
          <w:tcPr>
            <w:tcW w:w="877" w:type="dxa"/>
            <w:vMerge w:val="continue"/>
            <w:vAlign w:val="center"/>
          </w:tcPr>
          <w:p>
            <w:pPr>
              <w:spacing w:line="400" w:lineRule="exact"/>
              <w:ind w:right="12" w:firstLine="480"/>
              <w:rPr>
                <w:rFonts w:ascii="仿宋" w:hAnsi="仿宋" w:eastAsia="仿宋"/>
                <w:color w:val="000000"/>
                <w:sz w:val="28"/>
                <w:szCs w:val="28"/>
              </w:rPr>
            </w:pPr>
          </w:p>
        </w:tc>
        <w:tc>
          <w:tcPr>
            <w:tcW w:w="41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tc>
        <w:tc>
          <w:tcPr>
            <w:tcW w:w="4433"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投标人提供诚信声明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80" w:type="dxa"/>
            <w:vMerge w:val="continue"/>
            <w:vAlign w:val="center"/>
          </w:tcPr>
          <w:p>
            <w:pPr>
              <w:spacing w:line="400" w:lineRule="exact"/>
              <w:ind w:right="12" w:firstLine="480"/>
              <w:jc w:val="center"/>
              <w:rPr>
                <w:rFonts w:ascii="仿宋" w:hAnsi="仿宋" w:eastAsia="仿宋"/>
                <w:color w:val="000000"/>
                <w:sz w:val="28"/>
                <w:szCs w:val="28"/>
              </w:rPr>
            </w:pPr>
          </w:p>
        </w:tc>
        <w:tc>
          <w:tcPr>
            <w:tcW w:w="877" w:type="dxa"/>
            <w:vMerge w:val="continue"/>
            <w:vAlign w:val="center"/>
          </w:tcPr>
          <w:p>
            <w:pPr>
              <w:spacing w:line="400" w:lineRule="exact"/>
              <w:ind w:right="12" w:firstLine="480"/>
              <w:rPr>
                <w:rFonts w:ascii="仿宋" w:hAnsi="仿宋" w:eastAsia="仿宋"/>
                <w:color w:val="000000"/>
                <w:sz w:val="28"/>
                <w:szCs w:val="28"/>
              </w:rPr>
            </w:pPr>
          </w:p>
        </w:tc>
        <w:tc>
          <w:tcPr>
            <w:tcW w:w="41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tc>
        <w:tc>
          <w:tcPr>
            <w:tcW w:w="4433" w:type="dxa"/>
            <w:vMerge w:val="continue"/>
            <w:vAlign w:val="center"/>
          </w:tcPr>
          <w:p>
            <w:pPr>
              <w:spacing w:line="400" w:lineRule="exact"/>
              <w:ind w:right="12" w:firstLine="480"/>
              <w:rPr>
                <w:rFonts w:ascii="仿宋" w:hAnsi="仿宋"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80" w:type="dxa"/>
            <w:vMerge w:val="continue"/>
            <w:vAlign w:val="center"/>
          </w:tcPr>
          <w:p>
            <w:pPr>
              <w:spacing w:line="400" w:lineRule="exact"/>
              <w:ind w:right="12" w:firstLine="480"/>
              <w:jc w:val="center"/>
              <w:rPr>
                <w:rFonts w:ascii="仿宋" w:hAnsi="仿宋" w:eastAsia="仿宋"/>
                <w:color w:val="000000"/>
                <w:sz w:val="28"/>
                <w:szCs w:val="28"/>
              </w:rPr>
            </w:pPr>
          </w:p>
        </w:tc>
        <w:tc>
          <w:tcPr>
            <w:tcW w:w="877" w:type="dxa"/>
            <w:vMerge w:val="continue"/>
            <w:vAlign w:val="center"/>
          </w:tcPr>
          <w:p>
            <w:pPr>
              <w:spacing w:line="400" w:lineRule="exact"/>
              <w:ind w:right="12" w:firstLine="480"/>
              <w:rPr>
                <w:rFonts w:ascii="仿宋" w:hAnsi="仿宋" w:eastAsia="仿宋"/>
                <w:color w:val="000000"/>
                <w:sz w:val="28"/>
                <w:szCs w:val="28"/>
              </w:rPr>
            </w:pPr>
          </w:p>
        </w:tc>
        <w:tc>
          <w:tcPr>
            <w:tcW w:w="41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（4）有依法缴纳税收的良好记录</w:t>
            </w:r>
          </w:p>
        </w:tc>
        <w:tc>
          <w:tcPr>
            <w:tcW w:w="4433" w:type="dxa"/>
            <w:vMerge w:val="continue"/>
            <w:vAlign w:val="center"/>
          </w:tcPr>
          <w:p>
            <w:pPr>
              <w:spacing w:line="400" w:lineRule="exact"/>
              <w:ind w:right="12" w:firstLine="480"/>
              <w:rPr>
                <w:rFonts w:ascii="仿宋" w:hAnsi="仿宋"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2</w:t>
            </w:r>
          </w:p>
        </w:tc>
        <w:tc>
          <w:tcPr>
            <w:tcW w:w="4987" w:type="dxa"/>
            <w:gridSpan w:val="2"/>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特定资格条件：投标人营业执照经营范围必须有物业管理。</w:t>
            </w:r>
          </w:p>
        </w:tc>
        <w:tc>
          <w:tcPr>
            <w:tcW w:w="4433"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证明材料的复印件（加盖投标人公章），原件备查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3</w:t>
            </w:r>
          </w:p>
        </w:tc>
        <w:tc>
          <w:tcPr>
            <w:tcW w:w="4987" w:type="dxa"/>
            <w:gridSpan w:val="2"/>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投标人明确承诺提供</w:t>
            </w:r>
            <w:r>
              <w:rPr>
                <w:rFonts w:hint="default" w:ascii="仿宋" w:hAnsi="仿宋" w:eastAsia="仿宋"/>
                <w:color w:val="000000"/>
                <w:sz w:val="28"/>
                <w:szCs w:val="28"/>
                <w:lang w:val="en-US"/>
              </w:rPr>
              <w:t>不低于二级</w:t>
            </w:r>
            <w:r>
              <w:rPr>
                <w:rFonts w:hint="eastAsia" w:ascii="仿宋" w:hAnsi="仿宋" w:eastAsia="仿宋"/>
                <w:color w:val="000000"/>
                <w:sz w:val="28"/>
                <w:szCs w:val="28"/>
              </w:rPr>
              <w:t>住宅物业服务或以上服务标准</w:t>
            </w:r>
          </w:p>
        </w:tc>
        <w:tc>
          <w:tcPr>
            <w:tcW w:w="4433"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投标人在投标文件中明确承诺提供</w:t>
            </w:r>
            <w:r>
              <w:rPr>
                <w:rFonts w:hint="default" w:ascii="仿宋" w:hAnsi="仿宋" w:eastAsia="仿宋"/>
                <w:color w:val="000000"/>
                <w:sz w:val="28"/>
                <w:szCs w:val="28"/>
                <w:lang w:val="en-US"/>
              </w:rPr>
              <w:t>不低于二级</w:t>
            </w:r>
            <w:r>
              <w:rPr>
                <w:rFonts w:hint="eastAsia" w:ascii="仿宋" w:hAnsi="仿宋" w:eastAsia="仿宋"/>
                <w:color w:val="000000"/>
                <w:sz w:val="28"/>
                <w:szCs w:val="28"/>
              </w:rPr>
              <w:t>住宅物业服务或以上服务标准，并清楚列举条款</w:t>
            </w:r>
          </w:p>
        </w:tc>
      </w:tr>
    </w:tbl>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2、符合性检查。依据招标文件的规定，从投标文件的有效性、完整性和对招标文件的响应程度进行审查，以确定是否对招标文件的要求作出响应。</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符合性检查资料表如下：</w:t>
      </w:r>
    </w:p>
    <w:tbl>
      <w:tblPr>
        <w:tblStyle w:val="1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2410"/>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3544" w:type="dxa"/>
            <w:gridSpan w:val="2"/>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评审因素</w:t>
            </w:r>
          </w:p>
        </w:tc>
        <w:tc>
          <w:tcPr>
            <w:tcW w:w="5409" w:type="dxa"/>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1</w:t>
            </w:r>
          </w:p>
        </w:tc>
        <w:tc>
          <w:tcPr>
            <w:tcW w:w="1134"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有效性审查</w:t>
            </w: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投标文件签署</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投标文件上法定代表人或其授权代表人的签字齐全。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pPr>
              <w:spacing w:line="400" w:lineRule="exact"/>
              <w:ind w:right="12" w:firstLine="480"/>
              <w:jc w:val="center"/>
              <w:rPr>
                <w:rFonts w:ascii="仿宋" w:hAnsi="仿宋" w:eastAsia="仿宋"/>
                <w:color w:val="000000"/>
                <w:sz w:val="28"/>
                <w:szCs w:val="28"/>
              </w:rPr>
            </w:pPr>
          </w:p>
        </w:tc>
        <w:tc>
          <w:tcPr>
            <w:tcW w:w="1134" w:type="dxa"/>
            <w:vMerge w:val="continue"/>
            <w:vAlign w:val="center"/>
          </w:tcPr>
          <w:p>
            <w:pPr>
              <w:spacing w:line="400" w:lineRule="exact"/>
              <w:ind w:right="12" w:firstLine="480"/>
              <w:rPr>
                <w:rFonts w:ascii="仿宋" w:hAnsi="仿宋" w:eastAsia="仿宋"/>
                <w:color w:val="000000"/>
                <w:sz w:val="28"/>
                <w:szCs w:val="28"/>
              </w:rPr>
            </w:pP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法定代表人身份证明或授权委托书有效，符合招标文件规定的格式且签章齐全。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pPr>
              <w:spacing w:line="400" w:lineRule="exact"/>
              <w:ind w:right="12" w:firstLine="480"/>
              <w:jc w:val="center"/>
              <w:rPr>
                <w:rFonts w:ascii="仿宋" w:hAnsi="仿宋" w:eastAsia="仿宋"/>
                <w:color w:val="000000"/>
                <w:sz w:val="28"/>
                <w:szCs w:val="28"/>
              </w:rPr>
            </w:pPr>
          </w:p>
        </w:tc>
        <w:tc>
          <w:tcPr>
            <w:tcW w:w="1134" w:type="dxa"/>
            <w:vMerge w:val="continue"/>
            <w:vAlign w:val="center"/>
          </w:tcPr>
          <w:p>
            <w:pPr>
              <w:spacing w:line="400" w:lineRule="exact"/>
              <w:ind w:right="12" w:firstLine="480"/>
              <w:rPr>
                <w:rFonts w:ascii="仿宋" w:hAnsi="仿宋" w:eastAsia="仿宋"/>
                <w:color w:val="000000"/>
                <w:sz w:val="28"/>
                <w:szCs w:val="28"/>
              </w:rPr>
            </w:pP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投标方案</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pPr>
              <w:spacing w:line="400" w:lineRule="exact"/>
              <w:ind w:right="12" w:firstLine="480"/>
              <w:jc w:val="center"/>
              <w:rPr>
                <w:rFonts w:ascii="仿宋" w:hAnsi="仿宋" w:eastAsia="仿宋"/>
                <w:color w:val="000000"/>
                <w:sz w:val="28"/>
                <w:szCs w:val="28"/>
              </w:rPr>
            </w:pPr>
          </w:p>
        </w:tc>
        <w:tc>
          <w:tcPr>
            <w:tcW w:w="1134" w:type="dxa"/>
            <w:vMerge w:val="continue"/>
            <w:vAlign w:val="center"/>
          </w:tcPr>
          <w:p>
            <w:pPr>
              <w:spacing w:line="400" w:lineRule="exact"/>
              <w:ind w:right="12" w:firstLine="480"/>
              <w:rPr>
                <w:rFonts w:ascii="仿宋" w:hAnsi="仿宋" w:eastAsia="仿宋"/>
                <w:color w:val="000000"/>
                <w:sz w:val="28"/>
                <w:szCs w:val="28"/>
              </w:rPr>
            </w:pP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报价唯一</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只能在限价范围内报价，只能有一个有效报价，不得提交选择性报价。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vAlign w:val="center"/>
          </w:tcPr>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2</w:t>
            </w:r>
          </w:p>
        </w:tc>
        <w:tc>
          <w:tcPr>
            <w:tcW w:w="1134"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完整性审查</w:t>
            </w: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投标文件份数</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投标文件正、副本数量符合招标文件要求。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vAlign w:val="center"/>
          </w:tcPr>
          <w:p>
            <w:pPr>
              <w:spacing w:line="400" w:lineRule="exact"/>
              <w:ind w:right="12" w:firstLine="480"/>
              <w:jc w:val="center"/>
              <w:rPr>
                <w:rFonts w:ascii="仿宋" w:hAnsi="仿宋" w:eastAsia="仿宋"/>
                <w:color w:val="000000"/>
                <w:sz w:val="28"/>
                <w:szCs w:val="28"/>
              </w:rPr>
            </w:pPr>
          </w:p>
        </w:tc>
        <w:tc>
          <w:tcPr>
            <w:tcW w:w="1134" w:type="dxa"/>
            <w:vMerge w:val="continue"/>
            <w:vAlign w:val="center"/>
          </w:tcPr>
          <w:p>
            <w:pPr>
              <w:spacing w:line="400" w:lineRule="exact"/>
              <w:ind w:right="12" w:firstLine="480"/>
              <w:rPr>
                <w:rFonts w:ascii="仿宋" w:hAnsi="仿宋" w:eastAsia="仿宋"/>
                <w:color w:val="000000"/>
                <w:sz w:val="28"/>
                <w:szCs w:val="28"/>
              </w:rPr>
            </w:pP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3</w:t>
            </w:r>
          </w:p>
        </w:tc>
        <w:tc>
          <w:tcPr>
            <w:tcW w:w="1134"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招标文件的响应程度审查</w:t>
            </w: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对招标文件第一篇和第二篇规定的招标内容全部作出响应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pPr>
              <w:spacing w:line="400" w:lineRule="exact"/>
              <w:ind w:right="12" w:firstLine="480"/>
              <w:rPr>
                <w:rFonts w:ascii="仿宋" w:hAnsi="仿宋" w:eastAsia="仿宋"/>
                <w:color w:val="000000"/>
                <w:sz w:val="28"/>
                <w:szCs w:val="28"/>
              </w:rPr>
            </w:pPr>
          </w:p>
        </w:tc>
        <w:tc>
          <w:tcPr>
            <w:tcW w:w="1134" w:type="dxa"/>
            <w:vMerge w:val="continue"/>
            <w:vAlign w:val="center"/>
          </w:tcPr>
          <w:p>
            <w:pPr>
              <w:spacing w:line="400" w:lineRule="exact"/>
              <w:ind w:right="12" w:firstLine="480"/>
              <w:rPr>
                <w:rFonts w:ascii="仿宋" w:hAnsi="仿宋" w:eastAsia="仿宋"/>
                <w:color w:val="000000"/>
                <w:sz w:val="28"/>
                <w:szCs w:val="28"/>
              </w:rPr>
            </w:pP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投标有效期</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满足招标文件规定。</w:t>
            </w:r>
          </w:p>
        </w:tc>
      </w:tr>
    </w:tbl>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澄清有关问题。对投标文件中含义不明确、同类问题表述不一致或者有明显文字和计算错误的内容，评标委员会可以现场要求投标人作出必要澄清、说明或者纠正。投标人的澄清、说明或者补正应当采用书面形式，由其法人或法人授权代表签字，其澄清的内容不得超出投标文件的范围或者改变投标文件的实质性内容。</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4、比较与评价。按招标文件中规定的评标方法和标准，对资格性检查和符合性检查合格的投标文件进行商务和技术评估。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各成员独立对每个有效投标人的投标文件进行评价、打分，然后由评审组长组织评标委员会成员对各评委打分情况进行核查及复核，个别评委对同一投标人同一评分项的打分偏离较大的，应对投标人的投标文件进行再次核对，确属打分有误的，应及时进行修正。</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复核后，招标代理机构汇总每个投标人每项评分因素的得分。</w:t>
      </w:r>
    </w:p>
    <w:p>
      <w:pPr>
        <w:numPr>
          <w:ilvl w:val="0"/>
          <w:numId w:val="2"/>
        </w:numPr>
        <w:spacing w:line="400" w:lineRule="exact"/>
        <w:ind w:right="12" w:firstLine="480"/>
      </w:pPr>
      <w:r>
        <w:rPr>
          <w:rFonts w:hint="eastAsia" w:ascii="仿宋" w:hAnsi="仿宋" w:eastAsia="仿宋"/>
          <w:color w:val="000000"/>
          <w:sz w:val="28"/>
          <w:szCs w:val="28"/>
        </w:rPr>
        <w:t>推荐中标候选人名单。按评审后得分由高到低的排列顺序推荐综合得分排名前三的投标人为本分包（项目）中标候选人，排名第一的为第一中标候选人。得分相同的，按经济标得分由高到低顺序排列。得分且投标报价都相同的由评标委员会根据公司实力推荐第一中标候选人。</w:t>
      </w:r>
    </w:p>
    <w:p>
      <w:pPr>
        <w:numPr>
          <w:ilvl w:val="0"/>
          <w:numId w:val="3"/>
        </w:num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评标标准</w:t>
      </w:r>
      <w:bookmarkStart w:id="11" w:name="_Toc311729665"/>
      <w:bookmarkEnd w:id="11"/>
      <w:r>
        <w:rPr>
          <w:rFonts w:hint="eastAsia" w:ascii="仿宋" w:hAnsi="仿宋" w:eastAsia="仿宋"/>
          <w:color w:val="000000"/>
          <w:sz w:val="28"/>
          <w:szCs w:val="28"/>
        </w:rPr>
        <w:t>：</w:t>
      </w:r>
    </w:p>
    <w:tbl>
      <w:tblPr>
        <w:tblStyle w:val="14"/>
        <w:tblpPr w:leftFromText="180" w:rightFromText="180" w:vertAnchor="text" w:horzAnchor="margin" w:tblpXSpec="left" w:tblpY="511"/>
        <w:tblOverlap w:val="never"/>
        <w:tblW w:w="9286" w:type="dxa"/>
        <w:tblInd w:w="0" w:type="dxa"/>
        <w:tblLayout w:type="fixed"/>
        <w:tblCellMar>
          <w:top w:w="0" w:type="dxa"/>
          <w:left w:w="108" w:type="dxa"/>
          <w:bottom w:w="0" w:type="dxa"/>
          <w:right w:w="108" w:type="dxa"/>
        </w:tblCellMar>
      </w:tblPr>
      <w:tblGrid>
        <w:gridCol w:w="1074"/>
        <w:gridCol w:w="553"/>
        <w:gridCol w:w="6730"/>
        <w:gridCol w:w="929"/>
      </w:tblGrid>
      <w:tr>
        <w:tblPrEx>
          <w:tblCellMar>
            <w:top w:w="0" w:type="dxa"/>
            <w:left w:w="108" w:type="dxa"/>
            <w:bottom w:w="0" w:type="dxa"/>
            <w:right w:w="108" w:type="dxa"/>
          </w:tblCellMar>
        </w:tblPrEx>
        <w:trPr>
          <w:trHeight w:val="411" w:hRule="atLeast"/>
        </w:trPr>
        <w:tc>
          <w:tcPr>
            <w:tcW w:w="1074" w:type="dxa"/>
            <w:tcBorders>
              <w:top w:val="single" w:color="000000" w:sz="4" w:space="0"/>
              <w:left w:val="single" w:color="000000" w:sz="4" w:space="0"/>
              <w:bottom w:val="single" w:color="000000" w:sz="4" w:space="0"/>
              <w:right w:val="single" w:color="auto" w:sz="4" w:space="0"/>
            </w:tcBorders>
            <w:vAlign w:val="center"/>
          </w:tcPr>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评分因素及权重</w:t>
            </w:r>
          </w:p>
        </w:tc>
        <w:tc>
          <w:tcPr>
            <w:tcW w:w="553" w:type="dxa"/>
            <w:tcBorders>
              <w:top w:val="single" w:color="000000" w:sz="4" w:space="0"/>
              <w:left w:val="single" w:color="auto" w:sz="4" w:space="0"/>
              <w:bottom w:val="single" w:color="000000" w:sz="4" w:space="0"/>
              <w:right w:val="single" w:color="000000" w:sz="4" w:space="0"/>
            </w:tcBorders>
            <w:vAlign w:val="center"/>
          </w:tcPr>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 xml:space="preserve">分值 </w:t>
            </w:r>
          </w:p>
        </w:tc>
        <w:tc>
          <w:tcPr>
            <w:tcW w:w="6730" w:type="dxa"/>
            <w:tcBorders>
              <w:top w:val="single" w:color="000000" w:sz="4" w:space="0"/>
              <w:left w:val="nil"/>
              <w:bottom w:val="single" w:color="000000" w:sz="4" w:space="0"/>
              <w:right w:val="single" w:color="000000" w:sz="4" w:space="0"/>
            </w:tcBorders>
            <w:vAlign w:val="center"/>
          </w:tcPr>
          <w:p>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评分标准</w:t>
            </w:r>
          </w:p>
        </w:tc>
        <w:tc>
          <w:tcPr>
            <w:tcW w:w="929" w:type="dxa"/>
            <w:tcBorders>
              <w:top w:val="single" w:color="000000" w:sz="4" w:space="0"/>
              <w:left w:val="nil"/>
              <w:bottom w:val="single" w:color="000000" w:sz="4" w:space="0"/>
              <w:right w:val="single" w:color="000000" w:sz="4" w:space="0"/>
            </w:tcBorders>
            <w:vAlign w:val="center"/>
          </w:tcPr>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 xml:space="preserve">说明 </w:t>
            </w:r>
          </w:p>
        </w:tc>
      </w:tr>
      <w:tr>
        <w:tblPrEx>
          <w:tblCellMar>
            <w:top w:w="0" w:type="dxa"/>
            <w:left w:w="108" w:type="dxa"/>
            <w:bottom w:w="0" w:type="dxa"/>
            <w:right w:w="108" w:type="dxa"/>
          </w:tblCellMar>
        </w:tblPrEx>
        <w:trPr>
          <w:trHeight w:val="693" w:hRule="atLeast"/>
        </w:trPr>
        <w:tc>
          <w:tcPr>
            <w:tcW w:w="1074" w:type="dxa"/>
            <w:vMerge w:val="restart"/>
            <w:tcBorders>
              <w:top w:val="single" w:color="000000" w:sz="4" w:space="0"/>
              <w:left w:val="single" w:color="000000" w:sz="4" w:space="0"/>
              <w:right w:val="single" w:color="auto" w:sz="4" w:space="0"/>
            </w:tcBorders>
            <w:vAlign w:val="center"/>
          </w:tcPr>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经济</w:t>
            </w:r>
          </w:p>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部分</w:t>
            </w:r>
          </w:p>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40%</w:t>
            </w:r>
          </w:p>
        </w:tc>
        <w:tc>
          <w:tcPr>
            <w:tcW w:w="553" w:type="dxa"/>
            <w:vMerge w:val="restart"/>
            <w:tcBorders>
              <w:top w:val="single" w:color="000000" w:sz="4" w:space="0"/>
              <w:left w:val="single" w:color="auto" w:sz="4" w:space="0"/>
              <w:right w:val="single" w:color="000000" w:sz="4" w:space="0"/>
            </w:tcBorders>
            <w:vAlign w:val="center"/>
          </w:tcPr>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40分</w:t>
            </w:r>
          </w:p>
        </w:tc>
        <w:tc>
          <w:tcPr>
            <w:tcW w:w="6730" w:type="dxa"/>
            <w:tcBorders>
              <w:top w:val="single" w:color="000000" w:sz="4" w:space="0"/>
              <w:left w:val="nil"/>
              <w:bottom w:val="single" w:color="auto" w:sz="4" w:space="0"/>
              <w:right w:val="single" w:color="000000" w:sz="4" w:space="0"/>
            </w:tcBorders>
            <w:vAlign w:val="center"/>
          </w:tcPr>
          <w:p>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1、</w:t>
            </w:r>
            <w:r>
              <w:rPr>
                <w:rFonts w:hint="eastAsia" w:ascii="仿宋" w:hAnsi="仿宋" w:eastAsia="仿宋"/>
                <w:color w:val="000000"/>
                <w:sz w:val="28"/>
                <w:szCs w:val="28"/>
                <w:lang w:val="en-US" w:eastAsia="zh-CN"/>
              </w:rPr>
              <w:t>厂房30</w:t>
            </w:r>
            <w:r>
              <w:rPr>
                <w:rFonts w:hint="eastAsia" w:ascii="仿宋" w:hAnsi="仿宋" w:eastAsia="仿宋"/>
                <w:color w:val="000000"/>
                <w:sz w:val="28"/>
                <w:szCs w:val="28"/>
              </w:rPr>
              <w:t>分：与标底相比±0.10元，扣</w:t>
            </w:r>
            <w:r>
              <w:rPr>
                <w:rFonts w:hint="default" w:ascii="仿宋" w:hAnsi="仿宋" w:eastAsia="仿宋"/>
                <w:color w:val="000000"/>
                <w:sz w:val="28"/>
                <w:szCs w:val="28"/>
                <w:lang w:val="en-US"/>
              </w:rPr>
              <w:t>2</w:t>
            </w:r>
            <w:r>
              <w:rPr>
                <w:rFonts w:hint="eastAsia" w:ascii="仿宋" w:hAnsi="仿宋" w:eastAsia="仿宋"/>
                <w:color w:val="000000"/>
                <w:sz w:val="28"/>
                <w:szCs w:val="28"/>
              </w:rPr>
              <w:t>分</w:t>
            </w:r>
          </w:p>
        </w:tc>
        <w:tc>
          <w:tcPr>
            <w:tcW w:w="929" w:type="dxa"/>
            <w:vMerge w:val="restart"/>
            <w:tcBorders>
              <w:top w:val="single" w:color="000000" w:sz="4" w:space="0"/>
              <w:left w:val="nil"/>
              <w:right w:val="single" w:color="000000" w:sz="4" w:space="0"/>
            </w:tcBorders>
            <w:vAlign w:val="center"/>
          </w:tcPr>
          <w:p>
            <w:pPr>
              <w:spacing w:line="440" w:lineRule="exact"/>
              <w:ind w:right="12" w:firstLine="480"/>
              <w:rPr>
                <w:rFonts w:ascii="仿宋" w:hAnsi="仿宋" w:eastAsia="仿宋"/>
                <w:color w:val="000000"/>
                <w:sz w:val="28"/>
                <w:szCs w:val="28"/>
              </w:rPr>
            </w:pPr>
          </w:p>
        </w:tc>
      </w:tr>
      <w:tr>
        <w:tblPrEx>
          <w:tblCellMar>
            <w:top w:w="0" w:type="dxa"/>
            <w:left w:w="108" w:type="dxa"/>
            <w:bottom w:w="0" w:type="dxa"/>
            <w:right w:w="108" w:type="dxa"/>
          </w:tblCellMar>
        </w:tblPrEx>
        <w:trPr>
          <w:trHeight w:val="300" w:hRule="atLeast"/>
        </w:trPr>
        <w:tc>
          <w:tcPr>
            <w:tcW w:w="1074" w:type="dxa"/>
            <w:vMerge w:val="continue"/>
            <w:tcBorders>
              <w:left w:val="single" w:color="000000" w:sz="4" w:space="0"/>
              <w:bottom w:val="single" w:color="000000" w:sz="4" w:space="0"/>
              <w:right w:val="single" w:color="auto" w:sz="4" w:space="0"/>
            </w:tcBorders>
            <w:vAlign w:val="center"/>
          </w:tcPr>
          <w:p>
            <w:pPr>
              <w:spacing w:line="440" w:lineRule="exact"/>
              <w:ind w:right="12" w:firstLine="480"/>
              <w:rPr>
                <w:rFonts w:ascii="仿宋" w:hAnsi="仿宋" w:eastAsia="仿宋"/>
                <w:color w:val="000000"/>
                <w:sz w:val="28"/>
                <w:szCs w:val="28"/>
              </w:rPr>
            </w:pPr>
          </w:p>
        </w:tc>
        <w:tc>
          <w:tcPr>
            <w:tcW w:w="553" w:type="dxa"/>
            <w:vMerge w:val="continue"/>
            <w:tcBorders>
              <w:left w:val="single" w:color="auto" w:sz="4" w:space="0"/>
              <w:bottom w:val="single" w:color="000000" w:sz="4" w:space="0"/>
              <w:right w:val="single" w:color="000000" w:sz="4" w:space="0"/>
            </w:tcBorders>
            <w:vAlign w:val="center"/>
          </w:tcPr>
          <w:p>
            <w:pPr>
              <w:spacing w:line="440" w:lineRule="exact"/>
              <w:ind w:right="12" w:firstLine="480"/>
              <w:rPr>
                <w:rFonts w:ascii="仿宋" w:hAnsi="仿宋" w:eastAsia="仿宋"/>
                <w:color w:val="000000"/>
                <w:sz w:val="28"/>
                <w:szCs w:val="28"/>
              </w:rPr>
            </w:pPr>
          </w:p>
        </w:tc>
        <w:tc>
          <w:tcPr>
            <w:tcW w:w="6730" w:type="dxa"/>
            <w:tcBorders>
              <w:top w:val="single" w:color="auto" w:sz="4" w:space="0"/>
              <w:left w:val="nil"/>
              <w:bottom w:val="single" w:color="000000" w:sz="4" w:space="0"/>
              <w:right w:val="single" w:color="000000" w:sz="4" w:space="0"/>
            </w:tcBorders>
            <w:vAlign w:val="center"/>
          </w:tcPr>
          <w:p>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lang w:val="en-US" w:eastAsia="zh-CN"/>
              </w:rPr>
              <w:t>2</w:t>
            </w:r>
            <w:r>
              <w:rPr>
                <w:rFonts w:hint="eastAsia" w:ascii="仿宋" w:hAnsi="仿宋" w:eastAsia="仿宋"/>
                <w:color w:val="000000"/>
                <w:sz w:val="28"/>
                <w:szCs w:val="28"/>
              </w:rPr>
              <w:t>、车位10分：与标底相比±5.00元，扣1分</w:t>
            </w:r>
          </w:p>
        </w:tc>
        <w:tc>
          <w:tcPr>
            <w:tcW w:w="929" w:type="dxa"/>
            <w:vMerge w:val="continue"/>
            <w:tcBorders>
              <w:left w:val="nil"/>
              <w:bottom w:val="single" w:color="000000" w:sz="4" w:space="0"/>
              <w:right w:val="single" w:color="000000" w:sz="4" w:space="0"/>
            </w:tcBorders>
            <w:vAlign w:val="center"/>
          </w:tcPr>
          <w:p>
            <w:pPr>
              <w:spacing w:line="440" w:lineRule="exact"/>
              <w:ind w:right="12" w:firstLine="480"/>
              <w:rPr>
                <w:rFonts w:ascii="仿宋" w:hAnsi="仿宋" w:eastAsia="仿宋"/>
                <w:color w:val="000000"/>
                <w:sz w:val="28"/>
                <w:szCs w:val="28"/>
              </w:rPr>
            </w:pPr>
          </w:p>
        </w:tc>
      </w:tr>
      <w:tr>
        <w:tblPrEx>
          <w:tblCellMar>
            <w:top w:w="0" w:type="dxa"/>
            <w:left w:w="108" w:type="dxa"/>
            <w:bottom w:w="0" w:type="dxa"/>
            <w:right w:w="108" w:type="dxa"/>
          </w:tblCellMar>
        </w:tblPrEx>
        <w:trPr>
          <w:trHeight w:val="2623" w:hRule="atLeast"/>
        </w:trPr>
        <w:tc>
          <w:tcPr>
            <w:tcW w:w="1074" w:type="dxa"/>
            <w:tcBorders>
              <w:top w:val="nil"/>
              <w:left w:val="single" w:color="000000" w:sz="4" w:space="0"/>
              <w:right w:val="single" w:color="auto"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商务</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w:t>
            </w:r>
          </w:p>
        </w:tc>
        <w:tc>
          <w:tcPr>
            <w:tcW w:w="553" w:type="dxa"/>
            <w:tcBorders>
              <w:top w:val="nil"/>
              <w:left w:val="single" w:color="auto" w:sz="4" w:space="0"/>
              <w:right w:val="single" w:color="000000"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分</w:t>
            </w:r>
          </w:p>
        </w:tc>
        <w:tc>
          <w:tcPr>
            <w:tcW w:w="6730" w:type="dxa"/>
            <w:tcBorders>
              <w:top w:val="single" w:color="000000" w:sz="4" w:space="0"/>
              <w:left w:val="nil"/>
              <w:bottom w:val="single" w:color="auto" w:sz="4" w:space="0"/>
              <w:right w:val="single" w:color="000000" w:sz="4" w:space="0"/>
            </w:tcBorders>
            <w:vAlign w:val="center"/>
          </w:tcPr>
          <w:p>
            <w:pPr>
              <w:spacing w:line="400" w:lineRule="exact"/>
              <w:ind w:right="12" w:firstLine="480"/>
              <w:rPr>
                <w:rFonts w:ascii="仿宋" w:hAnsi="仿宋" w:eastAsia="仿宋"/>
                <w:color w:val="000000"/>
                <w:sz w:val="28"/>
                <w:szCs w:val="28"/>
              </w:rPr>
            </w:pPr>
            <w:r>
              <w:rPr>
                <w:rFonts w:hint="eastAsia"/>
              </w:rPr>
              <w:t>1</w:t>
            </w:r>
            <w:r>
              <w:rPr>
                <w:rFonts w:hint="eastAsia" w:ascii="仿宋" w:hAnsi="仿宋" w:eastAsia="仿宋"/>
                <w:color w:val="000000"/>
                <w:sz w:val="28"/>
                <w:szCs w:val="28"/>
              </w:rPr>
              <w:t>、注册资金300万（含300万）以上得</w:t>
            </w:r>
            <w:r>
              <w:rPr>
                <w:rFonts w:hint="eastAsia" w:ascii="仿宋" w:hAnsi="仿宋" w:eastAsia="仿宋"/>
                <w:color w:val="000000"/>
                <w:sz w:val="28"/>
                <w:szCs w:val="28"/>
                <w:lang w:val="en-US" w:eastAsia="zh-CN"/>
              </w:rPr>
              <w:t>3</w:t>
            </w:r>
            <w:r>
              <w:rPr>
                <w:rFonts w:hint="eastAsia" w:ascii="仿宋" w:hAnsi="仿宋" w:eastAsia="仿宋"/>
                <w:color w:val="000000"/>
                <w:sz w:val="28"/>
                <w:szCs w:val="28"/>
              </w:rPr>
              <w:t>分，此项最高分2分，招标公告发布过后变更增加的注册资金不得分。</w:t>
            </w:r>
          </w:p>
          <w:p>
            <w:pPr>
              <w:spacing w:line="400" w:lineRule="exact"/>
              <w:ind w:right="12" w:firstLine="480"/>
            </w:pPr>
            <w:r>
              <w:rPr>
                <w:rFonts w:hint="eastAsia" w:ascii="仿宋" w:hAnsi="仿宋" w:eastAsia="仿宋"/>
                <w:color w:val="000000"/>
                <w:sz w:val="28"/>
                <w:szCs w:val="28"/>
              </w:rPr>
              <w:t>2、投标人近两年具有</w:t>
            </w:r>
            <w:r>
              <w:rPr>
                <w:rFonts w:hint="eastAsia" w:ascii="仿宋" w:hAnsi="仿宋" w:eastAsia="仿宋"/>
                <w:color w:val="000000"/>
                <w:sz w:val="28"/>
                <w:szCs w:val="28"/>
                <w:lang w:val="en-US" w:eastAsia="zh-CN"/>
              </w:rPr>
              <w:t>厂房管理业</w:t>
            </w:r>
            <w:r>
              <w:rPr>
                <w:rFonts w:hint="eastAsia" w:ascii="仿宋" w:hAnsi="仿宋" w:eastAsia="仿宋"/>
                <w:color w:val="000000"/>
                <w:sz w:val="28"/>
                <w:szCs w:val="28"/>
              </w:rPr>
              <w:t>绩</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有得3</w:t>
            </w:r>
            <w:r>
              <w:rPr>
                <w:rFonts w:hint="eastAsia" w:ascii="仿宋" w:hAnsi="仿宋" w:eastAsia="仿宋"/>
                <w:color w:val="000000"/>
                <w:sz w:val="28"/>
                <w:szCs w:val="28"/>
              </w:rPr>
              <w:t>分。没有不得分。</w:t>
            </w:r>
          </w:p>
        </w:tc>
        <w:tc>
          <w:tcPr>
            <w:tcW w:w="929" w:type="dxa"/>
            <w:tcBorders>
              <w:top w:val="single" w:color="000000" w:sz="4" w:space="0"/>
              <w:left w:val="nil"/>
              <w:bottom w:val="single" w:color="auto" w:sz="4" w:space="0"/>
              <w:right w:val="single" w:color="000000" w:sz="4" w:space="0"/>
            </w:tcBorders>
            <w:vAlign w:val="center"/>
          </w:tcPr>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提供复印件加盖宣章，原件备查。</w:t>
            </w:r>
          </w:p>
        </w:tc>
      </w:tr>
      <w:tr>
        <w:tblPrEx>
          <w:tblCellMar>
            <w:top w:w="0" w:type="dxa"/>
            <w:left w:w="108" w:type="dxa"/>
            <w:bottom w:w="0" w:type="dxa"/>
            <w:right w:w="108" w:type="dxa"/>
          </w:tblCellMar>
        </w:tblPrEx>
        <w:trPr>
          <w:trHeight w:val="1260" w:hRule="atLeast"/>
        </w:trPr>
        <w:tc>
          <w:tcPr>
            <w:tcW w:w="1074" w:type="dxa"/>
            <w:tcBorders>
              <w:top w:val="single" w:color="auto" w:sz="4" w:space="0"/>
              <w:left w:val="single" w:color="000000" w:sz="4" w:space="0"/>
              <w:bottom w:val="single" w:color="auto" w:sz="4" w:space="0"/>
              <w:right w:val="single" w:color="auto" w:sz="4" w:space="0"/>
            </w:tcBorders>
            <w:vAlign w:val="center"/>
          </w:tcPr>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技术</w:t>
            </w:r>
          </w:p>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部分</w:t>
            </w:r>
          </w:p>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45%</w:t>
            </w:r>
          </w:p>
        </w:tc>
        <w:tc>
          <w:tcPr>
            <w:tcW w:w="553" w:type="dxa"/>
            <w:tcBorders>
              <w:top w:val="single" w:color="auto" w:sz="4" w:space="0"/>
              <w:left w:val="single" w:color="auto" w:sz="4" w:space="0"/>
              <w:bottom w:val="single" w:color="auto" w:sz="4" w:space="0"/>
              <w:right w:val="single" w:color="000000" w:sz="4" w:space="0"/>
            </w:tcBorders>
            <w:vAlign w:val="center"/>
          </w:tcPr>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45分</w:t>
            </w:r>
          </w:p>
        </w:tc>
        <w:tc>
          <w:tcPr>
            <w:tcW w:w="6730" w:type="dxa"/>
            <w:tcBorders>
              <w:top w:val="single" w:color="auto" w:sz="4" w:space="0"/>
              <w:left w:val="nil"/>
              <w:bottom w:val="single" w:color="auto" w:sz="4" w:space="0"/>
              <w:right w:val="single" w:color="000000" w:sz="4" w:space="0"/>
            </w:tcBorders>
            <w:vAlign w:val="center"/>
          </w:tcPr>
          <w:p>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以下</w:t>
            </w:r>
            <w:r>
              <w:rPr>
                <w:rFonts w:ascii="仿宋" w:hAnsi="仿宋" w:eastAsia="仿宋"/>
                <w:color w:val="000000"/>
                <w:sz w:val="28"/>
                <w:szCs w:val="28"/>
              </w:rPr>
              <w:t>各方面</w:t>
            </w:r>
            <w:r>
              <w:rPr>
                <w:rFonts w:hint="eastAsia" w:ascii="仿宋" w:hAnsi="仿宋" w:eastAsia="仿宋"/>
                <w:color w:val="000000"/>
                <w:sz w:val="28"/>
                <w:szCs w:val="28"/>
              </w:rPr>
              <w:t>，投标文件必须作出实质性响应，未响应条款按0分处理。评分标准如下：</w:t>
            </w:r>
          </w:p>
          <w:p>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1.物业管理的整体设想（5分）</w:t>
            </w:r>
          </w:p>
          <w:p>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2.项目组织机构设置和人员配置方案（5分）</w:t>
            </w:r>
          </w:p>
          <w:p>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3.物业服务人员招募、培训、上岗、培养教育、日常管理方案（5分）</w:t>
            </w:r>
          </w:p>
          <w:p>
            <w:pPr>
              <w:spacing w:line="440" w:lineRule="exact"/>
              <w:ind w:right="12" w:firstLine="480"/>
              <w:rPr>
                <w:rFonts w:hint="eastAsia"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.服务方案和管理措施（</w:t>
            </w:r>
            <w:r>
              <w:rPr>
                <w:rFonts w:hint="eastAsia" w:ascii="仿宋" w:hAnsi="仿宋" w:eastAsia="仿宋"/>
                <w:color w:val="000000"/>
                <w:sz w:val="28"/>
                <w:szCs w:val="28"/>
                <w:lang w:val="en-US" w:eastAsia="zh-CN"/>
              </w:rPr>
              <w:t>15</w:t>
            </w:r>
            <w:r>
              <w:rPr>
                <w:rFonts w:hint="eastAsia" w:ascii="仿宋" w:hAnsi="仿宋" w:eastAsia="仿宋"/>
                <w:color w:val="000000"/>
                <w:sz w:val="28"/>
                <w:szCs w:val="28"/>
              </w:rPr>
              <w:t>分）</w:t>
            </w:r>
          </w:p>
          <w:p>
            <w:pPr>
              <w:spacing w:line="440" w:lineRule="exact"/>
              <w:ind w:right="12" w:firstLine="480"/>
            </w:pPr>
            <w:r>
              <w:rPr>
                <w:rFonts w:hint="eastAsia" w:ascii="仿宋" w:hAnsi="仿宋" w:eastAsia="仿宋"/>
                <w:color w:val="000000" w:themeColor="text1"/>
                <w:sz w:val="28"/>
                <w:szCs w:val="28"/>
                <w:lang w:val="en-US" w:eastAsia="zh-CN"/>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物业前期承接查验方案（5分）</w:t>
            </w:r>
          </w:p>
          <w:p>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lang w:val="en-US" w:eastAsia="zh-CN"/>
              </w:rPr>
              <w:t>6</w:t>
            </w:r>
            <w:r>
              <w:rPr>
                <w:rFonts w:hint="eastAsia" w:ascii="仿宋" w:hAnsi="仿宋" w:eastAsia="仿宋"/>
                <w:color w:val="000000"/>
                <w:sz w:val="28"/>
                <w:szCs w:val="28"/>
              </w:rPr>
              <w:t>.突发应急预案（5分）</w:t>
            </w:r>
          </w:p>
          <w:p>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lang w:val="en-US" w:eastAsia="zh-CN"/>
              </w:rPr>
              <w:t>7</w:t>
            </w:r>
            <w:r>
              <w:rPr>
                <w:rFonts w:hint="eastAsia" w:ascii="仿宋" w:hAnsi="仿宋" w:eastAsia="仿宋"/>
                <w:color w:val="000000"/>
                <w:sz w:val="28"/>
                <w:szCs w:val="28"/>
              </w:rPr>
              <w:t>.</w:t>
            </w:r>
            <w:r>
              <w:rPr>
                <w:rFonts w:hint="eastAsia" w:ascii="仿宋" w:hAnsi="仿宋" w:eastAsia="仿宋"/>
                <w:color w:val="000000"/>
                <w:sz w:val="28"/>
                <w:szCs w:val="28"/>
                <w:lang w:val="en-US" w:eastAsia="zh-CN"/>
              </w:rPr>
              <w:t>疫情防控方案</w:t>
            </w:r>
            <w:r>
              <w:rPr>
                <w:rFonts w:hint="eastAsia" w:ascii="仿宋" w:hAnsi="仿宋" w:eastAsia="仿宋"/>
                <w:color w:val="000000"/>
                <w:sz w:val="28"/>
                <w:szCs w:val="28"/>
              </w:rPr>
              <w:t>（5分）</w:t>
            </w:r>
          </w:p>
          <w:p>
            <w:pPr>
              <w:spacing w:line="440" w:lineRule="exact"/>
              <w:ind w:right="12" w:firstLine="480"/>
              <w:rPr>
                <w:rFonts w:ascii="仿宋" w:hAnsi="仿宋" w:eastAsia="仿宋"/>
                <w:color w:val="000000"/>
                <w:sz w:val="28"/>
                <w:szCs w:val="28"/>
              </w:rPr>
            </w:pPr>
            <w:r>
              <w:rPr>
                <w:rFonts w:hint="eastAsia" w:ascii="仿宋" w:hAnsi="仿宋" w:eastAsia="仿宋"/>
                <w:color w:val="auto"/>
                <w:sz w:val="28"/>
                <w:szCs w:val="28"/>
              </w:rPr>
              <w:t>以上各条根据投标人提供的服务方案，由评标委员会各评审专家酌情评分。</w:t>
            </w:r>
          </w:p>
        </w:tc>
        <w:tc>
          <w:tcPr>
            <w:tcW w:w="929" w:type="dxa"/>
            <w:tcBorders>
              <w:top w:val="single" w:color="000000" w:sz="4" w:space="0"/>
              <w:left w:val="nil"/>
              <w:bottom w:val="single" w:color="000000" w:sz="4" w:space="0"/>
              <w:right w:val="single" w:color="000000" w:sz="4" w:space="0"/>
            </w:tcBorders>
            <w:vAlign w:val="center"/>
          </w:tcPr>
          <w:p>
            <w:pPr>
              <w:spacing w:line="440" w:lineRule="exact"/>
              <w:ind w:right="12" w:firstLine="480"/>
              <w:rPr>
                <w:rFonts w:ascii="仿宋" w:hAnsi="仿宋" w:eastAsia="仿宋"/>
                <w:color w:val="000000"/>
                <w:sz w:val="28"/>
                <w:szCs w:val="28"/>
              </w:rPr>
            </w:pPr>
          </w:p>
        </w:tc>
      </w:tr>
      <w:tr>
        <w:tblPrEx>
          <w:tblCellMar>
            <w:top w:w="0" w:type="dxa"/>
            <w:left w:w="108" w:type="dxa"/>
            <w:bottom w:w="0" w:type="dxa"/>
            <w:right w:w="108" w:type="dxa"/>
          </w:tblCellMar>
        </w:tblPrEx>
        <w:trPr>
          <w:trHeight w:val="1266" w:hRule="atLeast"/>
        </w:trPr>
        <w:tc>
          <w:tcPr>
            <w:tcW w:w="1074" w:type="dxa"/>
            <w:tcBorders>
              <w:top w:val="single" w:color="auto" w:sz="4" w:space="0"/>
              <w:left w:val="single" w:color="000000" w:sz="4" w:space="0"/>
              <w:bottom w:val="single" w:color="auto" w:sz="4" w:space="0"/>
              <w:right w:val="single" w:color="auto" w:sz="4" w:space="0"/>
            </w:tcBorders>
            <w:vAlign w:val="center"/>
          </w:tcPr>
          <w:p>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标书制作</w:t>
            </w: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w:t>
            </w:r>
          </w:p>
        </w:tc>
        <w:tc>
          <w:tcPr>
            <w:tcW w:w="553" w:type="dxa"/>
            <w:tcBorders>
              <w:top w:val="single" w:color="auto" w:sz="4" w:space="0"/>
              <w:left w:val="single" w:color="auto" w:sz="4" w:space="0"/>
              <w:bottom w:val="single" w:color="auto" w:sz="4" w:space="0"/>
              <w:right w:val="single" w:color="000000" w:sz="4" w:space="0"/>
            </w:tcBorders>
            <w:vAlign w:val="center"/>
          </w:tcPr>
          <w:p>
            <w:pPr>
              <w:spacing w:line="44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分</w:t>
            </w:r>
          </w:p>
        </w:tc>
        <w:tc>
          <w:tcPr>
            <w:tcW w:w="6730" w:type="dxa"/>
            <w:tcBorders>
              <w:top w:val="single" w:color="auto" w:sz="4" w:space="0"/>
              <w:left w:val="nil"/>
              <w:bottom w:val="single" w:color="auto" w:sz="4" w:space="0"/>
              <w:right w:val="single" w:color="000000" w:sz="4" w:space="0"/>
            </w:tcBorders>
            <w:vAlign w:val="center"/>
          </w:tcPr>
          <w:p>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根据标书制作是否规范，对技术部分的描述是否正确、是否完整、准确等方面进行考虑。分二个等级：a.优得</w:t>
            </w:r>
            <w:r>
              <w:rPr>
                <w:rFonts w:hint="default" w:ascii="仿宋" w:hAnsi="仿宋" w:eastAsia="仿宋"/>
                <w:color w:val="000000"/>
                <w:sz w:val="28"/>
                <w:szCs w:val="28"/>
                <w:lang w:val="en-US"/>
              </w:rPr>
              <w:t>5</w:t>
            </w:r>
            <w:r>
              <w:rPr>
                <w:rFonts w:hint="eastAsia" w:ascii="仿宋" w:hAnsi="仿宋" w:eastAsia="仿宋"/>
                <w:color w:val="000000"/>
                <w:sz w:val="28"/>
                <w:szCs w:val="28"/>
              </w:rPr>
              <w:t>分，b.一般得</w:t>
            </w:r>
            <w:r>
              <w:rPr>
                <w:rFonts w:hint="default" w:ascii="仿宋" w:hAnsi="仿宋" w:eastAsia="仿宋"/>
                <w:color w:val="000000"/>
                <w:sz w:val="28"/>
                <w:szCs w:val="28"/>
                <w:lang w:val="en-US"/>
              </w:rPr>
              <w:t>2</w:t>
            </w:r>
            <w:r>
              <w:rPr>
                <w:rFonts w:hint="eastAsia" w:ascii="仿宋" w:hAnsi="仿宋" w:eastAsia="仿宋"/>
                <w:color w:val="000000"/>
                <w:sz w:val="28"/>
                <w:szCs w:val="28"/>
              </w:rPr>
              <w:t>分。</w:t>
            </w:r>
          </w:p>
        </w:tc>
        <w:tc>
          <w:tcPr>
            <w:tcW w:w="929" w:type="dxa"/>
            <w:tcBorders>
              <w:top w:val="single" w:color="000000" w:sz="4" w:space="0"/>
              <w:left w:val="nil"/>
              <w:bottom w:val="single" w:color="000000" w:sz="4" w:space="0"/>
              <w:right w:val="single" w:color="000000" w:sz="4" w:space="0"/>
            </w:tcBorders>
            <w:vAlign w:val="center"/>
          </w:tcPr>
          <w:p>
            <w:pPr>
              <w:spacing w:line="440" w:lineRule="exact"/>
              <w:ind w:right="12" w:firstLine="480"/>
              <w:rPr>
                <w:rFonts w:ascii="仿宋" w:hAnsi="仿宋" w:eastAsia="仿宋"/>
                <w:color w:val="000000"/>
                <w:sz w:val="28"/>
                <w:szCs w:val="28"/>
              </w:rPr>
            </w:pPr>
          </w:p>
        </w:tc>
      </w:tr>
      <w:tr>
        <w:tblPrEx>
          <w:tblCellMar>
            <w:top w:w="0" w:type="dxa"/>
            <w:left w:w="108" w:type="dxa"/>
            <w:bottom w:w="0" w:type="dxa"/>
            <w:right w:w="108" w:type="dxa"/>
          </w:tblCellMar>
        </w:tblPrEx>
        <w:trPr>
          <w:trHeight w:val="1266" w:hRule="atLeast"/>
        </w:trPr>
        <w:tc>
          <w:tcPr>
            <w:tcW w:w="1074" w:type="dxa"/>
            <w:tcBorders>
              <w:top w:val="single" w:color="auto" w:sz="4" w:space="0"/>
              <w:left w:val="single" w:color="000000" w:sz="4" w:space="0"/>
              <w:bottom w:val="single" w:color="auto" w:sz="4" w:space="0"/>
              <w:right w:val="single" w:color="auto"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现场答辩部分</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5%</w:t>
            </w:r>
          </w:p>
        </w:tc>
        <w:tc>
          <w:tcPr>
            <w:tcW w:w="553" w:type="dxa"/>
            <w:tcBorders>
              <w:top w:val="single" w:color="auto" w:sz="4" w:space="0"/>
              <w:left w:val="single" w:color="auto" w:sz="4" w:space="0"/>
              <w:bottom w:val="single" w:color="auto" w:sz="4" w:space="0"/>
              <w:right w:val="single" w:color="000000"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5分</w:t>
            </w:r>
          </w:p>
        </w:tc>
        <w:tc>
          <w:tcPr>
            <w:tcW w:w="6730" w:type="dxa"/>
            <w:tcBorders>
              <w:top w:val="single" w:color="auto" w:sz="4" w:space="0"/>
              <w:left w:val="nil"/>
              <w:bottom w:val="single" w:color="auto" w:sz="4" w:space="0"/>
              <w:right w:val="single" w:color="000000" w:sz="4" w:space="0"/>
            </w:tcBorders>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对物业管理知识和物业管理的法律法规的熟悉程度，回答问题的准确性、条理性及完整性评分。</w:t>
            </w:r>
          </w:p>
        </w:tc>
        <w:tc>
          <w:tcPr>
            <w:tcW w:w="929" w:type="dxa"/>
            <w:tcBorders>
              <w:top w:val="single" w:color="000000" w:sz="4" w:space="0"/>
              <w:left w:val="nil"/>
              <w:bottom w:val="single" w:color="auto" w:sz="4" w:space="0"/>
              <w:right w:val="single" w:color="000000" w:sz="4" w:space="0"/>
            </w:tcBorders>
            <w:vAlign w:val="center"/>
          </w:tcPr>
          <w:p>
            <w:pPr>
              <w:spacing w:line="440" w:lineRule="exact"/>
              <w:ind w:right="12" w:firstLine="480"/>
              <w:rPr>
                <w:rFonts w:ascii="仿宋" w:hAnsi="仿宋" w:eastAsia="仿宋"/>
                <w:color w:val="000000"/>
                <w:sz w:val="28"/>
                <w:szCs w:val="28"/>
              </w:rPr>
            </w:pPr>
          </w:p>
        </w:tc>
      </w:tr>
    </w:tbl>
    <w:p>
      <w:pPr>
        <w:pStyle w:val="2"/>
      </w:pP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三、无效投标条款</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评标委员会评审时，投标人或其投标文件出现下列情况之一者，应为无效投标：</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（一）投标人未通过资格性检查的；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（二）投标人营业执照上经营范围无物业管理的；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（三）法定代表人为同一个人的两个及两个以上法人，母公司、全资子公司及其控股公司进行投标的，上述投标人的投标均无效；</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（四）投标文件出现多个投标方案或投标报价的；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（五）投标报价超出招标文件规定的单价最高限价的；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（六）投标文件含有违反国家法律、法规的内容，或附有招标人不能接受的条件的；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（七）经评标委员会审查，未对招标文件作实质性响应的；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（八）招标文件规定的其他无效投标条款。</w:t>
      </w:r>
    </w:p>
    <w:p>
      <w:pPr>
        <w:spacing w:line="400" w:lineRule="exact"/>
        <w:ind w:right="12" w:firstLine="480"/>
        <w:rPr>
          <w:rFonts w:ascii="仿宋" w:hAnsi="仿宋" w:eastAsia="仿宋"/>
          <w:color w:val="000000"/>
          <w:sz w:val="28"/>
          <w:szCs w:val="28"/>
        </w:rPr>
      </w:pPr>
      <w:bookmarkStart w:id="12" w:name="_Toc271791974"/>
      <w:bookmarkEnd w:id="12"/>
      <w:bookmarkStart w:id="13" w:name="_Toc311729666"/>
      <w:r>
        <w:rPr>
          <w:rFonts w:hint="eastAsia" w:ascii="仿宋" w:hAnsi="仿宋" w:eastAsia="仿宋"/>
          <w:color w:val="000000"/>
          <w:sz w:val="28"/>
          <w:szCs w:val="28"/>
        </w:rPr>
        <w:t>四、废标条款</w:t>
      </w:r>
      <w:bookmarkEnd w:id="13"/>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评标委员会评审时出现以下情况之一的，应予废标：</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（一）符合专业条件的投标人或者对招标文件作实质响应的投标人不足三家的。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（二）投标人的报价均超过了招标最高限价的。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（三）出现影响招标公正的违法、违规行为的。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（四）因重大变故，招标任务取消的。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废标后，应当重新组织招标。</w:t>
      </w:r>
      <w:bookmarkStart w:id="14" w:name="_Toc311729667"/>
      <w:bookmarkEnd w:id="14"/>
      <w:bookmarkStart w:id="15" w:name="_Toc271791975"/>
      <w:bookmarkEnd w:id="15"/>
    </w:p>
    <w:p>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第五篇 投标人须知</w:t>
      </w:r>
    </w:p>
    <w:p>
      <w:pPr>
        <w:spacing w:line="400" w:lineRule="exact"/>
        <w:ind w:right="12" w:firstLine="480"/>
        <w:rPr>
          <w:rFonts w:ascii="仿宋" w:hAnsi="仿宋" w:eastAsia="仿宋"/>
          <w:color w:val="000000"/>
          <w:sz w:val="28"/>
          <w:szCs w:val="28"/>
        </w:rPr>
      </w:pPr>
      <w:bookmarkStart w:id="16" w:name="_Toc271791976"/>
      <w:bookmarkEnd w:id="16"/>
      <w:bookmarkStart w:id="17" w:name="_Toc311729668"/>
      <w:r>
        <w:rPr>
          <w:rFonts w:hint="eastAsia" w:ascii="仿宋" w:hAnsi="仿宋" w:eastAsia="仿宋"/>
          <w:color w:val="000000"/>
          <w:sz w:val="28"/>
          <w:szCs w:val="28"/>
        </w:rPr>
        <w:t>一、投标费用</w:t>
      </w:r>
      <w:bookmarkEnd w:id="17"/>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无论投标结果如何，投标人参与本项目投标的所有费用均应由投标人自行承担。</w:t>
      </w:r>
    </w:p>
    <w:p>
      <w:pPr>
        <w:spacing w:line="400" w:lineRule="exact"/>
        <w:ind w:right="12" w:firstLine="480"/>
        <w:rPr>
          <w:rFonts w:ascii="仿宋" w:hAnsi="仿宋" w:eastAsia="仿宋"/>
          <w:color w:val="000000"/>
          <w:sz w:val="28"/>
          <w:szCs w:val="28"/>
        </w:rPr>
      </w:pPr>
      <w:bookmarkStart w:id="18" w:name="_Toc271791977"/>
      <w:bookmarkEnd w:id="18"/>
      <w:bookmarkStart w:id="19" w:name="_Toc311729669"/>
      <w:r>
        <w:rPr>
          <w:rFonts w:hint="eastAsia" w:ascii="仿宋" w:hAnsi="仿宋" w:eastAsia="仿宋"/>
          <w:color w:val="000000"/>
          <w:sz w:val="28"/>
          <w:szCs w:val="28"/>
        </w:rPr>
        <w:t>二、投标人</w:t>
      </w:r>
      <w:bookmarkEnd w:id="19"/>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1、合格投标人条件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合格投标人应完全符合招标文件第一篇中规定的投标人资格条件，并对招标文件作出实质性响应。</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2、投标人的风险</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投标人没有按照招标文件要求提供全部资料，或者投标人没有对招标文件在各方面作出实质性响应，可能导致投标被拒绝或评定为无效投标。</w:t>
      </w:r>
    </w:p>
    <w:p>
      <w:pPr>
        <w:spacing w:line="400" w:lineRule="exact"/>
        <w:ind w:right="12" w:firstLine="480"/>
        <w:rPr>
          <w:rFonts w:ascii="仿宋" w:hAnsi="仿宋" w:eastAsia="仿宋"/>
          <w:color w:val="000000"/>
          <w:sz w:val="28"/>
          <w:szCs w:val="28"/>
        </w:rPr>
      </w:pPr>
      <w:bookmarkStart w:id="20" w:name="_Toc271791978"/>
      <w:bookmarkEnd w:id="20"/>
      <w:bookmarkStart w:id="21" w:name="_Toc311729670"/>
      <w:r>
        <w:rPr>
          <w:rFonts w:hint="eastAsia" w:ascii="仿宋" w:hAnsi="仿宋" w:eastAsia="仿宋"/>
          <w:color w:val="000000"/>
          <w:sz w:val="28"/>
          <w:szCs w:val="28"/>
        </w:rPr>
        <w:t>三、招标文件</w:t>
      </w:r>
      <w:bookmarkEnd w:id="21"/>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招标文件是投标人编制投标文件的依据，是评标委员会评判依据和标准。招标文件也是招标人与中标投标人签订合同的基础。</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1、招标文件由投标邀请书；项目介绍和服务要求；商务条款；评标方法、评标标准、无效投标条款和废标条款；投标人须知；合同范本；投标文件格式等七部分组成。</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2、招标代理机构对招标文件所作的一切有效的书面通知、修改及补充，都是招标文件不可分割的部分。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3、投标人对招标文件如有异议，应在规定时间内以书面形式提交招标代理机构。招标代理机构对已发出的招标文件需要进行澄清或修改的，应以书面形式在重庆市潼南区住房和城乡建设委员会网站（http://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）进行通知。该澄清或者修改的内容为招标文件的组成部分。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4、投标人对招标文件有异议的，应在规定时间内提出，否则视同认可招标文件所有要求。逾期提出异议的，招标代理机构可以不予受理。</w:t>
      </w:r>
    </w:p>
    <w:p>
      <w:pPr>
        <w:spacing w:line="400" w:lineRule="exact"/>
        <w:ind w:right="12" w:firstLine="480"/>
        <w:rPr>
          <w:rFonts w:ascii="仿宋" w:hAnsi="仿宋" w:eastAsia="仿宋"/>
          <w:color w:val="000000"/>
          <w:sz w:val="28"/>
          <w:szCs w:val="28"/>
        </w:rPr>
      </w:pPr>
      <w:bookmarkStart w:id="22" w:name="_Toc271791979"/>
      <w:bookmarkEnd w:id="22"/>
      <w:bookmarkStart w:id="23" w:name="_Toc311729671"/>
      <w:r>
        <w:rPr>
          <w:rFonts w:hint="eastAsia" w:ascii="仿宋" w:hAnsi="仿宋" w:eastAsia="仿宋"/>
          <w:color w:val="000000"/>
          <w:sz w:val="28"/>
          <w:szCs w:val="28"/>
        </w:rPr>
        <w:t>四、投标文件</w:t>
      </w:r>
      <w:bookmarkEnd w:id="23"/>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投标人应当按照招标文件的要求编制投标文件，并对招标文件提出的要求和条件作出实质性响应。</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（一）投标文件组成</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投标文件由以下部分和投标人所作的一切有效补充、修改和承诺等文件组成，投标人应按照第七篇“投标文件格式”的目录顺序组织编写和装订。</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（二）投标文件的份数和签署.</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1、投标文件一式</w:t>
      </w:r>
      <w:r>
        <w:rPr>
          <w:rFonts w:hint="eastAsia" w:ascii="仿宋" w:hAnsi="仿宋" w:eastAsia="仿宋"/>
          <w:color w:val="000000"/>
          <w:sz w:val="28"/>
          <w:szCs w:val="28"/>
          <w:lang w:val="en-US" w:eastAsia="zh-CN"/>
        </w:rPr>
        <w:t>两</w:t>
      </w:r>
      <w:r>
        <w:rPr>
          <w:rFonts w:hint="eastAsia" w:ascii="仿宋" w:hAnsi="仿宋" w:eastAsia="仿宋"/>
          <w:color w:val="000000"/>
          <w:sz w:val="28"/>
          <w:szCs w:val="28"/>
        </w:rPr>
        <w:t>份，正副本</w:t>
      </w:r>
      <w:r>
        <w:rPr>
          <w:rFonts w:hint="eastAsia" w:ascii="仿宋" w:hAnsi="仿宋" w:eastAsia="仿宋"/>
          <w:color w:val="000000"/>
          <w:sz w:val="28"/>
          <w:szCs w:val="28"/>
          <w:lang w:val="en-US" w:eastAsia="zh-CN"/>
        </w:rPr>
        <w:t>各一份</w:t>
      </w:r>
      <w:r>
        <w:rPr>
          <w:rFonts w:hint="eastAsia" w:ascii="仿宋" w:hAnsi="仿宋" w:eastAsia="仿宋"/>
          <w:color w:val="000000"/>
          <w:sz w:val="28"/>
          <w:szCs w:val="28"/>
        </w:rPr>
        <w:t>，每份纸质投标文件内容须完全一样，须在封面清楚地标明“项目名称”和“投标人名称”，必须加盖鲜章。</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2、招标文件第七篇投标文件格式中规定签字、盖章的地方必须按其规定签字、盖章。</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3、若投标人对投标文件的错处作必要修改，则应在修改处加盖投标人公章或由法人或法人授权代表签字确认。</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4、电报、电话、传真形式的投标文件概不接受，如份数缺失或未按要求签字盖章则视为该投标人不具备投标资格。</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（三）投标报价</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1、投标报价应包括物业管理条例规定的物业服务当中应由物业服务企业承担的全部费用。</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2、投标人应严格按照“投标文件格式”中“报价函”格式进行报价。</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3、本项目只接受一个投标报价，该报价用于计算投标文件经济部分得分，最后的合同价格在该报价的基础上，须经过政府相关部门指导确认，合理调整后再签署。</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4、有选择的或有条件的报价将不予接受。</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（四）修正错误</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若投标文件出现计算或表达上的错误，修正错误的原则如下：</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1、报价函与收支分项测算不一致的，以报价函为准；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2、报价函的大写金额和小写金额不一致的，以大写金额为准；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3、金额小数点有明显错位的，应予以纠正；</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4、对不同文字文本投标文件的解释发生异议的，以中文文本为准。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评标委员会按上述修正错误的原则及方法调整或修正投标人投标报价，调整后的投标报价对投标人具有约束作用。如果投标人不接受修正后的报价，则其投标将作为无效投标处理。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（五）投标文件的递交</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1、投标文件的密封与标记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投标文件应用密封袋集中密封。密封袋上注明项目名称、投标人名称及“不准提前启封”字样。封口须加盖投标人公章。</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2、如果未按上述规定进行密封和标记，招标代理公司对投标文件误投、丢失或提前拆封不负责任；对未密封或密封情况特别糟糕的投标人，代理公司经过与甲方现场代表协商一致后可不认可其投标资格。</w:t>
      </w:r>
    </w:p>
    <w:p>
      <w:pPr>
        <w:spacing w:line="400" w:lineRule="exact"/>
        <w:ind w:right="12" w:firstLine="480"/>
        <w:rPr>
          <w:rFonts w:ascii="仿宋" w:hAnsi="仿宋" w:eastAsia="仿宋"/>
          <w:color w:val="000000"/>
          <w:sz w:val="28"/>
          <w:szCs w:val="28"/>
        </w:rPr>
      </w:pPr>
      <w:bookmarkStart w:id="24" w:name="_Toc271791980"/>
      <w:bookmarkEnd w:id="24"/>
      <w:bookmarkStart w:id="25" w:name="_Toc311729672"/>
      <w:r>
        <w:rPr>
          <w:rFonts w:hint="eastAsia" w:ascii="仿宋" w:hAnsi="仿宋" w:eastAsia="仿宋"/>
          <w:color w:val="000000"/>
          <w:sz w:val="28"/>
          <w:szCs w:val="28"/>
        </w:rPr>
        <w:t>五、开标</w:t>
      </w:r>
      <w:bookmarkEnd w:id="25"/>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（一）开标在招标文件中“投标邀请书”确定的时间和地点公开进行。</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（二）招标代理公司可以视招标具体情况，延长投标截止时间和开标时间，但至少应当在招标文件要求提交投标文件的截止时间三日前，将变更时间在重庆市潼南区住房和城乡建设委员会网站（http://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）书面通知。</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（三）开标由招标代理公司主持，邀请招标人、投标人、评审专家和有关监督部门代表参加。</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（四）开标时，由投标人或者其推选的代表检查投标文件的密封情况；经确认密封完好的投标文件，由工作人员当众拆封，宣读投标人投标文件“报价函”的投标人名称和投标报价，以及其他主要内容并记录。</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（五）未宣读的投标价格等实质性内容等，评标时不予承认。</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（六）开标过程应由签到表、报价确认表、专家评分表、招标人评分表、得分汇总表、经济标标底、监督人致辞组成。会后交物业主管部门存档备查。</w:t>
      </w:r>
    </w:p>
    <w:p>
      <w:pPr>
        <w:spacing w:line="400" w:lineRule="exact"/>
        <w:ind w:right="12" w:firstLine="480"/>
        <w:rPr>
          <w:rFonts w:ascii="仿宋" w:hAnsi="仿宋" w:eastAsia="仿宋"/>
          <w:color w:val="000000"/>
          <w:sz w:val="28"/>
          <w:szCs w:val="28"/>
        </w:rPr>
      </w:pPr>
      <w:bookmarkStart w:id="26" w:name="_Toc271791981"/>
      <w:bookmarkEnd w:id="26"/>
      <w:bookmarkStart w:id="27" w:name="_Toc311729673"/>
      <w:r>
        <w:rPr>
          <w:rFonts w:hint="eastAsia" w:ascii="仿宋" w:hAnsi="仿宋" w:eastAsia="仿宋"/>
          <w:color w:val="000000"/>
          <w:sz w:val="28"/>
          <w:szCs w:val="28"/>
        </w:rPr>
        <w:t>六、评标</w:t>
      </w:r>
      <w:bookmarkEnd w:id="27"/>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见第四篇“评标”内容。</w:t>
      </w:r>
    </w:p>
    <w:p>
      <w:pPr>
        <w:spacing w:line="400" w:lineRule="exact"/>
        <w:ind w:right="12" w:firstLine="480"/>
        <w:rPr>
          <w:rFonts w:ascii="仿宋" w:hAnsi="仿宋" w:eastAsia="仿宋"/>
          <w:color w:val="000000"/>
          <w:sz w:val="28"/>
          <w:szCs w:val="28"/>
        </w:rPr>
      </w:pPr>
      <w:bookmarkStart w:id="28" w:name="_Toc271791982"/>
      <w:bookmarkEnd w:id="28"/>
      <w:bookmarkStart w:id="29" w:name="_Toc311729674"/>
      <w:r>
        <w:rPr>
          <w:rFonts w:hint="eastAsia" w:ascii="仿宋" w:hAnsi="仿宋" w:eastAsia="仿宋"/>
          <w:color w:val="000000"/>
          <w:sz w:val="28"/>
          <w:szCs w:val="28"/>
        </w:rPr>
        <w:t>七、定标</w:t>
      </w:r>
      <w:bookmarkEnd w:id="29"/>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（一）定标原则</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招标人或其授权的评标委员会应按照评标报告中推荐的中标候选投标人排名顺序确定中标投标人。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（二）定标程序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1、招标代理机构在招标人代表和评标委员会打分结束后，当场统计各投标人的得分情况，并由评标委员会评审组长宣读评分结果同时对本次招投标情况进行点评。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开标会结束后，在重庆市潼南区住房和城乡建设委员会网站（http://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）发布公示评标结果。</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2、投标人对评标结果无异议的，招标人应在收到评标报告后3个工作日内对评标结果进行确认。如有投标人对评标结果提出质疑的，招标人可在质疑处理完毕后确定中标人。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3、中标投标人变更</w:t>
      </w:r>
    </w:p>
    <w:p>
      <w:pPr>
        <w:spacing w:line="400" w:lineRule="exact"/>
        <w:ind w:right="12" w:firstLine="480"/>
        <w:rPr>
          <w:rFonts w:ascii="仿宋" w:hAnsi="仿宋" w:eastAsia="仿宋"/>
          <w:color w:val="000000"/>
          <w:sz w:val="28"/>
          <w:szCs w:val="28"/>
        </w:rPr>
      </w:pPr>
      <w:bookmarkStart w:id="30" w:name="_Toc271791983"/>
      <w:bookmarkEnd w:id="30"/>
      <w:bookmarkStart w:id="31" w:name="_Toc311729675"/>
      <w:r>
        <w:rPr>
          <w:rFonts w:hint="eastAsia" w:ascii="仿宋" w:hAnsi="仿宋" w:eastAsia="仿宋"/>
          <w:color w:val="000000"/>
          <w:sz w:val="28"/>
          <w:szCs w:val="28"/>
        </w:rPr>
        <w:t>3.1若中标人因不可抗力或者自身原因不能履行合同的，须提交书面说明放弃中标人身份，招标人可以确定排名其后一位的中标候选人为中标人</w:t>
      </w:r>
      <w:bookmarkEnd w:id="31"/>
      <w:r>
        <w:rPr>
          <w:rFonts w:hint="eastAsia" w:ascii="仿宋" w:hAnsi="仿宋" w:eastAsia="仿宋"/>
          <w:color w:val="000000"/>
          <w:sz w:val="28"/>
          <w:szCs w:val="28"/>
        </w:rPr>
        <w:t>。</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3.2中标人如放弃中标身份但不提供书面手续的，招标人将会同招标代理机构把相关情况报当地物业主管部门，由物业主管部门酌情进行处罚，并在重庆市潼南区住房和城乡建设委员会网站（http://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）公示取消中标人中标身份。</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八、中标通知书</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（一）招标人依法确定中标人后，招标代理机构以书面形式发出中标通知书。</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（二）中标通知书发出后，招标人改变中标结果，应当承担相应的法律责任。如中标投标人放弃中标，须提交书面说明放弃中标人身份。</w:t>
      </w:r>
    </w:p>
    <w:p>
      <w:pPr>
        <w:spacing w:line="400" w:lineRule="exact"/>
        <w:ind w:right="12" w:firstLine="480"/>
        <w:rPr>
          <w:rFonts w:ascii="仿宋" w:hAnsi="仿宋" w:eastAsia="仿宋"/>
          <w:color w:val="000000"/>
          <w:sz w:val="28"/>
          <w:szCs w:val="28"/>
        </w:rPr>
      </w:pPr>
      <w:bookmarkStart w:id="32" w:name="_Toc271791984"/>
      <w:bookmarkEnd w:id="32"/>
      <w:bookmarkStart w:id="33" w:name="_Toc311729676"/>
      <w:r>
        <w:rPr>
          <w:rFonts w:hint="eastAsia" w:ascii="仿宋" w:hAnsi="仿宋" w:eastAsia="仿宋"/>
          <w:color w:val="000000"/>
          <w:sz w:val="28"/>
          <w:szCs w:val="28"/>
        </w:rPr>
        <w:t>九、</w:t>
      </w:r>
      <w:bookmarkEnd w:id="33"/>
      <w:bookmarkStart w:id="34" w:name="_Toc271791986"/>
      <w:bookmarkEnd w:id="34"/>
      <w:bookmarkStart w:id="35" w:name="_Toc271791985"/>
      <w:r>
        <w:rPr>
          <w:rFonts w:hint="eastAsia" w:ascii="仿宋" w:hAnsi="仿宋" w:eastAsia="仿宋"/>
          <w:color w:val="000000"/>
          <w:sz w:val="28"/>
          <w:szCs w:val="28"/>
        </w:rPr>
        <w:t>询问、质疑和投诉</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（一）询问</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招标人或者招标代理机构应当在1个</w:t>
      </w:r>
      <w:bookmarkStart w:id="43" w:name="_GoBack"/>
      <w:bookmarkEnd w:id="43"/>
      <w:r>
        <w:rPr>
          <w:rFonts w:hint="eastAsia" w:ascii="仿宋" w:hAnsi="仿宋" w:eastAsia="仿宋"/>
          <w:color w:val="000000"/>
          <w:sz w:val="28"/>
          <w:szCs w:val="28"/>
        </w:rPr>
        <w:t>工作日内对投标人依法提出的询问作出答复。投标人询问和招标人招标代理机构答复均可以是口头或书面形式。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（二）质疑</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1.质疑内容、时限</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1.1招标文件公告期限为招标公告发出之日起7个工作日，投标人对招标文件提出质疑的，应在招标文件公告期限内向招标人、招标代理机构提出。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 投标人对招标过程提出质疑的，应在各招标程序环节结束之日起三个工作日内以书面形式向招标人、招标代理机构提出，并附相关证明材料。</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1.3中标结果公告期限为中标结果公告发出之日起1个工作日，投标人对中标结果如有异议的，应当在中标结果公告后7日内以书面形式向招标人或招标代理机构提出质疑，并附相关证明材料。</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1.4投标人对招标文件中的投标人特定资格条件、技术质量和商务要求、评审标准有异议的，应主要向招标人提出质疑，其他问题可向招标代理机构提出质疑。</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2.质疑答复</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招标人、招标代理机构应当在收到投标人的书面质疑后一个工作日内作出答复，答复可以是口头或书面形式。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（三）投诉</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1.投标人对招标人、招标代理机构的答复不满意，或者招标人、招标代理机构未在规定时间内答复的，可在答复期满后十五个工作日内按有关规定，向招标人所在地主管部门投诉。</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2.在提出投诉时，应附送相关证明材料。</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在确定受理投诉后，主管部门自受理投诉之日起三十个工作日内（进行调查取证或者组织质证时间除外）对投诉事项做出处理决定，并将投诉处理决定书送达投诉人、被投诉人和其他与投诉处理决定有利害关系的招标相关当事人，同时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）公告投诉处理决定书。</w:t>
      </w:r>
    </w:p>
    <w:bookmarkEnd w:id="35"/>
    <w:p>
      <w:pPr>
        <w:spacing w:line="400" w:lineRule="exact"/>
        <w:ind w:right="12" w:firstLine="480"/>
        <w:rPr>
          <w:rFonts w:ascii="仿宋" w:hAnsi="仿宋" w:eastAsia="仿宋"/>
          <w:color w:val="000000"/>
          <w:sz w:val="28"/>
          <w:szCs w:val="28"/>
        </w:rPr>
      </w:pPr>
      <w:bookmarkStart w:id="36" w:name="_Toc311729679"/>
      <w:bookmarkEnd w:id="36"/>
      <w:r>
        <w:rPr>
          <w:rFonts w:hint="eastAsia" w:ascii="仿宋" w:hAnsi="仿宋" w:eastAsia="仿宋"/>
          <w:color w:val="000000"/>
          <w:sz w:val="28"/>
          <w:szCs w:val="28"/>
        </w:rPr>
        <w:t>十、签订合同及缴纳履约保证金</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（一）招标人应当自中标通知书发出之日起三十日内，按照招标文件和中标人投标文件的约定，与中标人签订书面合同。所签订的合同不得对招标文件和中标人投标文件作实质性修改。</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（二）招标文件、中标人的投标文件及澄清文件等，均为签订合同的依据。</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（三）合同生效条款由供需双方约定，法律、行政法规规定应当办理批准、登记等手续后生效的合同，依照其规定。</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（四）合同原则上应按照样本签订，相关单位要求适用合同通用格式版本的，应按其要求另行签订其他合同。</w:t>
      </w:r>
    </w:p>
    <w:p>
      <w:pPr>
        <w:pStyle w:val="13"/>
        <w:rPr>
          <w:rFonts w:hint="eastAsia" w:ascii="仿宋" w:hAnsi="仿宋" w:eastAsia="仿宋" w:cs="Times New Roman"/>
          <w:color w:val="000000"/>
          <w:kern w:val="2"/>
          <w:sz w:val="28"/>
          <w:szCs w:val="28"/>
          <w:lang w:val="en-US" w:eastAsia="zh-CN" w:bidi="ar-SA"/>
        </w:rPr>
      </w:pPr>
      <w:r>
        <w:rPr>
          <w:rFonts w:hint="eastAsia" w:ascii="仿宋" w:hAnsi="仿宋" w:eastAsia="仿宋" w:cs="Times New Roman"/>
          <w:color w:val="000000"/>
          <w:kern w:val="2"/>
          <w:sz w:val="28"/>
          <w:szCs w:val="28"/>
          <w:lang w:val="en-US" w:eastAsia="zh-CN" w:bidi="ar-SA"/>
        </w:rPr>
        <w:t>（五）中标人与招标单位签订合同时，不需缴纳履约保证金。</w:t>
      </w:r>
      <w:bookmarkStart w:id="37" w:name="_Toc311729678"/>
      <w:bookmarkEnd w:id="37"/>
    </w:p>
    <w:p>
      <w:pPr>
        <w:pStyle w:val="13"/>
        <w:rPr>
          <w:rFonts w:hint="eastAsia" w:ascii="仿宋" w:hAnsi="仿宋" w:eastAsia="仿宋" w:cs="Times New Roman"/>
          <w:color w:val="000000"/>
          <w:kern w:val="2"/>
          <w:sz w:val="28"/>
          <w:szCs w:val="28"/>
          <w:lang w:val="en-US" w:eastAsia="zh-CN" w:bidi="ar-SA"/>
        </w:rPr>
      </w:pPr>
    </w:p>
    <w:p>
      <w:pPr>
        <w:spacing w:line="500" w:lineRule="exact"/>
        <w:jc w:val="center"/>
        <w:outlineLvl w:val="0"/>
        <w:rPr>
          <w:rFonts w:ascii="仿宋" w:hAnsi="仿宋" w:eastAsia="仿宋"/>
          <w:b/>
          <w:bCs/>
          <w:color w:val="000000"/>
          <w:sz w:val="28"/>
          <w:szCs w:val="28"/>
        </w:rPr>
      </w:pPr>
      <w:r>
        <w:rPr>
          <w:rFonts w:hint="eastAsia" w:ascii="仿宋" w:hAnsi="仿宋" w:eastAsia="仿宋"/>
          <w:color w:val="000000"/>
          <w:sz w:val="28"/>
          <w:szCs w:val="28"/>
        </w:rPr>
        <w:t xml:space="preserve"> </w:t>
      </w:r>
      <w:bookmarkStart w:id="38" w:name="_Toc311729680"/>
      <w:bookmarkEnd w:id="38"/>
      <w:r>
        <w:rPr>
          <w:rFonts w:hint="eastAsia" w:ascii="仿宋" w:hAnsi="仿宋" w:eastAsia="仿宋"/>
          <w:b/>
          <w:color w:val="000000"/>
          <w:sz w:val="28"/>
          <w:szCs w:val="28"/>
        </w:rPr>
        <w:t>第六篇  合同样本</w:t>
      </w:r>
    </w:p>
    <w:p>
      <w:pPr>
        <w:spacing w:line="500" w:lineRule="exact"/>
        <w:jc w:val="center"/>
        <w:outlineLvl w:val="0"/>
        <w:rPr>
          <w:rFonts w:ascii="仿宋" w:hAnsi="仿宋" w:eastAsia="仿宋"/>
          <w:color w:val="000000"/>
          <w:sz w:val="28"/>
          <w:szCs w:val="28"/>
        </w:rPr>
      </w:pPr>
      <w:bookmarkStart w:id="39" w:name="_Toc271791987"/>
      <w:bookmarkEnd w:id="39"/>
      <w:r>
        <w:rPr>
          <w:rFonts w:hint="eastAsia" w:ascii="仿宋" w:hAnsi="仿宋" w:eastAsia="仿宋"/>
          <w:color w:val="000000"/>
          <w:sz w:val="28"/>
          <w:szCs w:val="28"/>
        </w:rPr>
        <w:t>前期物业管理服务合同</w:t>
      </w:r>
    </w:p>
    <w:p>
      <w:pPr>
        <w:snapToGrid w:val="0"/>
        <w:spacing w:line="240" w:lineRule="auto"/>
        <w:rPr>
          <w:rFonts w:hint="eastAsia" w:ascii="仿宋" w:hAnsi="仿宋" w:eastAsia="仿宋" w:cs="仿宋"/>
          <w:bCs/>
          <w:sz w:val="24"/>
          <w:szCs w:val="24"/>
        </w:rPr>
      </w:pPr>
      <w:bookmarkStart w:id="40" w:name="_Toc271791988"/>
      <w:bookmarkEnd w:id="40"/>
      <w:r>
        <w:rPr>
          <w:rFonts w:hint="eastAsia" w:ascii="仿宋" w:hAnsi="仿宋" w:eastAsia="仿宋" w:cs="仿宋"/>
          <w:bCs/>
          <w:sz w:val="24"/>
          <w:szCs w:val="24"/>
        </w:rPr>
        <w:t>合同当事人：</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甲方（建设单位）：</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统一社会信用代码：</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法定代表人：</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地  址：</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联系电话：</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乙方（物业管理企业）：</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统一社会信用代码：</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法定代表人：</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地 址：</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联系电话：</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根据《物业管理条例》《重庆市物业管理条例》规定，双方在自愿、平等、协商一致的基础上，就实施的物业管理服务事宜，订立本合同。</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第一章  物业管理区域概况</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第一条 </w:t>
      </w:r>
      <w:r>
        <w:rPr>
          <w:rFonts w:hint="eastAsia" w:ascii="仿宋" w:hAnsi="仿宋" w:eastAsia="仿宋" w:cs="仿宋"/>
          <w:sz w:val="24"/>
          <w:szCs w:val="24"/>
        </w:rPr>
        <w:t>物业基本情况</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物业名称：______ </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物业类型：__________</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座落位置：______</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东至： 西至：</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南至： 北至：</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占地面积：_______平方米</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总建筑面积：平方米（其中住宅_______平方米，非住宅_______平方米）；</w:t>
      </w:r>
    </w:p>
    <w:p>
      <w:pPr>
        <w:snapToGrid w:val="0"/>
        <w:spacing w:line="24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 xml:space="preserve">第二条 </w:t>
      </w:r>
      <w:r>
        <w:rPr>
          <w:rFonts w:hint="eastAsia" w:ascii="仿宋" w:hAnsi="仿宋" w:eastAsia="仿宋" w:cs="仿宋"/>
          <w:bCs/>
          <w:sz w:val="24"/>
          <w:szCs w:val="24"/>
        </w:rPr>
        <w:t>规划平面图、</w:t>
      </w:r>
      <w:r>
        <w:rPr>
          <w:rFonts w:hint="eastAsia" w:ascii="仿宋" w:hAnsi="仿宋" w:eastAsia="仿宋" w:cs="仿宋"/>
          <w:sz w:val="24"/>
          <w:szCs w:val="24"/>
        </w:rPr>
        <w:t>具体物业构成明细及所配置的共有设备设施明细详见附件一、附件二、附件三。</w:t>
      </w:r>
    </w:p>
    <w:p>
      <w:pPr>
        <w:numPr>
          <w:ilvl w:val="0"/>
          <w:numId w:val="4"/>
        </w:num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物业服务事项</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第三条 </w:t>
      </w:r>
      <w:r>
        <w:rPr>
          <w:rFonts w:hint="eastAsia" w:ascii="仿宋" w:hAnsi="仿宋" w:eastAsia="仿宋" w:cs="仿宋"/>
          <w:sz w:val="24"/>
          <w:szCs w:val="24"/>
        </w:rPr>
        <w:t>乙方提供的物业服务包括但不限于以下内容，双方另有约定的从其约定：</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（一）物业共有部位和共有设施设备的日常维修、养护、运行、管理。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（二）物业共有部位和公共区域的清洁卫生，化粪池清理，引导业主进行生活垃圾分类投放，对业主分类投放的生活垃圾进行分类收集清理。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（三）共有绿地、景观、花草树木的养护管理。同时对非法破坏、占用配套绿地（公共绿地区域）的行为及时劝阻、制止并报告有关部门。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（四）物业管理区域内交通秩序维护以及车辆停放管理。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（五）采取合理措施做好物业管理区域内安全防范工作。</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（六）负责编制物业共有部位、共有设施设备、共有绿地的年度维修养护方案。</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（七）制定本物业区域内服务应急事件预案，定期组织应急演练。</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（八）物业档案资料的保管。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（九）承接查验。</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（十）依法使用物业专项维修资金，对物业管理区域共有部位、共有设施的维修、更新和改造。</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（十一）装修管理。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（十二）法律法规规定应由乙方管理服务的其它事项。</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提供特约服务，具体服务标准、服务内容和服务价格应当在物业管理区域显著位置进行公示。相关法律法规规定由供水、供电、供暖、供气、有线、宽带等由专业经营单位维护的除外。</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第三章  物业服务等级及费用</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第四条</w:t>
      </w:r>
      <w:r>
        <w:rPr>
          <w:rFonts w:hint="eastAsia" w:ascii="仿宋" w:hAnsi="仿宋" w:eastAsia="仿宋" w:cs="仿宋"/>
          <w:sz w:val="24"/>
          <w:szCs w:val="24"/>
        </w:rPr>
        <w:t xml:space="preserve">  乙方提供的前期物业服务为重庆市住宅物业服务____ 级标准（具体服务标准见附件四）。非住宅物业服务标准可参照执行或另行约定。</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第五条  </w:t>
      </w:r>
      <w:r>
        <w:rPr>
          <w:rFonts w:hint="eastAsia" w:ascii="仿宋" w:hAnsi="仿宋" w:eastAsia="仿宋" w:cs="仿宋"/>
          <w:sz w:val="24"/>
          <w:szCs w:val="24"/>
        </w:rPr>
        <w:t>本物业的物业服务费用选择以下第____种方式：</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（一）包干制(物业服务费用的构成包括物业服务成本、法定税费和物业管理企业的利润)</w:t>
      </w:r>
    </w:p>
    <w:p>
      <w:pPr>
        <w:snapToGrid w:val="0"/>
        <w:spacing w:line="240" w:lineRule="auto"/>
        <w:ind w:left="640"/>
        <w:rPr>
          <w:rFonts w:hint="eastAsia" w:ascii="仿宋" w:hAnsi="仿宋" w:eastAsia="仿宋" w:cs="仿宋"/>
          <w:sz w:val="24"/>
          <w:szCs w:val="24"/>
        </w:rPr>
      </w:pPr>
      <w:r>
        <w:rPr>
          <w:rFonts w:hint="eastAsia" w:ascii="仿宋" w:hAnsi="仿宋" w:eastAsia="仿宋" w:cs="仿宋"/>
          <w:sz w:val="24"/>
          <w:szCs w:val="24"/>
        </w:rPr>
        <w:t>1.住宅</w:t>
      </w:r>
    </w:p>
    <w:p>
      <w:pPr>
        <w:pStyle w:val="19"/>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（1）有电梯住宅：________元/月•平方米（建筑面积）</w:t>
      </w:r>
    </w:p>
    <w:p>
      <w:pPr>
        <w:pStyle w:val="19"/>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（2）无电梯住宅：________元/月•平方米（建筑面积）</w:t>
      </w:r>
    </w:p>
    <w:p>
      <w:pPr>
        <w:snapToGrid w:val="0"/>
        <w:spacing w:line="240" w:lineRule="auto"/>
        <w:ind w:left="640"/>
        <w:rPr>
          <w:rFonts w:hint="eastAsia" w:ascii="仿宋" w:hAnsi="仿宋" w:eastAsia="仿宋" w:cs="仿宋"/>
          <w:sz w:val="24"/>
          <w:szCs w:val="24"/>
        </w:rPr>
      </w:pPr>
      <w:r>
        <w:rPr>
          <w:rFonts w:hint="eastAsia" w:ascii="仿宋" w:hAnsi="仿宋" w:eastAsia="仿宋" w:cs="仿宋"/>
          <w:sz w:val="24"/>
          <w:szCs w:val="24"/>
        </w:rPr>
        <w:t>2.非住宅：</w:t>
      </w:r>
    </w:p>
    <w:p>
      <w:pPr>
        <w:pStyle w:val="19"/>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（1）写 字 楼：______元/月•平方米（建筑面积）</w:t>
      </w:r>
    </w:p>
    <w:p>
      <w:pPr>
        <w:pStyle w:val="19"/>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（2）商业物业：______元/月•平方米（建筑面积）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（3）其他物业：_______元/月•平方米（建筑面积）</w:t>
      </w:r>
    </w:p>
    <w:p>
      <w:pPr>
        <w:pStyle w:val="19"/>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3.住宅改为经营性用房：______元/月•平方米（建筑面积）</w:t>
      </w:r>
    </w:p>
    <w:p>
      <w:pPr>
        <w:pStyle w:val="19"/>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4.水表、电表、气表均未启用和使用的住宅物业按______元/月•平方米（建筑面积）。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酬金制（酬金制是指在应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本物业管理区域的物业服务资金预收标准如下（按建筑面积计算）：</w:t>
      </w:r>
    </w:p>
    <w:p>
      <w:pPr>
        <w:pStyle w:val="19"/>
        <w:snapToGrid w:val="0"/>
        <w:spacing w:line="240" w:lineRule="auto"/>
        <w:ind w:left="640" w:firstLine="0" w:firstLineChars="0"/>
        <w:rPr>
          <w:rFonts w:hint="eastAsia" w:ascii="仿宋" w:hAnsi="仿宋" w:eastAsia="仿宋" w:cs="仿宋"/>
          <w:sz w:val="24"/>
          <w:szCs w:val="24"/>
        </w:rPr>
      </w:pPr>
      <w:r>
        <w:rPr>
          <w:rFonts w:hint="eastAsia" w:ascii="仿宋" w:hAnsi="仿宋" w:eastAsia="仿宋" w:cs="仿宋"/>
          <w:sz w:val="24"/>
          <w:szCs w:val="24"/>
        </w:rPr>
        <w:t>1.住宅：</w:t>
      </w:r>
    </w:p>
    <w:p>
      <w:pPr>
        <w:pStyle w:val="19"/>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（1）有电梯住宅________元/月•平方米（建筑面积）</w:t>
      </w:r>
    </w:p>
    <w:p>
      <w:pPr>
        <w:pStyle w:val="19"/>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（2）无电梯住宅________元/月•平方米（建筑面积）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2.非住宅：</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（1）写 字 楼：______元/月•平方米（建筑面积）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（2）商业物业：______元/月•平方米（建筑面积）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（3）其他物业：_______元/月•平方米（建筑面积）</w:t>
      </w:r>
    </w:p>
    <w:p>
      <w:pPr>
        <w:pStyle w:val="19"/>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3.住宅改为经营性用房：______元/月•平方米（建筑面积）</w:t>
      </w:r>
    </w:p>
    <w:p>
      <w:pPr>
        <w:pStyle w:val="19"/>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4. 水表、电表、气表均未启用和使用的住宅物业按______元/月•平方米（建筑面积）。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乙方选择以下第_____种方式对物业服务资金提取酬金：</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（1）乙方每月/每年按_______元的标准从物业服务资金中提取。</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（2）乙方每月/每年按应预收物业服务资金数额______%的比例提取。</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预收的物业服务资金为所交纳的业主所有，由乙方代管，并由乙方按已公示的预算方案主要用于以下开支：</w:t>
      </w:r>
    </w:p>
    <w:p>
      <w:pPr>
        <w:pStyle w:val="4"/>
        <w:numPr>
          <w:ilvl w:val="0"/>
          <w:numId w:val="0"/>
        </w:numPr>
        <w:snapToGrid w:val="0"/>
        <w:spacing w:before="0" w:after="0"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1.酬金</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管理服务人员的工资、社会保险和按规定提取的福利费等。</w:t>
      </w:r>
    </w:p>
    <w:p>
      <w:pPr>
        <w:pStyle w:val="4"/>
        <w:numPr>
          <w:ilvl w:val="0"/>
          <w:numId w:val="0"/>
        </w:numPr>
        <w:snapToGrid w:val="0"/>
        <w:spacing w:before="0" w:after="0"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2.支出</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（1）物业共有部位、共有设施设备的日常运行、维护费用。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（2）物业管理区域清洁卫生费用。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（3）物业管理区域绿化养护费用。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（4）物业管理区域秩序维护费用。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（5）办公费用。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（6）物业管理企业固定资产折旧。</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（7）物业共有部位、共有设施设备及公众责任保险费用。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（8）_______________其他费用。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预收的物业服务资金应当全部用于本合同约定的支出。物业服务支出年度结算后结余部分，转入下一年度继续使用，物业服务支出年度结算后不足部分，由业主承担。</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sz w:val="24"/>
          <w:szCs w:val="24"/>
        </w:rPr>
        <w:t xml:space="preserve">第六条  </w:t>
      </w:r>
      <w:r>
        <w:rPr>
          <w:rFonts w:hint="eastAsia" w:ascii="仿宋" w:hAnsi="仿宋" w:eastAsia="仿宋" w:cs="仿宋"/>
          <w:sz w:val="24"/>
          <w:szCs w:val="24"/>
        </w:rPr>
        <w:t>商业物业收费或成本中未包含能源消耗的，应独立计量核算，据实向相关业主分摊计收。</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第七条 </w:t>
      </w:r>
      <w:r>
        <w:rPr>
          <w:rFonts w:hint="eastAsia" w:ascii="仿宋" w:hAnsi="仿宋" w:eastAsia="仿宋" w:cs="仿宋"/>
          <w:sz w:val="24"/>
          <w:szCs w:val="24"/>
        </w:rPr>
        <w:t>本合同生效之日至物业交付之日发生的物业服务费，由甲方承担。物业交付后，物业服务费由业主承担，自甲方物业交付通知书约定的交付之日起计收。</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业主专有部分存在质量瑕疵需要整改的，由业主、乙方确认登记，并通知甲方进行整改，整改期物业服务费由甲方承担。整改完成后，物业服务费由业主收到整改完成通知书约定的交付之日起计收，若业主（使用人）对整改质量仍存异议未接房的，可通过协商或诉讼方式解决。</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业主与物业使用人约定由物业使用人交纳物业服务费用或相关资金的，从其约定，物业使用人不按照约定交纳的，业主应承担交纳责任。业主与物业使用人之间的交费约定，业主应当告知乙方。</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物业服务费按月收取，业主或物业使用人应在每月_____日前履行交纳义务，当事人另有约定的从其约定。业主转让物业时应结清物业服务费及其它相关费用。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业主（使用人）违反前期物业服务合同、小区临时管理规约的约定，未能按时足额地交纳物业服务费，乙方应当书面催交，业主逾期仍未交纳的，乙方可以向物业所在地人民法院起诉。</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第八条 </w:t>
      </w:r>
      <w:r>
        <w:rPr>
          <w:rFonts w:hint="eastAsia" w:ascii="仿宋" w:hAnsi="仿宋" w:eastAsia="仿宋" w:cs="仿宋"/>
          <w:sz w:val="24"/>
          <w:szCs w:val="24"/>
        </w:rPr>
        <w:t xml:space="preserve"> 物业服务费用实行酬金制方式计费的，乙方应向全体业主报告物业管理年度计划和物业服务资金年度预决算，并每半年1次向全体业主公布物业服务资金的收支情况。</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对物业服务资金收支情况有争议的，业主或乙方可以委托双方共同认可的专业审计机构对物业服务资金年度预决算和物业服务资金年度收支情况进行审计，审计费用从物业管理费用中列支，若审计发现乙方收支存在问题的，审计费用由乙方自行承担。</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第九条 </w:t>
      </w:r>
      <w:r>
        <w:rPr>
          <w:rFonts w:hint="eastAsia" w:ascii="仿宋" w:hAnsi="仿宋" w:eastAsia="仿宋" w:cs="仿宋"/>
          <w:sz w:val="24"/>
          <w:szCs w:val="24"/>
        </w:rPr>
        <w:t>小区室内规划停车位的物业服务费：_____元/位·月。</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第十条 </w:t>
      </w:r>
      <w:r>
        <w:rPr>
          <w:rFonts w:hint="eastAsia" w:ascii="仿宋" w:hAnsi="仿宋" w:eastAsia="仿宋" w:cs="仿宋"/>
          <w:sz w:val="24"/>
          <w:szCs w:val="24"/>
        </w:rPr>
        <w:t xml:space="preserve"> 业主大会成立前，乙方利用物业共有部位、共有设施设备开展多种经营的，应当符合法律、法规和规定，并按照下列规定开展。</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（一）本物业可以开展多种经营的场地范围是</w:t>
      </w:r>
      <w:r>
        <w:rPr>
          <w:rFonts w:hint="eastAsia" w:ascii="仿宋" w:hAnsi="仿宋" w:eastAsia="仿宋" w:cs="仿宋"/>
          <w:sz w:val="24"/>
          <w:szCs w:val="24"/>
        </w:rPr>
        <w:t>______________________________</w:t>
      </w:r>
      <w:r>
        <w:rPr>
          <w:rFonts w:hint="eastAsia" w:ascii="仿宋" w:hAnsi="仿宋" w:eastAsia="仿宋" w:cs="仿宋"/>
          <w:bCs/>
          <w:sz w:val="24"/>
          <w:szCs w:val="24"/>
        </w:rPr>
        <w:t>；上述范围内各类型、区域的场地有偿利用的最低收费标准是</w:t>
      </w:r>
      <w:r>
        <w:rPr>
          <w:rFonts w:hint="eastAsia" w:ascii="仿宋" w:hAnsi="仿宋" w:eastAsia="仿宋" w:cs="仿宋"/>
          <w:sz w:val="24"/>
          <w:szCs w:val="24"/>
        </w:rPr>
        <w:t>______________________________</w:t>
      </w:r>
      <w:r>
        <w:rPr>
          <w:rFonts w:hint="eastAsia" w:ascii="仿宋" w:hAnsi="仿宋" w:eastAsia="仿宋" w:cs="仿宋"/>
          <w:bCs/>
          <w:sz w:val="24"/>
          <w:szCs w:val="24"/>
        </w:rPr>
        <w:t>。</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（二）电梯、电梯外大堂等部位设置广告要符合相关的规定。</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（三）公共收益属全体业主共有，应独立核算、专户存储，定期公示。</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（四）乙方按所得收入提取管理服务费，提取比例是</w:t>
      </w:r>
      <w:r>
        <w:rPr>
          <w:rFonts w:hint="eastAsia" w:ascii="仿宋" w:hAnsi="仿宋" w:eastAsia="仿宋" w:cs="仿宋"/>
          <w:sz w:val="24"/>
          <w:szCs w:val="24"/>
        </w:rPr>
        <w:t>_______。（</w:t>
      </w:r>
      <w:r>
        <w:rPr>
          <w:rFonts w:hint="eastAsia" w:ascii="仿宋" w:hAnsi="仿宋" w:eastAsia="仿宋" w:cs="仿宋"/>
          <w:bCs/>
          <w:sz w:val="24"/>
          <w:szCs w:val="24"/>
        </w:rPr>
        <w:t>不得超过所得收入的30%）</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 xml:space="preserve">（五）乙方要对所有与公共收益相关的合同、会计凭证进行建档保管。乙方每半年在本物业管理区域显著位置公布公共收益收支情况，公示时间不少于7天。 </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六）本物业管理区域20%以上业主书面对公共收益收支提出异议的，可以根据本合同或者业主临时管理规约约定或者经业主大会决定后，在街道办事处、乡（镇）人民政府的指导下进行查询，或委托有资质的中介机构进行财务审计，也可以申请物业管理联席会议协调处理或者依法向人民法院提起诉讼。</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（七）本物业禁止开展可能影响业主公共利益的经营性活动，具体包括</w:t>
      </w:r>
      <w:r>
        <w:rPr>
          <w:rFonts w:hint="eastAsia" w:ascii="仿宋" w:hAnsi="仿宋" w:eastAsia="仿宋" w:cs="仿宋"/>
          <w:sz w:val="24"/>
          <w:szCs w:val="24"/>
        </w:rPr>
        <w:t>______________________________</w:t>
      </w:r>
      <w:r>
        <w:rPr>
          <w:rFonts w:hint="eastAsia" w:ascii="仿宋" w:hAnsi="仿宋" w:eastAsia="仿宋" w:cs="仿宋"/>
          <w:bCs/>
          <w:sz w:val="24"/>
          <w:szCs w:val="24"/>
        </w:rPr>
        <w:t>等活动。</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第十一条  </w:t>
      </w:r>
      <w:r>
        <w:rPr>
          <w:rFonts w:hint="eastAsia" w:ascii="仿宋" w:hAnsi="仿宋" w:eastAsia="仿宋" w:cs="仿宋"/>
          <w:sz w:val="24"/>
          <w:szCs w:val="24"/>
        </w:rPr>
        <w:t>乙方接受供水、供电、供气、通信、有线电视等专业单位委托代收费用的，不得向业主收取手续费等额外费用。</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第四章  装修管理及承接查验</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第十二条  </w:t>
      </w:r>
      <w:r>
        <w:rPr>
          <w:rFonts w:hint="eastAsia" w:ascii="仿宋" w:hAnsi="仿宋" w:eastAsia="仿宋" w:cs="仿宋"/>
          <w:sz w:val="24"/>
          <w:szCs w:val="24"/>
        </w:rPr>
        <w:t>本物业区域业主（使用人）装修由乙方统一管理。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业主或物业使用人对物业装饰装修房屋的，应当提前3天到物业服务中心办理签订装饰装修管理服务协议，遵守乙方提示的合理注意事项，并交纳装修保证金（其金额由双方约定）。自装修完毕之日，业主自行查验并向乙方报备，3个月后经乙方二次复验合格后，乙方应在七个工作日内退还装修保证金。</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（二）装修期间产生的建筑垃圾弃土应由业主或使用人自行负责清运至市政垃圾处置场所。委托乙方清运的，清运费用_______。</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乙方对业主（使用人）违反装饰装修规定的行为，应当履行发现、劝阻、报告职责，并配合有关部门依法处理。</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第十三条</w:t>
      </w:r>
      <w:r>
        <w:rPr>
          <w:rFonts w:hint="eastAsia" w:ascii="仿宋" w:hAnsi="仿宋" w:eastAsia="仿宋" w:cs="仿宋"/>
          <w:sz w:val="24"/>
          <w:szCs w:val="24"/>
        </w:rPr>
        <w:t xml:space="preserve">  甲方在物业竣工验收后交付使用前，应当组织业主开展物业开放日或者参观日活动，并在交付使用十五日前，与乙方完成物业共有部位、共有设施设备的承接查验工作。物业承接查验的费用，由甲方承担。</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甲、乙双方应当签订物业承接查验协议，对物业承接查验基本情况、存在问题、解决方法及其时限、双方权利义务、违约责任等事项作出明确约定。物业承接查验协议应当作为前期物业服务合同的补充协议。</w:t>
      </w:r>
    </w:p>
    <w:p>
      <w:pPr>
        <w:pStyle w:val="4"/>
        <w:numPr>
          <w:ilvl w:val="0"/>
          <w:numId w:val="0"/>
        </w:numPr>
        <w:spacing w:before="0" w:after="0"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甲方交付的物业或设施设备存在特殊设计或特殊使用要求的，应告知乙方；因甲方未尽到告知义务导致乙方或业主、物业使用人人身、财产损失的应承担赔偿责任。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第十四条 </w:t>
      </w:r>
      <w:r>
        <w:rPr>
          <w:rFonts w:hint="eastAsia" w:ascii="仿宋" w:hAnsi="仿宋" w:eastAsia="仿宋" w:cs="仿宋"/>
          <w:sz w:val="24"/>
          <w:szCs w:val="24"/>
        </w:rPr>
        <w:t xml:space="preserve"> 现场查验20日前，甲方应向乙方移交下列资料：</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（一）竣工总平面图，单体建筑、结构、设备竣工图，配套设施、地下管网工程竣工图等竣工验收资料。</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（二）设施设备的安装、使用和维护保养等技术资料。</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（三）物业质量保修文件和物业使用说明文件。</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（四）物业承接查验协议、查验记录、交接记录及备案证明。</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（五）物业管理所必需的业主清册。</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（六）其他资料。</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未能全部移交前款所列资料的，甲方应当列出未移交资料的详细清单并书面承诺补交的具体时限。</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第十五条 </w:t>
      </w:r>
      <w:r>
        <w:rPr>
          <w:rFonts w:hint="eastAsia" w:ascii="仿宋" w:hAnsi="仿宋" w:eastAsia="仿宋" w:cs="仿宋"/>
          <w:sz w:val="24"/>
          <w:szCs w:val="24"/>
        </w:rPr>
        <w:t>物业交接后，甲方未能按照物业承接查验协议的约定，及时解决物业共有部位、共有设施设备存在的问题，导致第三人或乙方人身、财产安全受到损害的，应当依法承担相应的法律责任。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第十六条 </w:t>
      </w:r>
      <w:r>
        <w:rPr>
          <w:rFonts w:hint="eastAsia" w:ascii="仿宋" w:hAnsi="仿宋" w:eastAsia="仿宋" w:cs="仿宋"/>
          <w:sz w:val="24"/>
          <w:szCs w:val="24"/>
        </w:rPr>
        <w:t>对于分期开发建设的物业项目，可以根据开发进度，对符合交付使用条件的物业分期承接查验。甲乙双方应当在承接最后一期物业时，办理物业整体交接手续。未移交乙方的，其维护管理责任由甲方承担。</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第十七条</w:t>
      </w:r>
      <w:r>
        <w:rPr>
          <w:rFonts w:hint="eastAsia" w:ascii="仿宋" w:hAnsi="仿宋" w:eastAsia="仿宋" w:cs="仿宋"/>
          <w:sz w:val="24"/>
          <w:szCs w:val="24"/>
        </w:rPr>
        <w:t xml:space="preserve">  甲方和乙方应当将物业承接查验情况通过在小区显著位置进行公示的方式告知业主。乙方应当将承接查验有关的文件、资料和记录建立档案并妥善保管。</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第十八条</w:t>
      </w:r>
      <w:r>
        <w:rPr>
          <w:rFonts w:hint="eastAsia" w:ascii="仿宋" w:hAnsi="仿宋" w:eastAsia="仿宋" w:cs="仿宋"/>
          <w:sz w:val="24"/>
          <w:szCs w:val="24"/>
        </w:rPr>
        <w:t>甲方应保证交付使用的物业符合国家规定的规划、设计、施工验收标准，按照不低于国家规定的质量保修期限和保修范围履行保修责任。</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如甲方委托乙方代为履行保修责任的，双方应当另行订立委托协议。</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第五章   物业管理用房</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第十九条 </w:t>
      </w:r>
      <w:r>
        <w:rPr>
          <w:rFonts w:hint="eastAsia" w:ascii="仿宋" w:hAnsi="仿宋" w:eastAsia="仿宋" w:cs="仿宋"/>
          <w:sz w:val="24"/>
          <w:szCs w:val="24"/>
        </w:rPr>
        <w:t>甲方应于乙方入驻提供服务时，按照不低于物业建筑总面积的3‰的比例且不少于50平方米的标准在物业管理区域内向乙方无偿提供能够直接投入使用的物业管理用房，本物业的物业管理用房建筑面积为_______平方米。（物业服务用房平面图及说明见附件）</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第二十条 </w:t>
      </w:r>
      <w:r>
        <w:rPr>
          <w:rFonts w:hint="eastAsia" w:ascii="仿宋" w:hAnsi="仿宋" w:eastAsia="仿宋" w:cs="仿宋"/>
          <w:sz w:val="24"/>
          <w:szCs w:val="24"/>
        </w:rPr>
        <w:t xml:space="preserve"> 物业管理区域成立业主委员会的，乙方应按照不低于20平方米，不高于70平方米的要求从物业管理用房中为业主委员会配置办公用房。</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第六章 双方的权利义务</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第二十一条</w:t>
      </w:r>
      <w:r>
        <w:rPr>
          <w:rFonts w:hint="eastAsia" w:ascii="仿宋" w:hAnsi="仿宋" w:eastAsia="仿宋" w:cs="仿宋"/>
          <w:sz w:val="24"/>
          <w:szCs w:val="24"/>
        </w:rPr>
        <w:t>甲方的权利义务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甲方的权利：</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1.审定乙方拟定的物业管理方案、年度管理计划、维修养护计划，并监督乙方组织实施。</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2.制订物业共用部分和共用设施设备的使用、公共秩序和环境卫生的维护方面的规章制度。</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3.实行酬金制的，与乙方委托的专业审计机构对年度财务收支状况进行审计。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甲方的义务：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1.在销售物业时，制定《业主临时管理规约》，并向物业买受人明示、说明，要求物业买受人书面承诺遵守《业主临时管理规约》。</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2.甲方与物业买受人签订的物业买卖合同应当包含本合同约定的内容，要求物业买受人认可接受本合同约定的权利和义务。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3.依据《重庆市物业管理条例》等相关法律法规规定，配合业主召开首次业主大会。选举产生业主委员会。</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4.协助乙方因维修物业或公共利益临时占用、挖掘道路、场地，配合做好相关业主工作，并协助乙方在约定或合理期限内恢复原状。</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5.配合乙方做好物业管理工作，开展公益宣传教育活动。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6.配合乙方共同处理房屋及附属设施设备维修问题。</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法律法规、本合同及管理规约等规定甲方享有和承担的其他权利和义务。</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sz w:val="24"/>
          <w:szCs w:val="24"/>
        </w:rPr>
        <w:t xml:space="preserve">第二十二条 </w:t>
      </w:r>
      <w:r>
        <w:rPr>
          <w:rFonts w:hint="eastAsia" w:ascii="仿宋" w:hAnsi="仿宋" w:eastAsia="仿宋" w:cs="仿宋"/>
          <w:sz w:val="24"/>
          <w:szCs w:val="24"/>
        </w:rPr>
        <w:t xml:space="preserve"> 乙方的权利义务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乙方的权利：</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1.按照合同约定向业主或使用人收取物业服务费和其他费用。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2.根据业主或使用人的委托，提供本合同约定以外的服务项目，并按约定收取报酬。</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3.按照合同约定开展各项经营管理活动，并按约定比例提取管理服务费。</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4.对业主违反法律法规及政策规定的行为或违反《临时管理规约》规定的行为进行劝阻、制止，制止无效的可依法上报相关部门。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乙方的义务：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1.履行合同约定，提供物业服务。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2.及时向全体业主通告本区域内有关物业管理服务的重大事项，及时处理业主和物业使用人的投诉，接受业主和物业使用人的监督。</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3.在物业管理区域内以合理方式公示物业服务收费标准及向业主提供的特约服务内容和收费标准。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4.编制物业管理方案，年度管理计划，维修保养计划，并组织实施。</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5.制定本物业管理区域内有关安全、环境、物业装饰装修和使用等规章制度，并监督实施。</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6.依法做好本物业管理区域内安全防范工作，根据物业服务项目实际制定有针对性的应急预案；发生安全事故时，采取合理措施，并及时向有关部门报告并协助处理。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7.保安人员在维护本物业管理区域内公共秩序时，不得违法违规限制业主进出、限制人身自由等侵害公民的合法权益的行为。</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8.实行酬金制的，应当编制年度财务预决算报告，报甲方审批，并每半年公布一次物业服务费用收支账目，与甲方共同委托的专业审计机构对年度财务收支状况进行审计。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9.向业主和物业使用人告知物业使用的有关规定。业主和物业使用人装修物业时，应当与其订立装饰装修协议，明确装饰装修的禁止行为和注意事项，并监督落实。对业主和物业使用人违反规定的，及时发现、劝阻、报告。情节严重的，要及时报请相关部门并配合依法处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10.本合同终止时，应当将物业管理用房和物业管理相关资料及时全部移交给业主委员会；未成立业主委员会的，移交给物业所在地街道办事处（乡镇人民政府）。</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法律法规、本合同及管理规约等规定乙方享有和承担的其他权利和义务。</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第二十三条 </w:t>
      </w:r>
      <w:r>
        <w:rPr>
          <w:rFonts w:hint="eastAsia" w:ascii="仿宋" w:hAnsi="仿宋" w:eastAsia="仿宋" w:cs="仿宋"/>
          <w:sz w:val="24"/>
          <w:szCs w:val="24"/>
        </w:rPr>
        <w:t>物业的使用与维护</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（一）业主大会成立前，乙方应配合甲方制定本物业管理区域内物业共有部位和共有设施设备的使用、公共秩序和环境卫生的维护等方面的规章制度。</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乙方根据规章制度提供管理服务时，甲方、业主和物业使用人应给予协助并遵守履行。</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（二）因维修物业或者为公益事宜，甲、乙任一方确需临时占用、挖掘本物业管理区域内道路、场地的，应在约定期限内恢复原状。</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（三）乙方发现共有设施设备存在性能故障或者其他安全隐患的，应当立即采取措施。保修期内，通知甲方和相关单位及时维修；保修期外，乙方应当立即组织应急维修。</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（四）对需要进入物业管理区域内的执行公务和救援等公共事务的公务车辆，甲乙双方应当配合，不得阻挠，不得收费。</w:t>
      </w:r>
    </w:p>
    <w:p>
      <w:pPr>
        <w:pStyle w:val="4"/>
        <w:numPr>
          <w:ilvl w:val="0"/>
          <w:numId w:val="0"/>
        </w:numPr>
        <w:snapToGrid w:val="0"/>
        <w:spacing w:before="0" w:after="0"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（五）对确需进入业主专有部位对小区公共设施设备进行维修、维护的，应当协调业主予以配合。</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第七章  合同期限</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第二十四条 </w:t>
      </w:r>
      <w:r>
        <w:rPr>
          <w:rFonts w:hint="eastAsia" w:ascii="仿宋" w:hAnsi="仿宋" w:eastAsia="仿宋" w:cs="仿宋"/>
          <w:sz w:val="24"/>
          <w:szCs w:val="24"/>
        </w:rPr>
        <w:t xml:space="preserve"> 本合同期限自________年________月________日起至________年________月________日止。合同期未满，业主大会授权业主委员会与选聘或续聘的物业管理企业签订的物业服务合同生效时，本合同终止。</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业主大会决定提前解聘乙方的，应当提前60日书面通知乙方，因提前解聘给乙方造成损失的，除不可归责于业主的事由外，业主应当赔偿损失。</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合同到期后，业主大会未作出选聘决定，乙方按照本合同约定继续提供服务的，本合同自动延续至业主大会作出选聘或续聘决定为止。物业服务合同自动延续期间，乙方决定不再提供服务的，应当提前三个月书面告知甲方、物业所在地的街道办事处（乡镇人民政府）和居民委员会，并向业主公示。</w:t>
      </w:r>
    </w:p>
    <w:p>
      <w:pPr>
        <w:snapToGrid w:val="0"/>
        <w:spacing w:line="240" w:lineRule="auto"/>
        <w:ind w:firstLine="630"/>
        <w:rPr>
          <w:rFonts w:hint="eastAsia" w:ascii="仿宋" w:hAnsi="仿宋" w:eastAsia="仿宋" w:cs="仿宋"/>
          <w:sz w:val="24"/>
          <w:szCs w:val="24"/>
        </w:rPr>
      </w:pPr>
      <w:r>
        <w:rPr>
          <w:rFonts w:hint="eastAsia" w:ascii="仿宋" w:hAnsi="仿宋" w:eastAsia="仿宋" w:cs="仿宋"/>
          <w:b/>
          <w:sz w:val="24"/>
          <w:szCs w:val="24"/>
        </w:rPr>
        <w:t>第二十五条</w:t>
      </w:r>
      <w:r>
        <w:rPr>
          <w:rFonts w:hint="eastAsia" w:ascii="仿宋" w:hAnsi="仿宋" w:eastAsia="仿宋" w:cs="仿宋"/>
          <w:sz w:val="24"/>
          <w:szCs w:val="24"/>
        </w:rPr>
        <w:t xml:space="preserve">  本合同终止时，乙方应依照法律规定履行以下义务，并办理交接手续：</w:t>
      </w:r>
    </w:p>
    <w:p>
      <w:pPr>
        <w:snapToGrid w:val="0"/>
        <w:spacing w:line="240" w:lineRule="auto"/>
        <w:ind w:firstLine="630"/>
        <w:rPr>
          <w:rFonts w:hint="eastAsia" w:ascii="仿宋" w:hAnsi="仿宋" w:eastAsia="仿宋" w:cs="仿宋"/>
          <w:sz w:val="24"/>
          <w:szCs w:val="24"/>
        </w:rPr>
      </w:pPr>
      <w:r>
        <w:rPr>
          <w:rFonts w:hint="eastAsia" w:ascii="仿宋" w:hAnsi="仿宋" w:eastAsia="仿宋" w:cs="仿宋"/>
          <w:sz w:val="24"/>
          <w:szCs w:val="24"/>
        </w:rPr>
        <w:t>1.向业主委员会移交物业档案、有关物业及设施设备改造、维修、运行、保养等物业服务相关资料，以及物业服务用房和其他物业共有部位、共有设施设备；无业主委员会的，向街道办事处、乡（镇）人民政府移交。</w:t>
      </w:r>
    </w:p>
    <w:p>
      <w:pPr>
        <w:snapToGrid w:val="0"/>
        <w:spacing w:line="240" w:lineRule="auto"/>
        <w:ind w:firstLine="630"/>
        <w:rPr>
          <w:rFonts w:hint="eastAsia" w:ascii="仿宋" w:hAnsi="仿宋" w:eastAsia="仿宋" w:cs="仿宋"/>
          <w:sz w:val="24"/>
          <w:szCs w:val="24"/>
        </w:rPr>
      </w:pPr>
      <w:r>
        <w:rPr>
          <w:rFonts w:hint="eastAsia" w:ascii="仿宋" w:hAnsi="仿宋" w:eastAsia="仿宋" w:cs="仿宋"/>
          <w:sz w:val="24"/>
          <w:szCs w:val="24"/>
        </w:rPr>
        <w:t>2.撤出物业管理区域内的物业服务人员。</w:t>
      </w:r>
    </w:p>
    <w:p>
      <w:pPr>
        <w:snapToGrid w:val="0"/>
        <w:spacing w:line="240" w:lineRule="auto"/>
        <w:ind w:firstLine="630"/>
        <w:rPr>
          <w:rFonts w:hint="eastAsia" w:ascii="仿宋" w:hAnsi="仿宋" w:eastAsia="仿宋" w:cs="仿宋"/>
          <w:sz w:val="24"/>
          <w:szCs w:val="24"/>
        </w:rPr>
      </w:pPr>
      <w:r>
        <w:rPr>
          <w:rFonts w:hint="eastAsia" w:ascii="仿宋" w:hAnsi="仿宋" w:eastAsia="仿宋" w:cs="仿宋"/>
          <w:sz w:val="24"/>
          <w:szCs w:val="24"/>
        </w:rPr>
        <w:t>3.结算物业服务费用和预收、代收的物业管理区域公共收益等费用。</w:t>
      </w:r>
    </w:p>
    <w:p>
      <w:pPr>
        <w:snapToGrid w:val="0"/>
        <w:spacing w:line="240" w:lineRule="auto"/>
        <w:ind w:firstLine="630"/>
        <w:rPr>
          <w:rFonts w:hint="eastAsia" w:ascii="仿宋" w:hAnsi="仿宋" w:eastAsia="仿宋" w:cs="仿宋"/>
          <w:sz w:val="24"/>
          <w:szCs w:val="24"/>
        </w:rPr>
      </w:pPr>
      <w:r>
        <w:rPr>
          <w:rFonts w:hint="eastAsia" w:ascii="仿宋" w:hAnsi="仿宋" w:eastAsia="仿宋" w:cs="仿宋"/>
          <w:sz w:val="24"/>
          <w:szCs w:val="24"/>
        </w:rPr>
        <w:t>4.结算委托专业性服务企业对设施设备、清洁卫生、园林绿化等开展专项服务的费用。</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第八章  违约责任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第二十六条  </w:t>
      </w:r>
      <w:r>
        <w:rPr>
          <w:rFonts w:hint="eastAsia" w:ascii="仿宋" w:hAnsi="仿宋" w:eastAsia="仿宋" w:cs="仿宋"/>
          <w:sz w:val="24"/>
          <w:szCs w:val="24"/>
        </w:rPr>
        <w:t>因房屋建筑质量、设施设备质量或安装技术等原因，造成重大事故的，由甲方承担责任并作善后处理。</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第二十七条 </w:t>
      </w:r>
      <w:r>
        <w:rPr>
          <w:rFonts w:hint="eastAsia" w:ascii="仿宋" w:hAnsi="仿宋" w:eastAsia="仿宋" w:cs="仿宋"/>
          <w:sz w:val="24"/>
          <w:szCs w:val="24"/>
        </w:rPr>
        <w:t xml:space="preserve"> 甲方违反前期物业服务合同、临时管理规约或者相关法律、法规、规章，致使乙方的管理服务无法达到合同约定的服务内容和质量标准，给业主、物业使用人造成损失的，由甲方负责承担相应的赔偿责任。</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甲方违反相关法律、法规、规章规定和合同约定，拒绝或拖延履行保修义务的，业主、物业使用人可以自行或委托乙方修复，修复费用及造成的其他损失由甲方承担。</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由于甲方开发建设遗留问题导致乙方未能完成服务事项的，乙方有权要求甲方限期解决，甲方应当承担相应的违约责任；给乙方造成损失的，甲方应当承担相应的赔偿责任。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第二十八条</w:t>
      </w:r>
      <w:r>
        <w:rPr>
          <w:rFonts w:hint="eastAsia" w:ascii="仿宋" w:hAnsi="仿宋" w:eastAsia="仿宋" w:cs="仿宋"/>
          <w:sz w:val="24"/>
          <w:szCs w:val="24"/>
        </w:rPr>
        <w:t xml:space="preserve">  乙方违反前期物业服务合同、临时管理规约或者相关法律、法规、规章，管理服务达不到合同约定的服务内容和质量标准，给业主、物业使用人造成损失的，由乙方负责承担相应的赔偿责任。</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违反相关法律、法规、规章规定和合同约定，擅自扩大收费范围、提高物业服务费等收费标准或者重复收费的，业主、物业使用人就超额部分有权拒绝交纳。乙方已经收取的违规费用，业主、物业使用人有权要求乙方返还。</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违反本合同第十条的规定，擅自利用共有部位、共有设施盈利，或者存在将公共收益全部据为己有、挪用等侵害业主共同权益行为的，应当承担停止侵害、排除妨碍、恢复原状、赔偿损失，返还收益等民事责任，若构成犯罪的，依法追究刑事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第二十九条  </w:t>
      </w:r>
      <w:r>
        <w:rPr>
          <w:rFonts w:hint="eastAsia" w:ascii="仿宋" w:hAnsi="仿宋" w:eastAsia="仿宋" w:cs="仿宋"/>
          <w:sz w:val="24"/>
          <w:szCs w:val="24"/>
        </w:rPr>
        <w:t>业主、物业使用人违反前期物业服务合同、临时管理规约或者相关法律、法规、规章，致使乙方的管理服务无法达到合同约定的服务内容和质量标准，给乙方或者其他业主、物业使用人造成损失的，乙方应追究并配合其他业主、物业使用人追究违法违规的业主、物业使用人的责任，并要求其据实赔偿。</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第三十条 </w:t>
      </w:r>
      <w:r>
        <w:rPr>
          <w:rFonts w:hint="eastAsia" w:ascii="仿宋" w:hAnsi="仿宋" w:eastAsia="仿宋" w:cs="仿宋"/>
          <w:sz w:val="24"/>
          <w:szCs w:val="24"/>
        </w:rPr>
        <w:t>甲、乙双方和业主对物业服务是否达到服务标准存在争议的，双方可以协商解决。协商无法解决的可以向人民法院提起诉讼。</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第三十一条 </w:t>
      </w:r>
      <w:r>
        <w:rPr>
          <w:rFonts w:hint="eastAsia" w:ascii="仿宋" w:hAnsi="仿宋" w:eastAsia="仿宋" w:cs="仿宋"/>
          <w:sz w:val="24"/>
          <w:szCs w:val="24"/>
        </w:rPr>
        <w:t xml:space="preserve"> 甲方、业主或物业使用人违反本合同的约定，未能按时足额支付物业管理服务等相关费用的，乙方有权要求甲方、业主限期交纳，逾期不交纳的，乙方可以向人民法院起诉，并要求其按每日万分之＿＿承担相应违约金。</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第三十二条 </w:t>
      </w:r>
      <w:r>
        <w:rPr>
          <w:rFonts w:hint="eastAsia" w:ascii="仿宋" w:hAnsi="仿宋" w:eastAsia="仿宋" w:cs="仿宋"/>
          <w:sz w:val="24"/>
          <w:szCs w:val="24"/>
        </w:rPr>
        <w:t xml:space="preserve"> 双方约定，下列情形所致的损害，可以作为乙方减轻或免除责任的事由：</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（一）因不可抗力导致的中断服务或物业价值的贬损。</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（二）因物业本身固有的瑕疵造成的损害。</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 因维修、养护共有部位、共有设施设备需要，且事先已告知业主或物业使用人，暂时停水、停电或停止共有设施设备的使用等造成损失的（公共事务部门未通知的除外）。</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（四）因非乙方责任造成的供水、供电、供热、供冷、通讯、有线电视及其他共有设施设备的障碍和损失。</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（五）由于甲方、业主或物业使用人自身原因导致乙方的服务无法达到合同约定的。</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六）属于物业专项维修资金或共有资金列支范围，乙方已尽充分的说明告知义务，因业主未能就物业专项维修资金使用达成一致意见导致未能及时维修、更新、改造物业的共有部位、共用设施设备造成相关后果的。但乙方未依法或依约定及时组织使用物业专项维修资金导致损失或扩大损失的，应承担相应责任。</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七）乙方向甲方或业主提出书面建议要求修缮、改造专有或共有部位、设施设备或纠正不当行为，而甲方或业主未采纳（包括但不限于违章装饰装修、未及时维修或改造等）造成损失的。但乙方未依法或依约定及时采取措施导致损失扩大的，应承担相应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第三十三条 </w:t>
      </w:r>
      <w:r>
        <w:rPr>
          <w:rFonts w:hint="eastAsia" w:ascii="仿宋" w:hAnsi="仿宋" w:eastAsia="仿宋" w:cs="仿宋"/>
          <w:sz w:val="24"/>
          <w:szCs w:val="24"/>
        </w:rPr>
        <w:t xml:space="preserve"> 为维护物业区域内的公共利益，在不可预见情况下，如发生煤气泄漏、漏电、火灾、水管破裂、救助人命、协助公安机关执行任务等突发事件，乙方因采取紧急避险措施造成损失的，当事人应当按有关规定处理。</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第九章  附则</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第三十四条 </w:t>
      </w:r>
      <w:r>
        <w:rPr>
          <w:rFonts w:hint="eastAsia" w:ascii="仿宋" w:hAnsi="仿宋" w:eastAsia="仿宋" w:cs="仿宋"/>
          <w:sz w:val="24"/>
          <w:szCs w:val="24"/>
        </w:rPr>
        <w:t xml:space="preserve"> 乙方提供服务的受益人为本物业的全体业主和物业使用人，本物业的全体业主和物业使用人均可监督本合同的实施。</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第三十五条 </w:t>
      </w:r>
      <w:r>
        <w:rPr>
          <w:rFonts w:hint="eastAsia" w:ascii="仿宋" w:hAnsi="仿宋" w:eastAsia="仿宋" w:cs="仿宋"/>
          <w:sz w:val="24"/>
          <w:szCs w:val="24"/>
        </w:rPr>
        <w:t xml:space="preserve"> 双方约定自本合同生效之日起日内，根据甲方委托管理事项，办理接管验收手续。</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第三十六条 </w:t>
      </w:r>
      <w:r>
        <w:rPr>
          <w:rFonts w:hint="eastAsia" w:ascii="仿宋" w:hAnsi="仿宋" w:eastAsia="仿宋" w:cs="仿宋"/>
          <w:sz w:val="24"/>
          <w:szCs w:val="24"/>
        </w:rPr>
        <w:t xml:space="preserve"> 双方可对本合同的条款进行补充，以书面形式签订补充协议。签订补充协议的，乙方应当告知业主，补充协议与本合同具同等效力，且补充协议也应按规定与本合同一并备案。</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第三十七条 </w:t>
      </w:r>
      <w:r>
        <w:rPr>
          <w:rFonts w:hint="eastAsia" w:ascii="仿宋" w:hAnsi="仿宋" w:eastAsia="仿宋" w:cs="仿宋"/>
          <w:sz w:val="24"/>
          <w:szCs w:val="24"/>
        </w:rPr>
        <w:t>本合同之附件均为本合同不可分割的组成部分，与本合同具有同等的法律效力。</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第三十八条</w:t>
      </w:r>
      <w:r>
        <w:rPr>
          <w:rFonts w:hint="eastAsia" w:ascii="仿宋" w:hAnsi="仿宋" w:eastAsia="仿宋" w:cs="仿宋"/>
          <w:sz w:val="24"/>
          <w:szCs w:val="24"/>
        </w:rPr>
        <w:t xml:space="preserve">  本合同执行期间，如遇不可抗力，致使合同无法履行时，双方应按有关法律规定及时协商处理。</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第三十九条 </w:t>
      </w:r>
      <w:r>
        <w:rPr>
          <w:rFonts w:hint="eastAsia" w:ascii="仿宋" w:hAnsi="仿宋" w:eastAsia="仿宋" w:cs="仿宋"/>
          <w:sz w:val="24"/>
          <w:szCs w:val="24"/>
        </w:rPr>
        <w:t xml:space="preserve"> 本合同在履行中如发生争议双方可协商解决，协商不成的，</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 □向重庆仲裁委员会仲裁；</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 □依法向人民法院起诉。</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第四十条  </w:t>
      </w:r>
      <w:r>
        <w:rPr>
          <w:rFonts w:hint="eastAsia" w:ascii="仿宋" w:hAnsi="仿宋" w:eastAsia="仿宋" w:cs="仿宋"/>
          <w:sz w:val="24"/>
          <w:szCs w:val="24"/>
        </w:rPr>
        <w:t>本合同正本连同附件页，一式三份，甲乙双方及住房城乡建设主管部门（备案）各执一份，具同等法律效力。</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第四十一条  </w:t>
      </w:r>
      <w:r>
        <w:rPr>
          <w:rFonts w:hint="eastAsia" w:ascii="仿宋" w:hAnsi="仿宋" w:eastAsia="仿宋" w:cs="仿宋"/>
          <w:sz w:val="24"/>
          <w:szCs w:val="24"/>
        </w:rPr>
        <w:t>本合同自签订之日起生效。</w:t>
      </w:r>
    </w:p>
    <w:p>
      <w:pPr>
        <w:tabs>
          <w:tab w:val="left" w:pos="630"/>
        </w:tabs>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附件：1.规划平面图</w:t>
      </w:r>
    </w:p>
    <w:p>
      <w:pPr>
        <w:tabs>
          <w:tab w:val="left" w:pos="630"/>
        </w:tabs>
        <w:snapToGrid w:val="0"/>
        <w:spacing w:line="240" w:lineRule="auto"/>
        <w:ind w:firstLine="1200" w:firstLineChars="500"/>
        <w:rPr>
          <w:rFonts w:hint="eastAsia" w:ascii="仿宋" w:hAnsi="仿宋" w:eastAsia="仿宋" w:cs="仿宋"/>
          <w:sz w:val="24"/>
          <w:szCs w:val="24"/>
        </w:rPr>
      </w:pPr>
      <w:r>
        <w:rPr>
          <w:rFonts w:hint="eastAsia" w:ascii="仿宋" w:hAnsi="仿宋" w:eastAsia="仿宋" w:cs="仿宋"/>
          <w:sz w:val="24"/>
          <w:szCs w:val="24"/>
        </w:rPr>
        <w:t>2.物业构成明细</w:t>
      </w:r>
    </w:p>
    <w:p>
      <w:pPr>
        <w:tabs>
          <w:tab w:val="left" w:pos="630"/>
        </w:tabs>
        <w:snapToGrid w:val="0"/>
        <w:spacing w:line="240" w:lineRule="auto"/>
        <w:ind w:firstLine="1200" w:firstLineChars="500"/>
        <w:rPr>
          <w:rFonts w:hint="eastAsia" w:ascii="仿宋" w:hAnsi="仿宋" w:eastAsia="仿宋" w:cs="仿宋"/>
          <w:sz w:val="24"/>
          <w:szCs w:val="24"/>
        </w:rPr>
      </w:pPr>
      <w:r>
        <w:rPr>
          <w:rFonts w:hint="eastAsia" w:ascii="仿宋" w:hAnsi="仿宋" w:eastAsia="仿宋" w:cs="仿宋"/>
          <w:sz w:val="24"/>
          <w:szCs w:val="24"/>
        </w:rPr>
        <w:t>3.物业共用设施设备明细</w:t>
      </w:r>
    </w:p>
    <w:p>
      <w:pPr>
        <w:tabs>
          <w:tab w:val="left" w:pos="30"/>
        </w:tabs>
        <w:snapToGrid w:val="0"/>
        <w:spacing w:line="240" w:lineRule="auto"/>
        <w:ind w:left="0" w:leftChars="0" w:firstLine="1260" w:firstLineChars="525"/>
        <w:jc w:val="left"/>
        <w:rPr>
          <w:rFonts w:hint="eastAsia" w:ascii="仿宋" w:hAnsi="仿宋" w:eastAsia="仿宋" w:cs="仿宋"/>
          <w:sz w:val="24"/>
          <w:szCs w:val="24"/>
        </w:rPr>
      </w:pPr>
      <w:r>
        <w:rPr>
          <w:rFonts w:hint="eastAsia" w:ascii="仿宋" w:hAnsi="仿宋" w:eastAsia="仿宋" w:cs="仿宋"/>
          <w:sz w:val="24"/>
          <w:szCs w:val="24"/>
        </w:rPr>
        <w:t>4.物业管理服务内容和标准</w:t>
      </w:r>
    </w:p>
    <w:p>
      <w:pPr>
        <w:tabs>
          <w:tab w:val="left" w:pos="30"/>
        </w:tabs>
        <w:snapToGrid w:val="0"/>
        <w:spacing w:line="240" w:lineRule="auto"/>
        <w:ind w:firstLine="1200" w:firstLineChars="500"/>
        <w:jc w:val="left"/>
        <w:rPr>
          <w:rFonts w:hint="eastAsia" w:ascii="仿宋" w:hAnsi="仿宋" w:eastAsia="仿宋" w:cs="仿宋"/>
          <w:sz w:val="24"/>
          <w:szCs w:val="24"/>
        </w:rPr>
      </w:pPr>
      <w:r>
        <w:rPr>
          <w:rFonts w:hint="eastAsia" w:ascii="仿宋" w:hAnsi="仿宋" w:eastAsia="仿宋" w:cs="仿宋"/>
          <w:sz w:val="24"/>
          <w:szCs w:val="24"/>
        </w:rPr>
        <w:t>5.物业服务用房平面图及说明</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甲方签章：                         乙方签章：</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法定代表人：                       法定代表人：</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委托代理人：                       委托代理人：</w:t>
      </w:r>
    </w:p>
    <w:p>
      <w:pPr>
        <w:snapToGrid w:val="0"/>
        <w:spacing w:line="240" w:lineRule="auto"/>
        <w:ind w:firstLine="4800" w:firstLineChars="2000"/>
        <w:rPr>
          <w:rFonts w:hint="eastAsia" w:ascii="仿宋" w:hAnsi="仿宋" w:eastAsia="仿宋" w:cs="仿宋"/>
          <w:sz w:val="24"/>
          <w:szCs w:val="24"/>
        </w:rPr>
      </w:pPr>
      <w:r>
        <w:rPr>
          <w:rFonts w:hint="eastAsia" w:ascii="仿宋" w:hAnsi="仿宋" w:eastAsia="仿宋" w:cs="仿宋"/>
          <w:sz w:val="24"/>
          <w:szCs w:val="24"/>
        </w:rPr>
        <w:t>年 月  日</w:t>
      </w:r>
    </w:p>
    <w:p>
      <w:pPr>
        <w:snapToGrid w:val="0"/>
        <w:spacing w:before="156" w:beforeLines="50" w:after="312" w:afterLines="100" w:line="52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附件一：规划平面图</w:t>
      </w:r>
    </w:p>
    <w:p>
      <w:pPr>
        <w:widowControl/>
        <w:spacing w:line="52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附件二：物业构成明细</w:t>
      </w:r>
    </w:p>
    <w:tbl>
      <w:tblPr>
        <w:tblStyle w:val="14"/>
        <w:tblpPr w:leftFromText="180" w:rightFromText="180" w:vertAnchor="text" w:horzAnchor="page" w:tblpX="1113" w:tblpY="607"/>
        <w:tblOverlap w:val="never"/>
        <w:tblW w:w="96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4"/>
        <w:gridCol w:w="726"/>
        <w:gridCol w:w="883"/>
        <w:gridCol w:w="882"/>
        <w:gridCol w:w="1193"/>
        <w:gridCol w:w="1666"/>
        <w:gridCol w:w="1434"/>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类型/型态</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幢数</w:t>
            </w: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单元数</w:t>
            </w: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电梯数</w:t>
            </w: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套数（户）</w:t>
            </w: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建筑面积（㎡）</w:t>
            </w: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占地面（㎡）</w:t>
            </w: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有电梯住宅</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无电梯住宅</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非住宅</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学校</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幼儿园</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社区配置用房</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物业管理用房</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配电房</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其他</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0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合计</w:t>
            </w:r>
          </w:p>
        </w:tc>
        <w:tc>
          <w:tcPr>
            <w:tcW w:w="72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882"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19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66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434"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79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bl>
    <w:p>
      <w:pPr>
        <w:snapToGrid w:val="0"/>
        <w:spacing w:before="156" w:beforeLines="50" w:after="312" w:afterLines="100" w:line="520" w:lineRule="exact"/>
        <w:jc w:val="left"/>
        <w:rPr>
          <w:rFonts w:ascii="仿宋" w:hAnsi="仿宋" w:eastAsia="仿宋"/>
          <w:color w:val="000000" w:themeColor="text1"/>
          <w:sz w:val="28"/>
          <w:szCs w:val="28"/>
          <w14:textFill>
            <w14:solidFill>
              <w14:schemeClr w14:val="tx1"/>
            </w14:solidFill>
          </w14:textFill>
        </w:rPr>
      </w:pPr>
    </w:p>
    <w:p>
      <w:pPr>
        <w:widowControl/>
        <w:spacing w:line="520" w:lineRule="exact"/>
        <w:jc w:val="lef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r>
        <w:rPr>
          <w:rFonts w:hint="eastAsia" w:ascii="仿宋" w:hAnsi="仿宋" w:eastAsia="仿宋"/>
          <w:color w:val="000000" w:themeColor="text1"/>
          <w:sz w:val="28"/>
          <w:szCs w:val="28"/>
          <w14:textFill>
            <w14:solidFill>
              <w14:schemeClr w14:val="tx1"/>
            </w14:solidFill>
          </w14:textFill>
        </w:rPr>
        <w:t>附件三：共用场地及设施设备明细</w:t>
      </w:r>
    </w:p>
    <w:tbl>
      <w:tblPr>
        <w:tblStyle w:val="14"/>
        <w:tblpPr w:leftFromText="180" w:rightFromText="180" w:vertAnchor="text" w:horzAnchor="page" w:tblpX="1289" w:tblpY="309"/>
        <w:tblOverlap w:val="never"/>
        <w:tblW w:w="9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2823"/>
        <w:gridCol w:w="1760"/>
        <w:gridCol w:w="1761"/>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序号</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名称</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单位</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数量</w:t>
            </w: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绿化面积</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平方米</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道路面积</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平方米</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污水检查井</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座</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雨水检查井</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座</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化粪池</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个/容积</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6</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垃圾中转站</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个</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7</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公用垃圾桶</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个</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8</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配电室</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个</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9</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水泵</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个</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10</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消防水池</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个</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11</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消防箱</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个</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12</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中央监控系统</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个</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13</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监控设施</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14</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电梯</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部</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15</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避雷设施</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16</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共用天线</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17</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道路灯</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盏</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18</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庭院灯</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盏</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19</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机动车库</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个/平方米</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20</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露天停车场</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个/平方米</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21</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共用设施设备用房</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平方米</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22</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物业服务用房</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平方米</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23</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人防层</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平方米</w:t>
            </w: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24</w:t>
            </w:r>
          </w:p>
        </w:tc>
        <w:tc>
          <w:tcPr>
            <w:tcW w:w="2823"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其他</w:t>
            </w:r>
          </w:p>
        </w:tc>
        <w:tc>
          <w:tcPr>
            <w:tcW w:w="1760"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761"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c>
          <w:tcPr>
            <w:tcW w:w="1976" w:type="dxa"/>
            <w:vAlign w:val="center"/>
          </w:tcPr>
          <w:p>
            <w:pPr>
              <w:widowControl/>
              <w:snapToGrid w:val="0"/>
              <w:spacing w:before="156" w:beforeLines="50" w:after="312" w:afterLines="100" w:line="520" w:lineRule="exact"/>
              <w:jc w:val="center"/>
              <w:rPr>
                <w:rFonts w:ascii="仿宋" w:hAnsi="仿宋" w:eastAsia="仿宋"/>
                <w:color w:val="000000" w:themeColor="text1"/>
                <w:sz w:val="28"/>
                <w:szCs w:val="28"/>
                <w14:textFill>
                  <w14:solidFill>
                    <w14:schemeClr w14:val="tx1"/>
                  </w14:solidFill>
                </w14:textFill>
              </w:rPr>
            </w:pPr>
          </w:p>
        </w:tc>
      </w:tr>
    </w:tbl>
    <w:p>
      <w:pPr>
        <w:widowControl/>
        <w:spacing w:line="52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附件四：重庆市住宅物业服务  级标准内容</w:t>
      </w:r>
    </w:p>
    <w:p>
      <w:pPr>
        <w:widowControl/>
        <w:spacing w:line="52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附件五：物业服务用房平面图及说明</w:t>
      </w:r>
    </w:p>
    <w:p>
      <w:pPr>
        <w:pStyle w:val="2"/>
        <w:rPr>
          <w:rFonts w:hint="eastAsia"/>
        </w:rPr>
      </w:pPr>
    </w:p>
    <w:p>
      <w:pPr>
        <w:rPr>
          <w:rFonts w:ascii="仿宋" w:hAnsi="仿宋" w:eastAsia="仿宋"/>
          <w:b/>
          <w:color w:val="000000"/>
          <w:sz w:val="28"/>
          <w:szCs w:val="28"/>
        </w:rPr>
      </w:pPr>
      <w:r>
        <w:rPr>
          <w:rFonts w:hint="eastAsia" w:ascii="仿宋" w:hAnsi="仿宋" w:eastAsia="仿宋"/>
          <w:b/>
          <w:color w:val="000000"/>
          <w:sz w:val="28"/>
          <w:szCs w:val="28"/>
        </w:rPr>
        <w:br w:type="page"/>
      </w:r>
    </w:p>
    <w:p>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第七篇   投标文件部分格式</w:t>
      </w:r>
    </w:p>
    <w:p>
      <w:pPr>
        <w:spacing w:line="400" w:lineRule="exact"/>
        <w:ind w:right="12" w:firstLine="480"/>
        <w:rPr>
          <w:rFonts w:ascii="仿宋" w:hAnsi="仿宋" w:eastAsia="仿宋"/>
          <w:color w:val="000000"/>
          <w:sz w:val="28"/>
          <w:szCs w:val="28"/>
        </w:rPr>
      </w:pPr>
      <w:bookmarkStart w:id="41" w:name="_Toc271791990"/>
      <w:bookmarkEnd w:id="41"/>
      <w:bookmarkStart w:id="42" w:name="_Toc311729684"/>
      <w:bookmarkEnd w:id="42"/>
      <w:r>
        <w:rPr>
          <w:rFonts w:hint="eastAsia" w:ascii="仿宋" w:hAnsi="仿宋" w:eastAsia="仿宋"/>
          <w:color w:val="000000"/>
          <w:sz w:val="28"/>
          <w:szCs w:val="28"/>
        </w:rPr>
        <w:t>提供了格式的部分，请投标人按照格式要求进行投标文件的制作，未提供格式的请投标人自行编制格式和内容。</w:t>
      </w:r>
    </w:p>
    <w:p>
      <w:pPr>
        <w:spacing w:line="400" w:lineRule="exact"/>
        <w:ind w:right="12" w:firstLine="480"/>
        <w:rPr>
          <w:rFonts w:ascii="仿宋" w:hAnsi="仿宋" w:eastAsia="仿宋"/>
          <w:color w:val="000000"/>
          <w:sz w:val="28"/>
          <w:szCs w:val="28"/>
        </w:rPr>
      </w:pP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一、投标函</w:t>
      </w:r>
    </w:p>
    <w:p>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投标函（格式）</w:t>
      </w:r>
    </w:p>
    <w:p>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r>
        <w:rPr>
          <w:rFonts w:hint="eastAsia" w:ascii="仿宋" w:hAnsi="仿宋" w:eastAsia="仿宋"/>
          <w:color w:val="000000"/>
          <w:sz w:val="28"/>
          <w:szCs w:val="28"/>
          <w:u w:val="single"/>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（投标人名称）系中华人民共和国合法企业。我方就参加本次投标有关事项郑重声明如下：</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一、我方完全理解并接受该项目招标文件所有要求。</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二、我方提交的所有投标文件、资料都是准确和真实的，如有虚假或隐瞒，我方愿意承担一切法律责任。</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三、我方承诺按照招标文件要求，提供服务的供应。</w:t>
      </w:r>
    </w:p>
    <w:p>
      <w:pPr>
        <w:spacing w:line="400" w:lineRule="exact"/>
        <w:ind w:right="12" w:firstLine="480"/>
        <w:rPr>
          <w:rFonts w:hint="default" w:ascii="仿宋" w:hAnsi="仿宋" w:eastAsia="仿宋"/>
          <w:color w:val="000000"/>
          <w:sz w:val="28"/>
          <w:szCs w:val="28"/>
          <w:lang w:val="en-US" w:eastAsia="zh-CN"/>
        </w:rPr>
      </w:pPr>
      <w:r>
        <w:rPr>
          <w:rFonts w:hint="eastAsia" w:ascii="仿宋" w:hAnsi="仿宋" w:eastAsia="仿宋"/>
          <w:color w:val="000000"/>
          <w:sz w:val="28"/>
          <w:szCs w:val="28"/>
        </w:rPr>
        <w:t>四、我方按招标文件要求提交的投标文件为：</w:t>
      </w:r>
      <w:r>
        <w:rPr>
          <w:rFonts w:hint="eastAsia" w:ascii="仿宋" w:hAnsi="仿宋" w:eastAsia="仿宋"/>
          <w:color w:val="000000"/>
          <w:sz w:val="28"/>
          <w:szCs w:val="28"/>
          <w:lang w:val="en-US" w:eastAsia="zh-CN"/>
        </w:rPr>
        <w:t>2</w:t>
      </w:r>
      <w:r>
        <w:rPr>
          <w:rFonts w:hint="eastAsia" w:ascii="仿宋" w:hAnsi="仿宋" w:eastAsia="仿宋"/>
          <w:color w:val="000000"/>
          <w:sz w:val="28"/>
          <w:szCs w:val="28"/>
        </w:rPr>
        <w:t>份</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一正一副。</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五、我方投标报价为闭口价。即在投标有效期和合同有效期内，该报价固定不变。</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六、如果我方中标，我方将履行招标文件中规定的各项要求以及我方投标文件的各项承诺，按《合同法》及合同约定条款承担我方责任。</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七、我方理解，最低报价不是中标的唯一条件。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八、本投标书包括下述文件在内的投标文件：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 投标函及报价函和法人代表授权书；</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 公司营业执照复印件；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 其他商务文件；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 投标文件技术方案；</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 物业费用收支测算表；</w:t>
      </w:r>
    </w:p>
    <w:p>
      <w:pPr>
        <w:spacing w:line="400" w:lineRule="exact"/>
        <w:ind w:right="12" w:firstLine="5320" w:firstLineChars="1900"/>
        <w:rPr>
          <w:rFonts w:ascii="仿宋" w:hAnsi="仿宋" w:eastAsia="仿宋"/>
          <w:color w:val="000000"/>
          <w:sz w:val="28"/>
          <w:szCs w:val="28"/>
        </w:rPr>
      </w:pPr>
      <w:r>
        <w:rPr>
          <w:rFonts w:hint="eastAsia" w:ascii="仿宋" w:hAnsi="仿宋" w:eastAsia="仿宋"/>
          <w:color w:val="000000"/>
          <w:sz w:val="28"/>
          <w:szCs w:val="28"/>
        </w:rPr>
        <w:t>投标人（公章）</w:t>
      </w:r>
    </w:p>
    <w:p>
      <w:pPr>
        <w:pStyle w:val="2"/>
        <w:rPr>
          <w:rFonts w:ascii="仿宋" w:hAnsi="仿宋" w:eastAsia="仿宋"/>
          <w:color w:val="000000"/>
          <w:sz w:val="28"/>
          <w:szCs w:val="28"/>
        </w:rPr>
      </w:pPr>
    </w:p>
    <w:p>
      <w:pPr>
        <w:pStyle w:val="2"/>
        <w:ind w:firstLine="5600" w:firstLineChars="2000"/>
        <w:rPr>
          <w:rFonts w:ascii="仿宋" w:hAnsi="仿宋" w:eastAsia="仿宋"/>
          <w:color w:val="000000"/>
          <w:sz w:val="28"/>
          <w:szCs w:val="28"/>
        </w:rPr>
      </w:pPr>
      <w:r>
        <w:rPr>
          <w:rFonts w:hint="eastAsia" w:ascii="仿宋" w:hAnsi="仿宋" w:eastAsia="仿宋"/>
          <w:color w:val="000000"/>
          <w:sz w:val="28"/>
          <w:szCs w:val="28"/>
        </w:rPr>
        <w:t>年    月   日</w:t>
      </w:r>
    </w:p>
    <w:p>
      <w:pPr>
        <w:rPr>
          <w:rFonts w:ascii="仿宋" w:hAnsi="仿宋" w:eastAsia="仿宋"/>
          <w:color w:val="000000"/>
          <w:sz w:val="28"/>
          <w:szCs w:val="28"/>
        </w:rPr>
      </w:pPr>
      <w:r>
        <w:rPr>
          <w:rFonts w:ascii="仿宋" w:hAnsi="仿宋" w:eastAsia="仿宋"/>
          <w:color w:val="000000"/>
          <w:sz w:val="28"/>
          <w:szCs w:val="28"/>
        </w:rPr>
        <w:br w:type="page"/>
      </w:r>
    </w:p>
    <w:p>
      <w:pPr>
        <w:pStyle w:val="2"/>
        <w:rPr>
          <w:rFonts w:ascii="仿宋" w:hAnsi="仿宋" w:eastAsia="仿宋"/>
          <w:color w:val="000000"/>
          <w:sz w:val="28"/>
          <w:szCs w:val="28"/>
        </w:rPr>
      </w:pPr>
    </w:p>
    <w:p>
      <w:pPr>
        <w:spacing w:line="400" w:lineRule="exact"/>
        <w:ind w:right="12" w:firstLine="1680" w:firstLineChars="600"/>
        <w:rPr>
          <w:rFonts w:ascii="仿宋" w:hAnsi="仿宋" w:eastAsia="仿宋"/>
          <w:color w:val="000000"/>
          <w:sz w:val="28"/>
          <w:szCs w:val="28"/>
        </w:rPr>
      </w:pPr>
    </w:p>
    <w:p>
      <w:pPr>
        <w:snapToGrid w:val="0"/>
        <w:spacing w:line="500" w:lineRule="exact"/>
        <w:jc w:val="left"/>
      </w:pPr>
      <w:r>
        <w:rPr>
          <w:rFonts w:hint="eastAsia" w:ascii="仿宋" w:hAnsi="仿宋" w:eastAsia="仿宋"/>
          <w:color w:val="000000"/>
          <w:sz w:val="28"/>
          <w:szCs w:val="28"/>
        </w:rPr>
        <w:t>二、法定代表人身份证明书</w:t>
      </w:r>
    </w:p>
    <w:p>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法定代表人身份证明书（格式）</w:t>
      </w:r>
    </w:p>
    <w:p>
      <w:pPr>
        <w:snapToGrid w:val="0"/>
        <w:spacing w:line="500" w:lineRule="exact"/>
        <w:ind w:firstLine="57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r>
        <w:rPr>
          <w:rFonts w:hint="eastAsia" w:ascii="仿宋" w:hAnsi="仿宋" w:eastAsia="仿宋"/>
          <w:color w:val="000000"/>
          <w:sz w:val="28"/>
          <w:szCs w:val="28"/>
          <w:u w:val="single"/>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（法定代表人姓名）在</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（投标人名称）任</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（职务名称）职务，是</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（投标人名称）的法定代表人。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特此证明。</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投标人（公章）</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年   月   日</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sectPr>
          <w:headerReference r:id="rId3" w:type="default"/>
          <w:footerReference r:id="rId4" w:type="default"/>
          <w:pgSz w:w="11906" w:h="16838"/>
          <w:pgMar w:top="1134" w:right="1106" w:bottom="1134" w:left="1259" w:header="720" w:footer="720" w:gutter="0"/>
          <w:cols w:space="720" w:num="1"/>
          <w:docGrid w:type="lines" w:linePitch="312" w:charSpace="0"/>
        </w:sectPr>
      </w:pPr>
      <w:r>
        <w:rPr>
          <w:rFonts w:hint="eastAsia" w:ascii="仿宋" w:hAnsi="仿宋" w:eastAsia="仿宋"/>
          <w:color w:val="000000"/>
          <w:sz w:val="28"/>
          <w:szCs w:val="28"/>
        </w:rPr>
        <w:t>（附：法定代表人身份证复印件）</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三、法定代表人授权委托书</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法定代表人授权委托书（格式）</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r>
        <w:rPr>
          <w:rFonts w:hint="eastAsia" w:ascii="仿宋" w:hAnsi="仿宋" w:eastAsia="仿宋"/>
          <w:color w:val="000000"/>
          <w:sz w:val="28"/>
          <w:szCs w:val="28"/>
          <w:u w:val="single"/>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（法定代表人姓名）是</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                        的法定代表人，特授权</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（被授权人姓名及身份证代码）代表我单位全权办理上述项目的投标、谈判、签约等具体工作，并签署全部有关文件、协议及合同。</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我单位对被授权人的签名负全部责任。</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在撤消授权的书面通知以前，本授权书一直有效。被授权人在授权书有效期内签署的所有文件不因授权的撤消而失效。</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被授权人签名：               投标人法定代表人签名：</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（附：被授权人身份证复印件）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投标人（公章）</w:t>
      </w:r>
    </w:p>
    <w:p>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年   月   日</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w:t>
      </w:r>
    </w:p>
    <w:p>
      <w:pPr>
        <w:snapToGrid w:val="0"/>
        <w:spacing w:line="500" w:lineRule="exact"/>
        <w:rPr>
          <w:rFonts w:ascii="仿宋" w:hAnsi="仿宋" w:eastAsia="仿宋"/>
          <w:color w:val="000000"/>
          <w:sz w:val="28"/>
          <w:szCs w:val="28"/>
        </w:rPr>
      </w:pPr>
    </w:p>
    <w:p>
      <w:pPr>
        <w:pStyle w:val="2"/>
        <w:rPr>
          <w:rFonts w:ascii="仿宋" w:hAnsi="仿宋" w:eastAsia="仿宋"/>
          <w:color w:val="000000"/>
          <w:sz w:val="28"/>
          <w:szCs w:val="28"/>
        </w:rPr>
      </w:pPr>
    </w:p>
    <w:p>
      <w:pPr>
        <w:pStyle w:val="2"/>
        <w:rPr>
          <w:rFonts w:ascii="仿宋" w:hAnsi="仿宋" w:eastAsia="仿宋"/>
          <w:color w:val="000000"/>
          <w:sz w:val="28"/>
          <w:szCs w:val="28"/>
        </w:rPr>
      </w:pPr>
    </w:p>
    <w:p>
      <w:pPr>
        <w:pStyle w:val="2"/>
        <w:rPr>
          <w:rFonts w:ascii="仿宋" w:hAnsi="仿宋" w:eastAsia="仿宋"/>
          <w:color w:val="000000"/>
          <w:sz w:val="28"/>
          <w:szCs w:val="28"/>
        </w:rPr>
      </w:pPr>
    </w:p>
    <w:p>
      <w:pPr>
        <w:pStyle w:val="2"/>
        <w:rPr>
          <w:rFonts w:ascii="仿宋" w:hAnsi="仿宋" w:eastAsia="仿宋"/>
          <w:color w:val="000000"/>
          <w:sz w:val="28"/>
          <w:szCs w:val="28"/>
        </w:rPr>
      </w:pPr>
    </w:p>
    <w:p>
      <w:pPr>
        <w:pStyle w:val="2"/>
        <w:rPr>
          <w:rFonts w:ascii="仿宋" w:hAnsi="仿宋" w:eastAsia="仿宋"/>
          <w:color w:val="000000"/>
          <w:sz w:val="28"/>
          <w:szCs w:val="28"/>
        </w:rPr>
      </w:pPr>
    </w:p>
    <w:p>
      <w:pPr>
        <w:pStyle w:val="2"/>
        <w:rPr>
          <w:rFonts w:ascii="仿宋" w:hAnsi="仿宋" w:eastAsia="仿宋"/>
          <w:color w:val="000000"/>
          <w:sz w:val="28"/>
          <w:szCs w:val="28"/>
        </w:rPr>
      </w:pPr>
    </w:p>
    <w:p>
      <w:pPr>
        <w:rPr>
          <w:rFonts w:ascii="仿宋" w:hAnsi="仿宋" w:eastAsia="仿宋"/>
          <w:color w:val="000000"/>
          <w:sz w:val="28"/>
          <w:szCs w:val="28"/>
        </w:rPr>
      </w:pPr>
      <w:r>
        <w:rPr>
          <w:rFonts w:ascii="仿宋" w:hAnsi="仿宋" w:eastAsia="仿宋"/>
          <w:color w:val="000000"/>
          <w:sz w:val="28"/>
          <w:szCs w:val="28"/>
        </w:rPr>
        <w:br w:type="page"/>
      </w:r>
    </w:p>
    <w:p>
      <w:pPr>
        <w:pStyle w:val="2"/>
        <w:rPr>
          <w:rFonts w:ascii="仿宋" w:hAnsi="仿宋" w:eastAsia="仿宋"/>
          <w:color w:val="000000"/>
          <w:sz w:val="28"/>
          <w:szCs w:val="28"/>
        </w:rPr>
      </w:pP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四、报价函</w:t>
      </w:r>
    </w:p>
    <w:p>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报价函（格式）</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w:t>
      </w:r>
    </w:p>
    <w:p>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r>
        <w:rPr>
          <w:rFonts w:hint="eastAsia" w:ascii="仿宋" w:hAnsi="仿宋" w:eastAsia="仿宋"/>
          <w:color w:val="000000"/>
          <w:sz w:val="28"/>
          <w:szCs w:val="28"/>
          <w:u w:val="single"/>
        </w:rPr>
        <w:t xml:space="preserve">                                        </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根据贵方“</w:t>
      </w:r>
      <w:r>
        <w:rPr>
          <w:rFonts w:hint="eastAsia" w:ascii="仿宋" w:hAnsi="仿宋" w:eastAsia="仿宋"/>
          <w:color w:val="000000"/>
          <w:sz w:val="28"/>
          <w:szCs w:val="28"/>
          <w:lang w:val="en-US" w:eastAsia="zh-CN"/>
        </w:rPr>
        <w:t>项目名称</w:t>
      </w:r>
      <w:r>
        <w:rPr>
          <w:rFonts w:hint="eastAsia" w:ascii="仿宋" w:hAnsi="仿宋" w:eastAsia="仿宋"/>
          <w:color w:val="000000"/>
          <w:sz w:val="28"/>
          <w:szCs w:val="28"/>
        </w:rPr>
        <w:t>”项目的招标文件，遵照《物业管理条例》及《重庆市物业管理招标投标暂行办法》等有关规定，经查勘项目现场和研究贵方招标文件后，我方投标报价如下：（按建筑面积计算物管费）</w:t>
      </w:r>
    </w:p>
    <w:p>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物业管理收费标准为：</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元/平方米/月</w:t>
      </w:r>
    </w:p>
    <w:p>
      <w:pPr>
        <w:snapToGrid w:val="0"/>
        <w:spacing w:line="500" w:lineRule="exact"/>
        <w:ind w:firstLine="560" w:firstLineChars="200"/>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车位物管费收费标准：</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元/</w:t>
      </w:r>
      <w:r>
        <w:rPr>
          <w:rFonts w:hint="eastAsia" w:ascii="仿宋" w:hAnsi="仿宋" w:eastAsia="仿宋"/>
          <w:color w:val="000000"/>
          <w:sz w:val="28"/>
          <w:szCs w:val="28"/>
          <w:lang w:val="en-US" w:eastAsia="zh-CN"/>
        </w:rPr>
        <w:t>个</w:t>
      </w:r>
      <w:r>
        <w:rPr>
          <w:rFonts w:hint="eastAsia" w:ascii="仿宋" w:hAnsi="仿宋" w:eastAsia="仿宋"/>
          <w:color w:val="000000"/>
          <w:sz w:val="28"/>
          <w:szCs w:val="28"/>
        </w:rPr>
        <w:t>/月</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四、报价说明：</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1、以上收费为一费制，</w:t>
      </w:r>
      <w:r>
        <w:rPr>
          <w:rFonts w:ascii="仿宋" w:hAnsi="仿宋" w:eastAsia="仿宋"/>
          <w:color w:val="000000"/>
          <w:sz w:val="28"/>
          <w:szCs w:val="28"/>
        </w:rPr>
        <w:t>含</w:t>
      </w:r>
      <w:r>
        <w:rPr>
          <w:rFonts w:hint="eastAsia" w:ascii="仿宋" w:hAnsi="仿宋" w:eastAsia="仿宋"/>
          <w:color w:val="000000"/>
          <w:sz w:val="28"/>
          <w:szCs w:val="28"/>
        </w:rPr>
        <w:t>公共区域水电分摊费等；</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2、业主空置房、开发商未出售房屋按国家物业管理相关法规规定收取费用；</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3、报价为物业成本含企业合理利润。</w:t>
      </w:r>
    </w:p>
    <w:p>
      <w:pPr>
        <w:snapToGrid w:val="0"/>
        <w:spacing w:line="500" w:lineRule="exact"/>
        <w:ind w:firstLine="555"/>
        <w:rPr>
          <w:rFonts w:ascii="仿宋" w:hAnsi="仿宋" w:eastAsia="仿宋"/>
          <w:color w:val="000000"/>
          <w:sz w:val="28"/>
          <w:szCs w:val="28"/>
        </w:rPr>
      </w:pPr>
    </w:p>
    <w:p>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投标人（公章）</w:t>
      </w:r>
    </w:p>
    <w:p>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年   月   日</w:t>
      </w:r>
    </w:p>
    <w:p>
      <w:pPr>
        <w:snapToGrid w:val="0"/>
        <w:spacing w:line="500" w:lineRule="exact"/>
        <w:jc w:val="right"/>
        <w:rPr>
          <w:rFonts w:ascii="仿宋" w:hAnsi="仿宋" w:eastAsia="仿宋"/>
          <w:color w:val="000000"/>
          <w:sz w:val="28"/>
          <w:szCs w:val="28"/>
        </w:rPr>
      </w:pPr>
    </w:p>
    <w:p>
      <w:pPr>
        <w:pStyle w:val="2"/>
        <w:rPr>
          <w:rFonts w:ascii="仿宋" w:hAnsi="仿宋" w:eastAsia="仿宋"/>
          <w:color w:val="000000"/>
          <w:sz w:val="28"/>
          <w:szCs w:val="28"/>
        </w:rPr>
      </w:pPr>
    </w:p>
    <w:p>
      <w:pPr>
        <w:pStyle w:val="2"/>
        <w:rPr>
          <w:rFonts w:ascii="仿宋" w:hAnsi="仿宋" w:eastAsia="仿宋"/>
          <w:color w:val="000000"/>
          <w:sz w:val="28"/>
          <w:szCs w:val="28"/>
        </w:rPr>
      </w:pPr>
    </w:p>
    <w:p>
      <w:pPr>
        <w:pStyle w:val="2"/>
        <w:rPr>
          <w:rFonts w:ascii="仿宋" w:hAnsi="仿宋" w:eastAsia="仿宋"/>
          <w:color w:val="000000"/>
          <w:sz w:val="28"/>
          <w:szCs w:val="28"/>
        </w:rPr>
      </w:pPr>
    </w:p>
    <w:p>
      <w:pPr>
        <w:pStyle w:val="2"/>
        <w:rPr>
          <w:rFonts w:ascii="仿宋" w:hAnsi="仿宋" w:eastAsia="仿宋"/>
          <w:color w:val="000000"/>
          <w:sz w:val="28"/>
          <w:szCs w:val="28"/>
        </w:rPr>
      </w:pPr>
    </w:p>
    <w:p>
      <w:pPr>
        <w:rPr>
          <w:rFonts w:ascii="仿宋" w:hAnsi="仿宋" w:eastAsia="仿宋"/>
          <w:color w:val="000000"/>
          <w:sz w:val="28"/>
          <w:szCs w:val="28"/>
        </w:rPr>
      </w:pPr>
      <w:r>
        <w:rPr>
          <w:rFonts w:hint="eastAsia" w:ascii="仿宋" w:hAnsi="仿宋" w:eastAsia="仿宋"/>
          <w:color w:val="000000"/>
          <w:sz w:val="28"/>
          <w:szCs w:val="28"/>
        </w:rPr>
        <w:br w:type="page"/>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五、诚信声明</w:t>
      </w:r>
    </w:p>
    <w:p>
      <w:pPr>
        <w:snapToGrid w:val="0"/>
        <w:spacing w:line="500" w:lineRule="exact"/>
        <w:ind w:firstLine="570"/>
        <w:jc w:val="center"/>
        <w:rPr>
          <w:rFonts w:ascii="仿宋" w:hAnsi="仿宋" w:eastAsia="仿宋"/>
          <w:color w:val="000000"/>
          <w:sz w:val="28"/>
          <w:szCs w:val="28"/>
        </w:rPr>
      </w:pPr>
      <w:r>
        <w:rPr>
          <w:rFonts w:hint="eastAsia" w:ascii="仿宋" w:hAnsi="仿宋" w:eastAsia="仿宋"/>
          <w:color w:val="000000"/>
          <w:sz w:val="28"/>
          <w:szCs w:val="28"/>
        </w:rPr>
        <w:t>诚信声明（格式）</w:t>
      </w:r>
    </w:p>
    <w:p>
      <w:pPr>
        <w:snapToGrid w:val="0"/>
        <w:spacing w:line="500" w:lineRule="exact"/>
        <w:ind w:firstLine="570"/>
        <w:rPr>
          <w:rFonts w:ascii="仿宋" w:hAnsi="仿宋" w:eastAsia="仿宋"/>
          <w:color w:val="000000"/>
          <w:sz w:val="28"/>
          <w:szCs w:val="28"/>
        </w:rPr>
      </w:pPr>
      <w:r>
        <w:rPr>
          <w:rFonts w:hint="eastAsia" w:ascii="仿宋" w:hAnsi="仿宋" w:eastAsia="仿宋"/>
          <w:color w:val="000000"/>
          <w:sz w:val="28"/>
          <w:szCs w:val="28"/>
        </w:rPr>
        <w:t xml:space="preserve"> </w:t>
      </w:r>
    </w:p>
    <w:p>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r>
        <w:rPr>
          <w:rFonts w:hint="eastAsia" w:ascii="仿宋" w:hAnsi="仿宋" w:eastAsia="仿宋"/>
          <w:color w:val="000000"/>
          <w:sz w:val="28"/>
          <w:szCs w:val="28"/>
          <w:u w:val="single"/>
        </w:rPr>
        <w:t xml:space="preserve">                                        </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郑重声明，我公司具有良好的商业信誉和健全的财务会计制度，具有履行合同所必需的设备和专业技术能力，有依法缴纳税收的良好记录，在合同签订前后随时愿意提供相关证明材料。我方对以上声明负全部法律责任。</w:t>
      </w:r>
    </w:p>
    <w:p>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特此声明。</w:t>
      </w:r>
    </w:p>
    <w:p>
      <w:pPr>
        <w:snapToGrid w:val="0"/>
        <w:spacing w:line="500" w:lineRule="exact"/>
        <w:ind w:firstLine="570"/>
        <w:rPr>
          <w:rFonts w:ascii="仿宋" w:hAnsi="仿宋" w:eastAsia="仿宋"/>
          <w:color w:val="000000"/>
          <w:sz w:val="28"/>
          <w:szCs w:val="28"/>
        </w:rPr>
      </w:pPr>
      <w:r>
        <w:rPr>
          <w:rFonts w:hint="eastAsia" w:ascii="仿宋" w:hAnsi="仿宋" w:eastAsia="仿宋"/>
          <w:color w:val="000000"/>
          <w:sz w:val="28"/>
          <w:szCs w:val="28"/>
        </w:rPr>
        <w:t xml:space="preserve"> </w:t>
      </w:r>
    </w:p>
    <w:p>
      <w:pPr>
        <w:snapToGrid w:val="0"/>
        <w:spacing w:line="500" w:lineRule="exact"/>
        <w:ind w:right="424" w:firstLine="570"/>
        <w:jc w:val="right"/>
        <w:rPr>
          <w:rFonts w:ascii="仿宋" w:hAnsi="仿宋" w:eastAsia="仿宋"/>
          <w:color w:val="000000"/>
          <w:sz w:val="28"/>
          <w:szCs w:val="28"/>
        </w:rPr>
      </w:pPr>
      <w:r>
        <w:rPr>
          <w:rFonts w:hint="eastAsia" w:ascii="仿宋" w:hAnsi="仿宋" w:eastAsia="仿宋"/>
          <w:color w:val="000000"/>
          <w:sz w:val="28"/>
          <w:szCs w:val="28"/>
        </w:rPr>
        <w:t>（投标人公章）</w:t>
      </w:r>
    </w:p>
    <w:p>
      <w:pPr>
        <w:snapToGrid w:val="0"/>
        <w:spacing w:line="500" w:lineRule="exact"/>
        <w:ind w:right="480" w:firstLine="570"/>
        <w:jc w:val="right"/>
        <w:rPr>
          <w:rFonts w:ascii="仿宋_GB2312" w:eastAsia="仿宋_GB2312"/>
          <w:color w:val="000000"/>
          <w:sz w:val="32"/>
          <w:szCs w:val="32"/>
        </w:rPr>
      </w:pPr>
      <w:r>
        <w:rPr>
          <w:rFonts w:hint="eastAsia" w:ascii="仿宋" w:hAnsi="仿宋" w:eastAsia="仿宋"/>
          <w:color w:val="000000"/>
          <w:sz w:val="28"/>
          <w:szCs w:val="28"/>
        </w:rPr>
        <w:t>年   月   日</w:t>
      </w: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pStyle w:val="18"/>
        <w:rPr>
          <w:rFonts w:ascii="仿宋_GB2312" w:eastAsia="仿宋_GB2312"/>
          <w:color w:val="000000"/>
          <w:sz w:val="32"/>
          <w:szCs w:val="32"/>
        </w:rPr>
      </w:pPr>
    </w:p>
    <w:p>
      <w:pPr>
        <w:rPr>
          <w:rFonts w:ascii="仿宋_GB2312" w:eastAsia="仿宋_GB2312"/>
          <w:color w:val="000000"/>
          <w:sz w:val="32"/>
          <w:szCs w:val="32"/>
        </w:rPr>
      </w:pPr>
      <w:r>
        <w:rPr>
          <w:rFonts w:ascii="仿宋_GB2312" w:eastAsia="仿宋_GB2312"/>
          <w:color w:val="000000"/>
          <w:sz w:val="32"/>
          <w:szCs w:val="32"/>
        </w:rPr>
        <w:br w:type="page"/>
      </w:r>
    </w:p>
    <w:p>
      <w:pPr>
        <w:pStyle w:val="18"/>
        <w:rPr>
          <w:rFonts w:ascii="仿宋_GB2312" w:eastAsia="仿宋_GB2312"/>
          <w:color w:val="000000"/>
          <w:sz w:val="32"/>
          <w:szCs w:val="32"/>
        </w:rPr>
      </w:pPr>
    </w:p>
    <w:p>
      <w:pPr>
        <w:pStyle w:val="2"/>
        <w:numPr>
          <w:ilvl w:val="0"/>
          <w:numId w:val="5"/>
        </w:numPr>
        <w:jc w:val="center"/>
        <w:rPr>
          <w:b/>
          <w:bCs/>
        </w:rPr>
      </w:pPr>
      <w:r>
        <w:rPr>
          <w:rFonts w:hint="eastAsia"/>
          <w:b/>
          <w:bCs/>
        </w:rPr>
        <w:t>附件</w:t>
      </w:r>
    </w:p>
    <w:p>
      <w:pPr>
        <w:pStyle w:val="2"/>
      </w:pPr>
    </w:p>
    <w:p>
      <w:pPr>
        <w:pStyle w:val="2"/>
      </w:pPr>
    </w:p>
    <w:p>
      <w:pPr>
        <w:rPr>
          <w:rFonts w:ascii="仿宋_GB2312" w:hAnsi="仿宋_GB2312" w:eastAsia="仿宋_GB2312" w:cs="仿宋_GB2312"/>
          <w:color w:val="000000"/>
          <w:sz w:val="44"/>
          <w:szCs w:val="44"/>
        </w:rPr>
      </w:pPr>
      <w:r>
        <w:rPr>
          <w:rFonts w:hint="eastAsia" w:ascii="仿宋_GB2312" w:hAnsi="仿宋_GB2312" w:eastAsia="仿宋_GB2312" w:cs="仿宋_GB2312"/>
          <w:color w:val="000000"/>
          <w:sz w:val="32"/>
          <w:szCs w:val="32"/>
        </w:rPr>
        <w:t xml:space="preserve">附件1  </w:t>
      </w:r>
      <w:r>
        <w:rPr>
          <w:rFonts w:hint="eastAsia" w:ascii="仿宋_GB2312" w:hAnsi="仿宋_GB2312" w:eastAsia="仿宋_GB2312" w:cs="仿宋_GB2312"/>
          <w:color w:val="000000"/>
          <w:sz w:val="44"/>
          <w:szCs w:val="44"/>
        </w:rPr>
        <w:t xml:space="preserve">         报名函</w:t>
      </w:r>
    </w:p>
    <w:p>
      <w:pPr>
        <w:rPr>
          <w:rFonts w:ascii="仿宋_GB2312" w:hAnsi="仿宋_GB2312" w:eastAsia="仿宋_GB2312" w:cs="仿宋_GB2312"/>
          <w:sz w:val="28"/>
          <w:szCs w:val="28"/>
        </w:rPr>
      </w:pPr>
    </w:p>
    <w:p>
      <w:pPr>
        <w:tabs>
          <w:tab w:val="left" w:pos="6300"/>
        </w:tabs>
        <w:snapToGrid w:val="0"/>
        <w:spacing w:line="360" w:lineRule="auto"/>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tabs>
          <w:tab w:val="left" w:pos="6300"/>
        </w:tabs>
        <w:snapToGrid w:val="0"/>
        <w:spacing w:line="360" w:lineRule="auto"/>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u w:val="single"/>
        </w:rPr>
        <w:t xml:space="preserve">               （投标企业）</w:t>
      </w:r>
      <w:r>
        <w:rPr>
          <w:rFonts w:hint="eastAsia" w:ascii="仿宋_GB2312" w:hAnsi="仿宋_GB2312" w:eastAsia="仿宋_GB2312" w:cs="仿宋_GB2312"/>
          <w:color w:val="000000"/>
          <w:sz w:val="28"/>
          <w:szCs w:val="28"/>
        </w:rPr>
        <w:t>系中华人民共和国合法企业，注册地址：</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。我方已知悉贵方对</w:t>
      </w:r>
      <w:r>
        <w:rPr>
          <w:rFonts w:hint="eastAsia" w:ascii="仿宋_GB2312" w:hAnsi="仿宋_GB2312" w:eastAsia="仿宋_GB2312" w:cs="仿宋_GB2312"/>
          <w:color w:val="000000"/>
          <w:sz w:val="28"/>
          <w:szCs w:val="28"/>
          <w:u w:val="single"/>
        </w:rPr>
        <w:t xml:space="preserve">      （项目名称）</w:t>
      </w:r>
      <w:r>
        <w:rPr>
          <w:rFonts w:hint="eastAsia" w:ascii="仿宋" w:hAnsi="仿宋" w:eastAsia="仿宋"/>
          <w:color w:val="000000"/>
          <w:sz w:val="28"/>
          <w:szCs w:val="28"/>
        </w:rPr>
        <w:t>前期物业管理项目</w:t>
      </w:r>
      <w:r>
        <w:rPr>
          <w:rFonts w:hint="eastAsia" w:ascii="仿宋_GB2312" w:hAnsi="仿宋_GB2312" w:eastAsia="仿宋_GB2312" w:cs="仿宋_GB2312"/>
          <w:color w:val="000000"/>
          <w:sz w:val="28"/>
          <w:szCs w:val="28"/>
        </w:rPr>
        <w:t>公开招标，我公司决定参与</w:t>
      </w:r>
      <w:r>
        <w:rPr>
          <w:rFonts w:hint="eastAsia" w:ascii="仿宋_GB2312" w:hAnsi="仿宋_GB2312" w:eastAsia="仿宋_GB2312" w:cs="仿宋_GB2312"/>
          <w:color w:val="000000"/>
          <w:sz w:val="28"/>
          <w:szCs w:val="28"/>
          <w:u w:val="single"/>
        </w:rPr>
        <w:t xml:space="preserve">          </w:t>
      </w:r>
      <w:r>
        <w:rPr>
          <w:rFonts w:hint="eastAsia" w:ascii="仿宋" w:hAnsi="仿宋" w:eastAsia="仿宋"/>
          <w:color w:val="000000"/>
          <w:sz w:val="28"/>
          <w:szCs w:val="28"/>
        </w:rPr>
        <w:t>前期物业管理项目</w:t>
      </w:r>
      <w:r>
        <w:rPr>
          <w:rFonts w:hint="eastAsia" w:ascii="仿宋_GB2312" w:hAnsi="仿宋_GB2312" w:eastAsia="仿宋_GB2312" w:cs="仿宋_GB2312"/>
          <w:color w:val="000000"/>
          <w:sz w:val="28"/>
          <w:szCs w:val="28"/>
        </w:rPr>
        <w:t>投标，特向贵公司来函报名。</w:t>
      </w:r>
    </w:p>
    <w:p>
      <w:pPr>
        <w:tabs>
          <w:tab w:val="left" w:pos="6300"/>
        </w:tabs>
        <w:snapToGrid w:val="0"/>
        <w:spacing w:line="360" w:lineRule="auto"/>
        <w:ind w:firstLine="560" w:firstLineChars="200"/>
        <w:jc w:val="left"/>
        <w:rPr>
          <w:rFonts w:ascii="仿宋_GB2312" w:hAnsi="仿宋_GB2312" w:eastAsia="仿宋_GB2312" w:cs="仿宋_GB2312"/>
          <w:color w:val="000000"/>
          <w:sz w:val="28"/>
          <w:szCs w:val="28"/>
        </w:rPr>
      </w:pPr>
    </w:p>
    <w:p>
      <w:pPr>
        <w:tabs>
          <w:tab w:val="left" w:pos="6300"/>
        </w:tabs>
        <w:snapToGrid w:val="0"/>
        <w:spacing w:line="360" w:lineRule="auto"/>
        <w:ind w:firstLine="560" w:firstLineChars="200"/>
        <w:jc w:val="left"/>
        <w:rPr>
          <w:rFonts w:ascii="仿宋_GB2312" w:hAnsi="仿宋_GB2312" w:eastAsia="仿宋_GB2312" w:cs="仿宋_GB2312"/>
          <w:color w:val="000000"/>
          <w:sz w:val="28"/>
          <w:szCs w:val="28"/>
        </w:rPr>
      </w:pPr>
    </w:p>
    <w:p>
      <w:pPr>
        <w:tabs>
          <w:tab w:val="left" w:pos="6300"/>
        </w:tabs>
        <w:snapToGrid w:val="0"/>
        <w:spacing w:line="360" w:lineRule="auto"/>
        <w:ind w:firstLine="560" w:firstLineChars="200"/>
        <w:jc w:val="left"/>
        <w:rPr>
          <w:rFonts w:ascii="仿宋_GB2312" w:hAnsi="仿宋_GB2312" w:eastAsia="仿宋_GB2312" w:cs="仿宋_GB2312"/>
          <w:color w:val="000000"/>
          <w:sz w:val="28"/>
          <w:szCs w:val="28"/>
        </w:rPr>
      </w:pPr>
    </w:p>
    <w:p>
      <w:pPr>
        <w:snapToGrid w:val="0"/>
        <w:spacing w:line="500" w:lineRule="exact"/>
        <w:jc w:val="right"/>
        <w:rPr>
          <w:rFonts w:ascii="仿宋" w:hAnsi="仿宋" w:eastAsia="仿宋"/>
          <w:color w:val="000000"/>
          <w:sz w:val="28"/>
          <w:szCs w:val="28"/>
        </w:rPr>
      </w:pPr>
      <w:r>
        <w:rPr>
          <w:rFonts w:hint="eastAsia" w:ascii="仿宋_GB2312" w:hAnsi="仿宋_GB2312" w:eastAsia="仿宋_GB2312" w:cs="仿宋_GB2312"/>
          <w:color w:val="000000"/>
          <w:sz w:val="28"/>
          <w:szCs w:val="28"/>
        </w:rPr>
        <w:t xml:space="preserve">            </w:t>
      </w:r>
      <w:r>
        <w:rPr>
          <w:rFonts w:hint="eastAsia" w:ascii="仿宋" w:hAnsi="仿宋" w:eastAsia="仿宋"/>
          <w:color w:val="000000"/>
          <w:sz w:val="28"/>
          <w:szCs w:val="28"/>
        </w:rPr>
        <w:t>投标人（公章）</w:t>
      </w:r>
    </w:p>
    <w:p>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年   月   日</w:t>
      </w:r>
    </w:p>
    <w:p>
      <w:pPr>
        <w:snapToGrid w:val="0"/>
        <w:spacing w:line="500" w:lineRule="exact"/>
        <w:jc w:val="right"/>
        <w:rPr>
          <w:rFonts w:ascii="仿宋" w:hAnsi="仿宋" w:eastAsia="仿宋"/>
          <w:color w:val="000000"/>
          <w:sz w:val="28"/>
          <w:szCs w:val="28"/>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pStyle w:val="2"/>
        <w:rPr>
          <w:rFonts w:ascii="仿宋_GB2312" w:eastAsia="仿宋_GB2312"/>
          <w:color w:val="000000"/>
          <w:sz w:val="32"/>
          <w:szCs w:val="32"/>
        </w:rPr>
      </w:pPr>
    </w:p>
    <w:p>
      <w:pPr>
        <w:rPr>
          <w:rFonts w:ascii="方正黑体_GBK" w:hAnsi="仿宋_GB2312" w:eastAsia="方正黑体_GBK"/>
          <w:bCs/>
          <w:snapToGrid w:val="0"/>
          <w:sz w:val="32"/>
          <w:szCs w:val="32"/>
        </w:rPr>
      </w:pPr>
      <w:r>
        <w:rPr>
          <w:rFonts w:hint="eastAsia" w:ascii="方正黑体_GBK" w:hAnsi="仿宋_GB2312" w:eastAsia="方正黑体_GBK"/>
          <w:bCs/>
          <w:snapToGrid w:val="0"/>
          <w:sz w:val="32"/>
          <w:szCs w:val="32"/>
        </w:rPr>
        <w:br w:type="page"/>
      </w:r>
    </w:p>
    <w:p>
      <w:pPr>
        <w:rPr>
          <w:rFonts w:ascii="方正黑体_GBK" w:hAnsi="仿宋_GB2312" w:eastAsia="方正黑体_GBK"/>
          <w:bCs/>
          <w:snapToGrid w:val="0"/>
          <w:sz w:val="32"/>
          <w:szCs w:val="32"/>
        </w:rPr>
      </w:pPr>
      <w:r>
        <w:rPr>
          <w:rFonts w:hint="eastAsia" w:ascii="方正黑体_GBK" w:hAnsi="仿宋_GB2312" w:eastAsia="方正黑体_GBK"/>
          <w:bCs/>
          <w:snapToGrid w:val="0"/>
          <w:sz w:val="32"/>
          <w:szCs w:val="32"/>
        </w:rPr>
        <w:t>附件2</w:t>
      </w:r>
    </w:p>
    <w:p>
      <w:pPr>
        <w:wordWrap w:val="0"/>
        <w:snapToGrid w:val="0"/>
        <w:jc w:val="center"/>
        <w:rPr>
          <w:rFonts w:eastAsia="方正小标宋_GBK"/>
          <w:snapToGrid w:val="0"/>
          <w:sz w:val="44"/>
          <w:szCs w:val="44"/>
        </w:rPr>
      </w:pPr>
      <w:r>
        <w:rPr>
          <w:rFonts w:hint="eastAsia" w:eastAsia="方正小标宋_GBK"/>
          <w:snapToGrid w:val="0"/>
          <w:sz w:val="44"/>
          <w:szCs w:val="44"/>
        </w:rPr>
        <w:t>重庆市住宅物业服务等级标准</w:t>
      </w:r>
    </w:p>
    <w:p>
      <w:pPr>
        <w:wordWrap w:val="0"/>
        <w:snapToGrid w:val="0"/>
        <w:rPr>
          <w:rFonts w:eastAsia="方正仿宋_GBK"/>
          <w:snapToGrid w:val="0"/>
          <w:szCs w:val="20"/>
        </w:rPr>
      </w:pPr>
    </w:p>
    <w:p>
      <w:pPr>
        <w:snapToGrid w:val="0"/>
        <w:spacing w:line="460" w:lineRule="exact"/>
        <w:ind w:firstLine="420" w:firstLineChars="200"/>
        <w:rPr>
          <w:rFonts w:eastAsia="方正黑体_GBK"/>
          <w:snapToGrid w:val="0"/>
        </w:rPr>
      </w:pPr>
      <w:r>
        <w:rPr>
          <w:rFonts w:hint="eastAsia" w:eastAsia="方正黑体_GBK"/>
          <w:snapToGrid w:val="0"/>
        </w:rPr>
        <w:t>一、基本要求</w:t>
      </w:r>
    </w:p>
    <w:tbl>
      <w:tblPr>
        <w:tblStyle w:val="14"/>
        <w:tblW w:w="9169" w:type="dxa"/>
        <w:jc w:val="center"/>
        <w:tblLayout w:type="fixed"/>
        <w:tblCellMar>
          <w:top w:w="0" w:type="dxa"/>
          <w:left w:w="108" w:type="dxa"/>
          <w:bottom w:w="0" w:type="dxa"/>
          <w:right w:w="108" w:type="dxa"/>
        </w:tblCellMar>
      </w:tblPr>
      <w:tblGrid>
        <w:gridCol w:w="2292"/>
        <w:gridCol w:w="2292"/>
        <w:gridCol w:w="2292"/>
        <w:gridCol w:w="2293"/>
      </w:tblGrid>
      <w:tr>
        <w:tblPrEx>
          <w:tblCellMar>
            <w:top w:w="0" w:type="dxa"/>
            <w:left w:w="108" w:type="dxa"/>
            <w:bottom w:w="0" w:type="dxa"/>
            <w:right w:w="108" w:type="dxa"/>
          </w:tblCellMar>
        </w:tblPrEx>
        <w:trPr>
          <w:trHeight w:val="435" w:hRule="atLeast"/>
          <w:tblHeade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eastAsia="方正黑体_GBK"/>
                <w:snapToGrid w:val="0"/>
                <w:szCs w:val="21"/>
              </w:rPr>
            </w:pPr>
            <w:r>
              <w:rPr>
                <w:rFonts w:hint="eastAsia" w:eastAsia="方正黑体_GBK"/>
                <w:snapToGrid w:val="0"/>
                <w:szCs w:val="21"/>
              </w:rPr>
              <w:t>一</w:t>
            </w:r>
            <w:r>
              <w:rPr>
                <w:rFonts w:eastAsia="方正黑体_GBK"/>
                <w:snapToGrid w:val="0"/>
                <w:szCs w:val="21"/>
              </w:rPr>
              <w:t xml:space="preserve">    </w:t>
            </w:r>
            <w:r>
              <w:rPr>
                <w:rFonts w:hint="eastAsia" w:eastAsia="方正黑体_GBK"/>
                <w:snapToGrid w:val="0"/>
                <w:szCs w:val="21"/>
              </w:rPr>
              <w:t>级</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eastAsia="方正黑体_GBK"/>
                <w:snapToGrid w:val="0"/>
                <w:szCs w:val="21"/>
              </w:rPr>
            </w:pPr>
            <w:r>
              <w:rPr>
                <w:rFonts w:hint="eastAsia" w:eastAsia="方正黑体_GBK"/>
                <w:snapToGrid w:val="0"/>
                <w:szCs w:val="21"/>
              </w:rPr>
              <w:t>二</w:t>
            </w:r>
            <w:r>
              <w:rPr>
                <w:rFonts w:eastAsia="方正黑体_GBK"/>
                <w:snapToGrid w:val="0"/>
                <w:szCs w:val="21"/>
              </w:rPr>
              <w:t xml:space="preserve">    </w:t>
            </w:r>
            <w:r>
              <w:rPr>
                <w:rFonts w:hint="eastAsia" w:eastAsia="方正黑体_GBK"/>
                <w:snapToGrid w:val="0"/>
                <w:szCs w:val="21"/>
              </w:rPr>
              <w:t>级</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eastAsia="方正黑体_GBK"/>
                <w:snapToGrid w:val="0"/>
                <w:szCs w:val="21"/>
              </w:rPr>
            </w:pPr>
            <w:r>
              <w:rPr>
                <w:rFonts w:hint="eastAsia" w:eastAsia="方正黑体_GBK"/>
                <w:snapToGrid w:val="0"/>
                <w:szCs w:val="21"/>
              </w:rPr>
              <w:t>三</w:t>
            </w:r>
            <w:r>
              <w:rPr>
                <w:rFonts w:eastAsia="方正黑体_GBK"/>
                <w:snapToGrid w:val="0"/>
                <w:szCs w:val="21"/>
              </w:rPr>
              <w:t xml:space="preserve">    </w:t>
            </w:r>
            <w:r>
              <w:rPr>
                <w:rFonts w:hint="eastAsia" w:eastAsia="方正黑体_GBK"/>
                <w:snapToGrid w:val="0"/>
                <w:szCs w:val="21"/>
              </w:rPr>
              <w:t>级</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eastAsia="方正黑体_GBK"/>
                <w:snapToGrid w:val="0"/>
                <w:szCs w:val="21"/>
              </w:rPr>
            </w:pPr>
            <w:r>
              <w:rPr>
                <w:rFonts w:hint="eastAsia" w:eastAsia="方正黑体_GBK"/>
                <w:snapToGrid w:val="0"/>
                <w:szCs w:val="21"/>
              </w:rPr>
              <w:t>四</w:t>
            </w:r>
            <w:r>
              <w:rPr>
                <w:rFonts w:eastAsia="方正黑体_GBK"/>
                <w:snapToGrid w:val="0"/>
                <w:szCs w:val="21"/>
              </w:rPr>
              <w:t xml:space="preserve">    </w:t>
            </w:r>
            <w:r>
              <w:rPr>
                <w:rFonts w:hint="eastAsia" w:eastAsia="方正黑体_GBK"/>
                <w:snapToGrid w:val="0"/>
                <w:szCs w:val="21"/>
              </w:rPr>
              <w:t>级</w:t>
            </w:r>
          </w:p>
        </w:tc>
      </w:tr>
      <w:tr>
        <w:tblPrEx>
          <w:tblCellMar>
            <w:top w:w="0" w:type="dxa"/>
            <w:left w:w="108" w:type="dxa"/>
            <w:bottom w:w="0" w:type="dxa"/>
            <w:right w:w="108" w:type="dxa"/>
          </w:tblCellMar>
        </w:tblPrEx>
        <w:trPr>
          <w:trHeight w:val="3010"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日常服务应符合国家《物业管理条例》和《重庆市物业管理条例》的有关规定以及物业服务合同的约定。服务与被服务双方签订规范的物业服务合同，双方权利义务关系明确。公布物业服务内容、标准及物业服务收费标准。</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日常服务应符合国家《物业管理条例》和《重庆市物业管理条例》的有关规定以及物业服务合同的约定。服务与被服务双方签订规范的物业服务合同，双方权利义务关系明确。公布物业服务内容、标准及物业服务收费标准。</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日常服务应符合国家《物业管理条例》和《重庆市物业管理条例》的有关规定以及物业服务合同的约定。服务与被服务双方签订规范的物业服务合同，双方权利义务关系明确。公布物业服务内容、标准及物业服务收费标准。</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日常服务应符合国家《物业管理条例》和《重庆市物业管理条例》的有关规定以及物业服务合同的约定。服务与被服务双方签订规范的物业服务合同，双方权利义务关系明确。公布物业服务内容、标准及物业服务收费标准。</w:t>
            </w:r>
          </w:p>
        </w:tc>
      </w:tr>
      <w:tr>
        <w:tblPrEx>
          <w:tblCellMar>
            <w:top w:w="0" w:type="dxa"/>
            <w:left w:w="108" w:type="dxa"/>
            <w:bottom w:w="0" w:type="dxa"/>
            <w:right w:w="108" w:type="dxa"/>
          </w:tblCellMar>
        </w:tblPrEx>
        <w:trPr>
          <w:trHeight w:val="90" w:hRule="atLeast"/>
          <w:jc w:val="center"/>
        </w:trPr>
        <w:tc>
          <w:tcPr>
            <w:tcW w:w="2292" w:type="dxa"/>
            <w:tcBorders>
              <w:top w:val="single" w:color="000000" w:sz="4" w:space="0"/>
              <w:left w:val="single" w:color="000000" w:sz="4" w:space="0"/>
              <w:bottom w:val="single" w:color="000000" w:sz="4" w:space="0"/>
              <w:right w:val="single" w:color="000000" w:sz="4" w:space="0"/>
            </w:tcBorders>
            <w:tcMar>
              <w:top w:w="57"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．管理人员、专业技术人员按照国家有关规定取得物业管理职业资格证书或者岗位证书。管理服务人员佩戴标志，文明服务。</w:t>
            </w:r>
          </w:p>
        </w:tc>
        <w:tc>
          <w:tcPr>
            <w:tcW w:w="2292" w:type="dxa"/>
            <w:tcBorders>
              <w:top w:val="single" w:color="000000" w:sz="4" w:space="0"/>
              <w:left w:val="nil"/>
              <w:bottom w:val="single" w:color="000000" w:sz="4" w:space="0"/>
              <w:right w:val="single" w:color="000000" w:sz="4" w:space="0"/>
            </w:tcBorders>
            <w:tcMar>
              <w:top w:w="57"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．管理人员、专业技术人员按照国家有关规定取得物业管理职业资格证书或者岗位证书。管理服务人员统一着装、佩戴标志，仪表整洁规范，文明服务。</w:t>
            </w:r>
          </w:p>
        </w:tc>
        <w:tc>
          <w:tcPr>
            <w:tcW w:w="2292" w:type="dxa"/>
            <w:tcBorders>
              <w:top w:val="single" w:color="000000" w:sz="4" w:space="0"/>
              <w:left w:val="nil"/>
              <w:bottom w:val="single" w:color="000000" w:sz="4" w:space="0"/>
              <w:right w:val="single" w:color="000000" w:sz="4" w:space="0"/>
            </w:tcBorders>
            <w:tcMar>
              <w:top w:w="57"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．管理人员、专业技术人员按照国家有关规定取得物业管理职业资格证书或者岗位证书，且小区经理有一年以上小区经理任职经历。管理服务人员统一着装、佩戴标志，仪表整洁规范，文明服务。</w:t>
            </w:r>
          </w:p>
        </w:tc>
        <w:tc>
          <w:tcPr>
            <w:tcW w:w="2293" w:type="dxa"/>
            <w:tcBorders>
              <w:top w:val="single" w:color="000000" w:sz="4" w:space="0"/>
              <w:left w:val="nil"/>
              <w:bottom w:val="single" w:color="000000" w:sz="4" w:space="0"/>
              <w:right w:val="single" w:color="000000" w:sz="4" w:space="0"/>
            </w:tcBorders>
            <w:tcMar>
              <w:top w:w="57"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．管理人员、专业技术人员按照国家有关规定取得物业管理职业资格证书或者岗位证书，且小区经理有两年以上小区经理任职经历。管理服务人员统一着装、佩戴标志，行为规范，服务主动、热情。</w:t>
            </w:r>
          </w:p>
        </w:tc>
      </w:tr>
      <w:tr>
        <w:tblPrEx>
          <w:tblCellMar>
            <w:top w:w="0" w:type="dxa"/>
            <w:left w:w="108" w:type="dxa"/>
            <w:bottom w:w="0" w:type="dxa"/>
            <w:right w:w="108" w:type="dxa"/>
          </w:tblCellMar>
        </w:tblPrEx>
        <w:trPr>
          <w:trHeight w:val="1331"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．科学合理配备物业管理服务人员，人均管理面积</w:t>
            </w:r>
            <w:r>
              <w:rPr>
                <w:rFonts w:eastAsia="方正仿宋_GBK"/>
                <w:snapToGrid w:val="0"/>
                <w:szCs w:val="21"/>
              </w:rPr>
              <w:t>3501</w:t>
            </w:r>
            <w:r>
              <w:rPr>
                <w:rFonts w:hint="eastAsia" w:eastAsia="方正仿宋_GBK"/>
                <w:snapToGrid w:val="0"/>
                <w:szCs w:val="21"/>
              </w:rPr>
              <w:t>—</w:t>
            </w:r>
            <w:r>
              <w:rPr>
                <w:rFonts w:eastAsia="方正仿宋_GBK"/>
                <w:snapToGrid w:val="0"/>
                <w:szCs w:val="21"/>
              </w:rPr>
              <w:t>4000</w:t>
            </w:r>
            <w:r>
              <w:rPr>
                <w:rFonts w:hint="eastAsia" w:eastAsia="方正仿宋_GBK"/>
                <w:snapToGrid w:val="0"/>
                <w:szCs w:val="21"/>
              </w:rPr>
              <w:t>平方米。</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．科学合理配备物业管理服务人员，人均管理面积</w:t>
            </w:r>
            <w:r>
              <w:rPr>
                <w:rFonts w:eastAsia="方正仿宋_GBK"/>
                <w:snapToGrid w:val="0"/>
                <w:szCs w:val="21"/>
              </w:rPr>
              <w:t>3201</w:t>
            </w:r>
            <w:r>
              <w:rPr>
                <w:rFonts w:hint="eastAsia" w:eastAsia="方正仿宋_GBK"/>
                <w:snapToGrid w:val="0"/>
                <w:szCs w:val="21"/>
              </w:rPr>
              <w:t>—</w:t>
            </w:r>
            <w:r>
              <w:rPr>
                <w:rFonts w:eastAsia="方正仿宋_GBK"/>
                <w:snapToGrid w:val="0"/>
                <w:szCs w:val="21"/>
              </w:rPr>
              <w:t>3500</w:t>
            </w:r>
            <w:r>
              <w:rPr>
                <w:rFonts w:hint="eastAsia" w:eastAsia="方正仿宋_GBK"/>
                <w:snapToGrid w:val="0"/>
                <w:szCs w:val="21"/>
              </w:rPr>
              <w:t>平方米。</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．科学合理配备物业管理服务人员，人均管理面积</w:t>
            </w:r>
            <w:r>
              <w:rPr>
                <w:rFonts w:eastAsia="方正仿宋_GBK"/>
                <w:snapToGrid w:val="0"/>
                <w:szCs w:val="21"/>
              </w:rPr>
              <w:t>2901</w:t>
            </w:r>
            <w:r>
              <w:rPr>
                <w:rFonts w:hint="eastAsia" w:eastAsia="方正仿宋_GBK"/>
                <w:snapToGrid w:val="0"/>
                <w:szCs w:val="21"/>
              </w:rPr>
              <w:t>—</w:t>
            </w:r>
            <w:r>
              <w:rPr>
                <w:rFonts w:eastAsia="方正仿宋_GBK"/>
                <w:snapToGrid w:val="0"/>
                <w:szCs w:val="21"/>
              </w:rPr>
              <w:t>3200</w:t>
            </w:r>
            <w:r>
              <w:rPr>
                <w:rFonts w:hint="eastAsia" w:eastAsia="方正仿宋_GBK"/>
                <w:snapToGrid w:val="0"/>
                <w:szCs w:val="21"/>
              </w:rPr>
              <w:t>平方米。</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．科学合理配备物业管理服务人员，人均管理面积</w:t>
            </w:r>
            <w:r>
              <w:rPr>
                <w:rFonts w:eastAsia="方正仿宋_GBK"/>
                <w:snapToGrid w:val="0"/>
                <w:szCs w:val="21"/>
              </w:rPr>
              <w:t>2500</w:t>
            </w:r>
            <w:r>
              <w:rPr>
                <w:rFonts w:hint="eastAsia" w:eastAsia="方正仿宋_GBK"/>
                <w:snapToGrid w:val="0"/>
                <w:szCs w:val="21"/>
              </w:rPr>
              <w:t>—</w:t>
            </w:r>
            <w:r>
              <w:rPr>
                <w:rFonts w:eastAsia="方正仿宋_GBK"/>
                <w:snapToGrid w:val="0"/>
                <w:szCs w:val="21"/>
              </w:rPr>
              <w:t>2900</w:t>
            </w:r>
            <w:r>
              <w:rPr>
                <w:rFonts w:hint="eastAsia" w:eastAsia="方正仿宋_GBK"/>
                <w:snapToGrid w:val="0"/>
                <w:szCs w:val="21"/>
              </w:rPr>
              <w:t>平方米。</w:t>
            </w:r>
          </w:p>
        </w:tc>
      </w:tr>
      <w:tr>
        <w:tblPrEx>
          <w:tblCellMar>
            <w:top w:w="0" w:type="dxa"/>
            <w:left w:w="108" w:type="dxa"/>
            <w:bottom w:w="0" w:type="dxa"/>
            <w:right w:w="108" w:type="dxa"/>
          </w:tblCellMar>
        </w:tblPrEx>
        <w:trP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．有物业管理方案和质量管理、财务管理、档案管理、秩序维护等制度。</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．建立物业管理方案和质量管理、财务管理、档案管理、秩序维护等制度。</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．建立健全物业管理方案和质量管理、财务管理、档案管理、秩序维护等制度。</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．建立健全物业管理方案和质量管理、财务管理、档案管理、秩序维护等制度。</w:t>
            </w:r>
          </w:p>
        </w:tc>
      </w:tr>
      <w:tr>
        <w:tblPrEx>
          <w:tblCellMar>
            <w:top w:w="0" w:type="dxa"/>
            <w:left w:w="108" w:type="dxa"/>
            <w:bottom w:w="0" w:type="dxa"/>
            <w:right w:w="108" w:type="dxa"/>
          </w:tblCellMar>
        </w:tblPrEx>
        <w:trP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．按规划要求使用物业管理用房，不擅自改变用途。</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．按规划要求使用物业管理用房，不擅自改变用途。</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．按规划要求使用物业管理用房，不擅自改变用途。</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．按规划要求使用物业管理用房，不擅自改变用途。</w:t>
            </w:r>
          </w:p>
        </w:tc>
      </w:tr>
      <w:tr>
        <w:tblPrEx>
          <w:tblCellMar>
            <w:top w:w="0" w:type="dxa"/>
            <w:left w:w="108" w:type="dxa"/>
            <w:bottom w:w="0" w:type="dxa"/>
            <w:right w:w="108" w:type="dxa"/>
          </w:tblCellMar>
        </w:tblPrEx>
        <w:trPr>
          <w:trHeight w:val="3004"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．小区有固定的办公地点及办公家具。周一至周五每天</w:t>
            </w:r>
            <w:r>
              <w:rPr>
                <w:rFonts w:eastAsia="方正仿宋_GBK"/>
                <w:snapToGrid w:val="0"/>
                <w:szCs w:val="21"/>
              </w:rPr>
              <w:t>8</w:t>
            </w:r>
            <w:r>
              <w:rPr>
                <w:rFonts w:hint="eastAsia" w:eastAsia="方正仿宋_GBK"/>
                <w:snapToGrid w:val="0"/>
                <w:szCs w:val="21"/>
              </w:rPr>
              <w:t>小时在小区管理处进行业务接待，受理业主和物业使用人的咨询和投诉，答复率</w:t>
            </w:r>
            <w:r>
              <w:rPr>
                <w:rFonts w:eastAsia="方正仿宋_GBK"/>
                <w:snapToGrid w:val="0"/>
                <w:szCs w:val="21"/>
              </w:rPr>
              <w:t>95%</w:t>
            </w:r>
            <w:r>
              <w:rPr>
                <w:rFonts w:hint="eastAsia" w:eastAsia="方正仿宋_GBK"/>
                <w:snapToGrid w:val="0"/>
                <w:szCs w:val="21"/>
              </w:rPr>
              <w:t>，有效投诉处理率</w:t>
            </w:r>
            <w:r>
              <w:rPr>
                <w:rFonts w:eastAsia="方正仿宋_GBK"/>
                <w:snapToGrid w:val="0"/>
                <w:szCs w:val="21"/>
              </w:rPr>
              <w:t>98%</w:t>
            </w:r>
            <w:r>
              <w:rPr>
                <w:rFonts w:hint="eastAsia" w:eastAsia="方正仿宋_GBK"/>
                <w:snapToGrid w:val="0"/>
                <w:szCs w:val="21"/>
              </w:rPr>
              <w:t>。</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．小区有固定的办公地点及办公家具。周一至周五每天</w:t>
            </w:r>
            <w:r>
              <w:rPr>
                <w:rFonts w:eastAsia="方正仿宋_GBK"/>
                <w:snapToGrid w:val="0"/>
                <w:szCs w:val="21"/>
              </w:rPr>
              <w:t>8</w:t>
            </w:r>
            <w:r>
              <w:rPr>
                <w:rFonts w:hint="eastAsia" w:eastAsia="方正仿宋_GBK"/>
                <w:snapToGrid w:val="0"/>
                <w:szCs w:val="21"/>
              </w:rPr>
              <w:t>小时在小区管理处进行业务接待，其他节假日每天</w:t>
            </w:r>
            <w:r>
              <w:rPr>
                <w:rFonts w:eastAsia="方正仿宋_GBK"/>
                <w:snapToGrid w:val="0"/>
                <w:szCs w:val="21"/>
              </w:rPr>
              <w:t>6</w:t>
            </w:r>
            <w:r>
              <w:rPr>
                <w:rFonts w:hint="eastAsia" w:eastAsia="方正仿宋_GBK"/>
                <w:snapToGrid w:val="0"/>
                <w:szCs w:val="21"/>
              </w:rPr>
              <w:t>小时在小区管理处进行业务接待，受理业主和物业使用人的咨询和投诉，答复率</w:t>
            </w:r>
            <w:r>
              <w:rPr>
                <w:rFonts w:eastAsia="方正仿宋_GBK"/>
                <w:snapToGrid w:val="0"/>
                <w:szCs w:val="21"/>
              </w:rPr>
              <w:t>100%</w:t>
            </w:r>
            <w:r>
              <w:rPr>
                <w:rFonts w:hint="eastAsia" w:eastAsia="方正仿宋_GBK"/>
                <w:snapToGrid w:val="0"/>
                <w:szCs w:val="21"/>
              </w:rPr>
              <w:t>，有效投诉处理率</w:t>
            </w:r>
            <w:r>
              <w:rPr>
                <w:rFonts w:eastAsia="方正仿宋_GBK"/>
                <w:snapToGrid w:val="0"/>
                <w:szCs w:val="21"/>
              </w:rPr>
              <w:t>100%</w:t>
            </w:r>
            <w:r>
              <w:rPr>
                <w:rFonts w:hint="eastAsia" w:eastAsia="方正仿宋_GBK"/>
                <w:snapToGrid w:val="0"/>
                <w:szCs w:val="21"/>
              </w:rPr>
              <w:t>。</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．设有服务接待中心，配置办公家具及电话、计算机等办公设施设备。每天</w:t>
            </w:r>
            <w:r>
              <w:rPr>
                <w:rFonts w:eastAsia="方正仿宋_GBK"/>
                <w:snapToGrid w:val="0"/>
                <w:szCs w:val="21"/>
              </w:rPr>
              <w:t>10</w:t>
            </w:r>
            <w:r>
              <w:rPr>
                <w:rFonts w:hint="eastAsia" w:eastAsia="方正仿宋_GBK"/>
                <w:snapToGrid w:val="0"/>
                <w:szCs w:val="21"/>
              </w:rPr>
              <w:t>小时有管理人员在管理处进行业务接待，处理物业服务合同范围内的公共性事务，受理业主和物业使用人的咨询和投诉，答复率</w:t>
            </w:r>
            <w:r>
              <w:rPr>
                <w:rFonts w:eastAsia="方正仿宋_GBK"/>
                <w:snapToGrid w:val="0"/>
                <w:szCs w:val="21"/>
              </w:rPr>
              <w:t>100%</w:t>
            </w:r>
            <w:r>
              <w:rPr>
                <w:rFonts w:hint="eastAsia" w:eastAsia="方正仿宋_GBK"/>
                <w:snapToGrid w:val="0"/>
                <w:szCs w:val="21"/>
              </w:rPr>
              <w:t>，有效投诉处理率</w:t>
            </w:r>
            <w:r>
              <w:rPr>
                <w:rFonts w:eastAsia="方正仿宋_GBK"/>
                <w:snapToGrid w:val="0"/>
                <w:szCs w:val="21"/>
              </w:rPr>
              <w:t>100%</w:t>
            </w:r>
            <w:r>
              <w:rPr>
                <w:rFonts w:hint="eastAsia" w:eastAsia="方正仿宋_GBK"/>
                <w:snapToGrid w:val="0"/>
                <w:szCs w:val="21"/>
              </w:rPr>
              <w:t>。</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．设有服务接待中心，配置办公家具及电话、传真机、计算机等办公设施设备。每天</w:t>
            </w:r>
            <w:r>
              <w:rPr>
                <w:rFonts w:eastAsia="方正仿宋_GBK"/>
                <w:snapToGrid w:val="0"/>
                <w:szCs w:val="21"/>
              </w:rPr>
              <w:t>12</w:t>
            </w:r>
            <w:r>
              <w:rPr>
                <w:rFonts w:hint="eastAsia" w:eastAsia="方正仿宋_GBK"/>
                <w:snapToGrid w:val="0"/>
                <w:szCs w:val="21"/>
              </w:rPr>
              <w:t>小时有管理人员接待业主和物业使用人，处理物业服务合同范围内的公共性事务，受理业主和物业使用人的咨询和投诉，答复率</w:t>
            </w:r>
            <w:r>
              <w:rPr>
                <w:rFonts w:eastAsia="方正仿宋_GBK"/>
                <w:snapToGrid w:val="0"/>
                <w:szCs w:val="21"/>
              </w:rPr>
              <w:t>100%</w:t>
            </w:r>
            <w:r>
              <w:rPr>
                <w:rFonts w:hint="eastAsia" w:eastAsia="方正仿宋_GBK"/>
                <w:snapToGrid w:val="0"/>
                <w:szCs w:val="21"/>
              </w:rPr>
              <w:t>，有效投诉处理率</w:t>
            </w:r>
            <w:r>
              <w:rPr>
                <w:rFonts w:eastAsia="方正仿宋_GBK"/>
                <w:snapToGrid w:val="0"/>
                <w:szCs w:val="21"/>
              </w:rPr>
              <w:t>100%</w:t>
            </w:r>
            <w:r>
              <w:rPr>
                <w:rFonts w:hint="eastAsia" w:eastAsia="方正仿宋_GBK"/>
                <w:snapToGrid w:val="0"/>
                <w:szCs w:val="21"/>
              </w:rPr>
              <w:t>。</w:t>
            </w:r>
          </w:p>
        </w:tc>
      </w:tr>
      <w:tr>
        <w:tblPrEx>
          <w:tblCellMar>
            <w:top w:w="0" w:type="dxa"/>
            <w:left w:w="108" w:type="dxa"/>
            <w:bottom w:w="0" w:type="dxa"/>
            <w:right w:w="108" w:type="dxa"/>
          </w:tblCellMar>
        </w:tblPrEx>
        <w:trPr>
          <w:trHeight w:val="1789"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7</w:t>
            </w:r>
            <w:r>
              <w:rPr>
                <w:rFonts w:hint="eastAsia" w:eastAsia="方正仿宋_GBK"/>
                <w:snapToGrid w:val="0"/>
                <w:szCs w:val="21"/>
              </w:rPr>
              <w:t>．公示</w:t>
            </w:r>
            <w:r>
              <w:rPr>
                <w:rFonts w:eastAsia="方正仿宋_GBK"/>
                <w:snapToGrid w:val="0"/>
                <w:szCs w:val="21"/>
              </w:rPr>
              <w:t>24</w:t>
            </w:r>
            <w:r>
              <w:rPr>
                <w:rFonts w:hint="eastAsia" w:eastAsia="方正仿宋_GBK"/>
                <w:snapToGrid w:val="0"/>
                <w:szCs w:val="21"/>
              </w:rPr>
              <w:t>小时应急服务电话。急修、报修按双方约定时间到达现场，回访率</w:t>
            </w:r>
            <w:r>
              <w:rPr>
                <w:rFonts w:eastAsia="方正仿宋_GBK"/>
                <w:snapToGrid w:val="0"/>
                <w:szCs w:val="21"/>
              </w:rPr>
              <w:t>50%</w:t>
            </w:r>
            <w:r>
              <w:rPr>
                <w:rFonts w:hint="eastAsia" w:eastAsia="方正仿宋_GBK"/>
                <w:snapToGrid w:val="0"/>
                <w:szCs w:val="21"/>
              </w:rPr>
              <w:t>以上。</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7</w:t>
            </w:r>
            <w:r>
              <w:rPr>
                <w:rFonts w:hint="eastAsia" w:eastAsia="方正仿宋_GBK"/>
                <w:snapToGrid w:val="0"/>
                <w:szCs w:val="21"/>
              </w:rPr>
              <w:t>．实行</w:t>
            </w:r>
            <w:r>
              <w:rPr>
                <w:rFonts w:eastAsia="方正仿宋_GBK"/>
                <w:snapToGrid w:val="0"/>
                <w:szCs w:val="21"/>
              </w:rPr>
              <w:t>24</w:t>
            </w:r>
            <w:r>
              <w:rPr>
                <w:rFonts w:hint="eastAsia" w:eastAsia="方正仿宋_GBK"/>
                <w:snapToGrid w:val="0"/>
                <w:szCs w:val="21"/>
              </w:rPr>
              <w:t>小时报修值班制度。公示</w:t>
            </w:r>
            <w:r>
              <w:rPr>
                <w:rFonts w:eastAsia="方正仿宋_GBK"/>
                <w:snapToGrid w:val="0"/>
                <w:szCs w:val="21"/>
              </w:rPr>
              <w:t>24</w:t>
            </w:r>
            <w:r>
              <w:rPr>
                <w:rFonts w:hint="eastAsia" w:eastAsia="方正仿宋_GBK"/>
                <w:snapToGrid w:val="0"/>
                <w:szCs w:val="21"/>
              </w:rPr>
              <w:t>小时应急服务电话。急修</w:t>
            </w:r>
            <w:r>
              <w:rPr>
                <w:rFonts w:eastAsia="方正仿宋_GBK"/>
                <w:snapToGrid w:val="0"/>
                <w:szCs w:val="21"/>
              </w:rPr>
              <w:t>30</w:t>
            </w:r>
            <w:r>
              <w:rPr>
                <w:rFonts w:hint="eastAsia" w:eastAsia="方正仿宋_GBK"/>
                <w:snapToGrid w:val="0"/>
                <w:szCs w:val="21"/>
              </w:rPr>
              <w:t>分钟内到达现场，其他报修按双方约定时间到达现场，回访率</w:t>
            </w:r>
            <w:r>
              <w:rPr>
                <w:rFonts w:eastAsia="方正仿宋_GBK"/>
                <w:snapToGrid w:val="0"/>
                <w:szCs w:val="21"/>
              </w:rPr>
              <w:t>75%</w:t>
            </w:r>
            <w:r>
              <w:rPr>
                <w:rFonts w:hint="eastAsia" w:eastAsia="方正仿宋_GBK"/>
                <w:snapToGrid w:val="0"/>
                <w:szCs w:val="21"/>
              </w:rPr>
              <w:t>以上。</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7</w:t>
            </w:r>
            <w:r>
              <w:rPr>
                <w:rFonts w:hint="eastAsia" w:eastAsia="方正仿宋_GBK"/>
                <w:snapToGrid w:val="0"/>
                <w:szCs w:val="21"/>
              </w:rPr>
              <w:t>．实行</w:t>
            </w:r>
            <w:r>
              <w:rPr>
                <w:rFonts w:eastAsia="方正仿宋_GBK"/>
                <w:snapToGrid w:val="0"/>
                <w:szCs w:val="21"/>
              </w:rPr>
              <w:t>24</w:t>
            </w:r>
            <w:r>
              <w:rPr>
                <w:rFonts w:hint="eastAsia" w:eastAsia="方正仿宋_GBK"/>
                <w:snapToGrid w:val="0"/>
                <w:szCs w:val="21"/>
              </w:rPr>
              <w:t>小时报修值班制度。公示</w:t>
            </w:r>
            <w:r>
              <w:rPr>
                <w:rFonts w:eastAsia="方正仿宋_GBK"/>
                <w:snapToGrid w:val="0"/>
                <w:szCs w:val="21"/>
              </w:rPr>
              <w:t>24</w:t>
            </w:r>
            <w:r>
              <w:rPr>
                <w:rFonts w:hint="eastAsia" w:eastAsia="方正仿宋_GBK"/>
                <w:snapToGrid w:val="0"/>
                <w:szCs w:val="21"/>
              </w:rPr>
              <w:t>小时应急服务电话。急修</w:t>
            </w:r>
            <w:r>
              <w:rPr>
                <w:rFonts w:eastAsia="方正仿宋_GBK"/>
                <w:snapToGrid w:val="0"/>
                <w:szCs w:val="21"/>
              </w:rPr>
              <w:t>30</w:t>
            </w:r>
            <w:r>
              <w:rPr>
                <w:rFonts w:hint="eastAsia" w:eastAsia="方正仿宋_GBK"/>
                <w:snapToGrid w:val="0"/>
                <w:szCs w:val="21"/>
              </w:rPr>
              <w:t>分钟内到达现场，其他报修按双方约定时间到达现场，回访率</w:t>
            </w:r>
            <w:r>
              <w:rPr>
                <w:rFonts w:eastAsia="方正仿宋_GBK"/>
                <w:snapToGrid w:val="0"/>
                <w:szCs w:val="21"/>
              </w:rPr>
              <w:t>85%</w:t>
            </w:r>
            <w:r>
              <w:rPr>
                <w:rFonts w:hint="eastAsia" w:eastAsia="方正仿宋_GBK"/>
                <w:snapToGrid w:val="0"/>
                <w:szCs w:val="21"/>
              </w:rPr>
              <w:t>以上，有报修、维修和回访记录。</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7</w:t>
            </w:r>
            <w:r>
              <w:rPr>
                <w:rFonts w:hint="eastAsia" w:eastAsia="方正仿宋_GBK"/>
                <w:snapToGrid w:val="0"/>
                <w:szCs w:val="21"/>
              </w:rPr>
              <w:t>．实行</w:t>
            </w:r>
            <w:r>
              <w:rPr>
                <w:rFonts w:eastAsia="方正仿宋_GBK"/>
                <w:snapToGrid w:val="0"/>
                <w:szCs w:val="21"/>
              </w:rPr>
              <w:t>24</w:t>
            </w:r>
            <w:r>
              <w:rPr>
                <w:rFonts w:hint="eastAsia" w:eastAsia="方正仿宋_GBK"/>
                <w:snapToGrid w:val="0"/>
                <w:szCs w:val="21"/>
              </w:rPr>
              <w:t>小时报修值班制度。公示</w:t>
            </w:r>
            <w:r>
              <w:rPr>
                <w:rFonts w:eastAsia="方正仿宋_GBK"/>
                <w:snapToGrid w:val="0"/>
                <w:szCs w:val="21"/>
              </w:rPr>
              <w:t>24</w:t>
            </w:r>
            <w:r>
              <w:rPr>
                <w:rFonts w:hint="eastAsia" w:eastAsia="方正仿宋_GBK"/>
                <w:snapToGrid w:val="0"/>
                <w:szCs w:val="21"/>
              </w:rPr>
              <w:t>小时应急服务电话。急修</w:t>
            </w:r>
            <w:r>
              <w:rPr>
                <w:rFonts w:eastAsia="方正仿宋_GBK"/>
                <w:snapToGrid w:val="0"/>
                <w:szCs w:val="21"/>
              </w:rPr>
              <w:t>20</w:t>
            </w:r>
            <w:r>
              <w:rPr>
                <w:rFonts w:hint="eastAsia" w:eastAsia="方正仿宋_GBK"/>
                <w:snapToGrid w:val="0"/>
                <w:szCs w:val="21"/>
              </w:rPr>
              <w:t>分钟内到达现场，其他报修按双方约定时间到达现场，回访率</w:t>
            </w:r>
            <w:r>
              <w:rPr>
                <w:rFonts w:eastAsia="方正仿宋_GBK"/>
                <w:snapToGrid w:val="0"/>
                <w:szCs w:val="21"/>
              </w:rPr>
              <w:t>100%</w:t>
            </w:r>
            <w:r>
              <w:rPr>
                <w:rFonts w:hint="eastAsia" w:eastAsia="方正仿宋_GBK"/>
                <w:snapToGrid w:val="0"/>
                <w:szCs w:val="21"/>
              </w:rPr>
              <w:t>，有完整的报修、维修和回访记录。</w:t>
            </w:r>
          </w:p>
        </w:tc>
      </w:tr>
      <w:tr>
        <w:tblPrEx>
          <w:tblCellMar>
            <w:top w:w="0" w:type="dxa"/>
            <w:left w:w="108" w:type="dxa"/>
            <w:bottom w:w="0" w:type="dxa"/>
            <w:right w:w="108" w:type="dxa"/>
          </w:tblCellMar>
        </w:tblPrEx>
        <w:trPr>
          <w:trHeight w:val="1289"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8</w:t>
            </w:r>
            <w:r>
              <w:rPr>
                <w:rFonts w:hint="eastAsia" w:eastAsia="方正仿宋_GBK"/>
                <w:snapToGrid w:val="0"/>
                <w:szCs w:val="21"/>
              </w:rPr>
              <w:t>．提供物业服务合同之外的特约服务和代办服务的，应公示服务项目与收费价目。</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8</w:t>
            </w:r>
            <w:r>
              <w:rPr>
                <w:rFonts w:hint="eastAsia" w:eastAsia="方正仿宋_GBK"/>
                <w:snapToGrid w:val="0"/>
                <w:szCs w:val="21"/>
              </w:rPr>
              <w:t>．提供物业服务合同之外的特约服务和代办服务的，应公示服务项目与收费价目。</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8</w:t>
            </w:r>
            <w:r>
              <w:rPr>
                <w:rFonts w:hint="eastAsia" w:eastAsia="方正仿宋_GBK"/>
                <w:snapToGrid w:val="0"/>
                <w:szCs w:val="21"/>
              </w:rPr>
              <w:t>．提供物业服务合同之外的特约服务和代办服务的，应公示服务项目与收费价目。</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8</w:t>
            </w:r>
            <w:r>
              <w:rPr>
                <w:rFonts w:hint="eastAsia" w:eastAsia="方正仿宋_GBK"/>
                <w:snapToGrid w:val="0"/>
                <w:szCs w:val="21"/>
              </w:rPr>
              <w:t>．提供物业服务合同之外的特约服务和代办服务的，应公示服务项目与收费价目。</w:t>
            </w:r>
          </w:p>
        </w:tc>
      </w:tr>
      <w:tr>
        <w:tblPrEx>
          <w:tblCellMar>
            <w:top w:w="0" w:type="dxa"/>
            <w:left w:w="108" w:type="dxa"/>
            <w:bottom w:w="0" w:type="dxa"/>
            <w:right w:w="108" w:type="dxa"/>
          </w:tblCellMar>
        </w:tblPrEx>
        <w:trP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9</w:t>
            </w:r>
            <w:r>
              <w:rPr>
                <w:rFonts w:hint="eastAsia" w:eastAsia="方正仿宋_GBK"/>
                <w:snapToGrid w:val="0"/>
                <w:szCs w:val="21"/>
              </w:rPr>
              <w:t>．按规定使用专项维修资金，公布专项维修资金使用情况。</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9</w:t>
            </w:r>
            <w:r>
              <w:rPr>
                <w:rFonts w:hint="eastAsia" w:eastAsia="方正仿宋_GBK"/>
                <w:snapToGrid w:val="0"/>
                <w:szCs w:val="21"/>
              </w:rPr>
              <w:t>．按规定使用专项维修资金，公布专项维修资金使用情况。</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9</w:t>
            </w:r>
            <w:r>
              <w:rPr>
                <w:rFonts w:hint="eastAsia" w:eastAsia="方正仿宋_GBK"/>
                <w:snapToGrid w:val="0"/>
                <w:szCs w:val="21"/>
              </w:rPr>
              <w:t>．按规定使用专项维修资金，公布专项维修资金使用情况。</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9</w:t>
            </w:r>
            <w:r>
              <w:rPr>
                <w:rFonts w:hint="eastAsia" w:eastAsia="方正仿宋_GBK"/>
                <w:snapToGrid w:val="0"/>
                <w:szCs w:val="21"/>
              </w:rPr>
              <w:t>．按规定使用专项维修资金，公布专项维修资金使用情况。</w:t>
            </w:r>
          </w:p>
        </w:tc>
      </w:tr>
      <w:tr>
        <w:tblPrEx>
          <w:tblCellMar>
            <w:top w:w="0" w:type="dxa"/>
            <w:left w:w="108" w:type="dxa"/>
            <w:bottom w:w="0" w:type="dxa"/>
            <w:right w:w="108" w:type="dxa"/>
          </w:tblCellMar>
        </w:tblPrEx>
        <w:trP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10</w:t>
            </w:r>
            <w:r>
              <w:rPr>
                <w:rFonts w:hint="eastAsia" w:eastAsia="方正仿宋_GBK"/>
                <w:snapToGrid w:val="0"/>
                <w:szCs w:val="21"/>
              </w:rPr>
              <w:t>．每年进行</w:t>
            </w:r>
            <w:r>
              <w:rPr>
                <w:rFonts w:eastAsia="方正仿宋_GBK"/>
                <w:snapToGrid w:val="0"/>
                <w:szCs w:val="21"/>
              </w:rPr>
              <w:t>1</w:t>
            </w:r>
            <w:r>
              <w:rPr>
                <w:rFonts w:hint="eastAsia" w:eastAsia="方正仿宋_GBK"/>
                <w:snapToGrid w:val="0"/>
                <w:szCs w:val="21"/>
              </w:rPr>
              <w:t>次业主满意度测评，覆盖率达到</w:t>
            </w:r>
            <w:r>
              <w:rPr>
                <w:rFonts w:eastAsia="方正仿宋_GBK"/>
                <w:snapToGrid w:val="0"/>
                <w:szCs w:val="21"/>
              </w:rPr>
              <w:t>66%</w:t>
            </w:r>
            <w:r>
              <w:rPr>
                <w:rFonts w:hint="eastAsia" w:eastAsia="方正仿宋_GBK"/>
                <w:snapToGrid w:val="0"/>
                <w:szCs w:val="21"/>
              </w:rPr>
              <w:t>以上，履约满意率达到</w:t>
            </w:r>
            <w:r>
              <w:rPr>
                <w:rFonts w:eastAsia="方正仿宋_GBK"/>
                <w:snapToGrid w:val="0"/>
                <w:szCs w:val="21"/>
              </w:rPr>
              <w:t>66%</w:t>
            </w:r>
            <w:r>
              <w:rPr>
                <w:rFonts w:hint="eastAsia" w:eastAsia="方正仿宋_GBK"/>
                <w:snapToGrid w:val="0"/>
                <w:szCs w:val="21"/>
              </w:rPr>
              <w:t>以上，对管理服务中的薄弱环节适时整改。</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10</w:t>
            </w:r>
            <w:r>
              <w:rPr>
                <w:rFonts w:hint="eastAsia" w:eastAsia="方正仿宋_GBK"/>
                <w:snapToGrid w:val="0"/>
                <w:szCs w:val="21"/>
              </w:rPr>
              <w:t>．每年进行</w:t>
            </w:r>
            <w:r>
              <w:rPr>
                <w:rFonts w:eastAsia="方正仿宋_GBK"/>
                <w:snapToGrid w:val="0"/>
                <w:szCs w:val="21"/>
              </w:rPr>
              <w:t>1</w:t>
            </w:r>
            <w:r>
              <w:rPr>
                <w:rFonts w:hint="eastAsia" w:eastAsia="方正仿宋_GBK"/>
                <w:snapToGrid w:val="0"/>
                <w:szCs w:val="21"/>
              </w:rPr>
              <w:t>次业主满意度测评，覆盖率达到</w:t>
            </w:r>
            <w:r>
              <w:rPr>
                <w:rFonts w:eastAsia="方正仿宋_GBK"/>
                <w:snapToGrid w:val="0"/>
                <w:szCs w:val="21"/>
              </w:rPr>
              <w:t>70%</w:t>
            </w:r>
            <w:r>
              <w:rPr>
                <w:rFonts w:hint="eastAsia" w:eastAsia="方正仿宋_GBK"/>
                <w:snapToGrid w:val="0"/>
                <w:szCs w:val="21"/>
              </w:rPr>
              <w:t>以上，履约满意率达到</w:t>
            </w:r>
            <w:r>
              <w:rPr>
                <w:rFonts w:eastAsia="方正仿宋_GBK"/>
                <w:snapToGrid w:val="0"/>
                <w:szCs w:val="21"/>
              </w:rPr>
              <w:t>70%</w:t>
            </w:r>
            <w:r>
              <w:rPr>
                <w:rFonts w:hint="eastAsia" w:eastAsia="方正仿宋_GBK"/>
                <w:snapToGrid w:val="0"/>
                <w:szCs w:val="21"/>
              </w:rPr>
              <w:t>以上，对管理服务中的薄弱环节适时整改。</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10</w:t>
            </w:r>
            <w:r>
              <w:rPr>
                <w:rFonts w:hint="eastAsia" w:eastAsia="方正仿宋_GBK"/>
                <w:snapToGrid w:val="0"/>
                <w:szCs w:val="21"/>
              </w:rPr>
              <w:t>．每年进行</w:t>
            </w:r>
            <w:r>
              <w:rPr>
                <w:rFonts w:eastAsia="方正仿宋_GBK"/>
                <w:snapToGrid w:val="0"/>
                <w:szCs w:val="21"/>
              </w:rPr>
              <w:t>1</w:t>
            </w:r>
            <w:r>
              <w:rPr>
                <w:rFonts w:hint="eastAsia" w:eastAsia="方正仿宋_GBK"/>
                <w:snapToGrid w:val="0"/>
                <w:szCs w:val="21"/>
              </w:rPr>
              <w:t>次以上（含</w:t>
            </w:r>
            <w:r>
              <w:rPr>
                <w:rFonts w:eastAsia="方正仿宋_GBK"/>
                <w:snapToGrid w:val="0"/>
                <w:szCs w:val="21"/>
              </w:rPr>
              <w:t>1</w:t>
            </w:r>
            <w:r>
              <w:rPr>
                <w:rFonts w:hint="eastAsia" w:eastAsia="方正仿宋_GBK"/>
                <w:snapToGrid w:val="0"/>
                <w:szCs w:val="21"/>
              </w:rPr>
              <w:t>次）业主满意度测评，覆盖率达到</w:t>
            </w:r>
            <w:r>
              <w:rPr>
                <w:rFonts w:eastAsia="方正仿宋_GBK"/>
                <w:snapToGrid w:val="0"/>
                <w:szCs w:val="21"/>
              </w:rPr>
              <w:t>75%</w:t>
            </w:r>
            <w:r>
              <w:rPr>
                <w:rFonts w:hint="eastAsia" w:eastAsia="方正仿宋_GBK"/>
                <w:snapToGrid w:val="0"/>
                <w:szCs w:val="21"/>
              </w:rPr>
              <w:t>以上，履约满意率达到</w:t>
            </w:r>
            <w:r>
              <w:rPr>
                <w:rFonts w:eastAsia="方正仿宋_GBK"/>
                <w:snapToGrid w:val="0"/>
                <w:szCs w:val="21"/>
              </w:rPr>
              <w:t>75%</w:t>
            </w:r>
            <w:r>
              <w:rPr>
                <w:rFonts w:hint="eastAsia" w:eastAsia="方正仿宋_GBK"/>
                <w:snapToGrid w:val="0"/>
                <w:szCs w:val="21"/>
              </w:rPr>
              <w:t>以上，对管理服务中的薄弱环节适时整改。</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10</w:t>
            </w:r>
            <w:r>
              <w:rPr>
                <w:rFonts w:hint="eastAsia" w:eastAsia="方正仿宋_GBK"/>
                <w:snapToGrid w:val="0"/>
                <w:szCs w:val="21"/>
              </w:rPr>
              <w:t>．每年进行</w:t>
            </w:r>
            <w:r>
              <w:rPr>
                <w:rFonts w:eastAsia="方正仿宋_GBK"/>
                <w:snapToGrid w:val="0"/>
                <w:szCs w:val="21"/>
              </w:rPr>
              <w:t>2</w:t>
            </w:r>
            <w:r>
              <w:rPr>
                <w:rFonts w:hint="eastAsia" w:eastAsia="方正仿宋_GBK"/>
                <w:snapToGrid w:val="0"/>
                <w:szCs w:val="21"/>
              </w:rPr>
              <w:t>次以上业主满意度测评，覆盖率达到</w:t>
            </w:r>
            <w:r>
              <w:rPr>
                <w:rFonts w:eastAsia="方正仿宋_GBK"/>
                <w:snapToGrid w:val="0"/>
                <w:szCs w:val="21"/>
              </w:rPr>
              <w:t>85%</w:t>
            </w:r>
            <w:r>
              <w:rPr>
                <w:rFonts w:hint="eastAsia" w:eastAsia="方正仿宋_GBK"/>
                <w:snapToGrid w:val="0"/>
                <w:szCs w:val="21"/>
              </w:rPr>
              <w:t>以上，履约满意率达到</w:t>
            </w:r>
            <w:r>
              <w:rPr>
                <w:rFonts w:eastAsia="方正仿宋_GBK"/>
                <w:snapToGrid w:val="0"/>
                <w:szCs w:val="21"/>
              </w:rPr>
              <w:t>85%</w:t>
            </w:r>
            <w:r>
              <w:rPr>
                <w:rFonts w:hint="eastAsia" w:eastAsia="方正仿宋_GBK"/>
                <w:snapToGrid w:val="0"/>
                <w:szCs w:val="21"/>
              </w:rPr>
              <w:t>以上，对管理服务中的薄弱环节适时整改。</w:t>
            </w:r>
          </w:p>
        </w:tc>
      </w:tr>
      <w:tr>
        <w:tblPrEx>
          <w:tblCellMar>
            <w:top w:w="0" w:type="dxa"/>
            <w:left w:w="108" w:type="dxa"/>
            <w:bottom w:w="0" w:type="dxa"/>
            <w:right w:w="108" w:type="dxa"/>
          </w:tblCellMar>
        </w:tblPrEx>
        <w:trP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11</w:t>
            </w:r>
            <w:r>
              <w:rPr>
                <w:rFonts w:hint="eastAsia" w:eastAsia="方正仿宋_GBK"/>
                <w:snapToGrid w:val="0"/>
                <w:szCs w:val="21"/>
              </w:rPr>
              <w:t>． 公示共用部位收益和使用情况。</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11</w:t>
            </w:r>
            <w:r>
              <w:rPr>
                <w:rFonts w:hint="eastAsia" w:eastAsia="方正仿宋_GBK"/>
                <w:snapToGrid w:val="0"/>
                <w:szCs w:val="21"/>
              </w:rPr>
              <w:t>． 公示共用部位收益和使用情况。</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11</w:t>
            </w:r>
            <w:r>
              <w:rPr>
                <w:rFonts w:hint="eastAsia" w:eastAsia="方正仿宋_GBK"/>
                <w:snapToGrid w:val="0"/>
                <w:szCs w:val="21"/>
              </w:rPr>
              <w:t>． 公示共用部位收益和使用情况。</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11</w:t>
            </w:r>
            <w:r>
              <w:rPr>
                <w:rFonts w:hint="eastAsia" w:eastAsia="方正仿宋_GBK"/>
                <w:snapToGrid w:val="0"/>
                <w:szCs w:val="21"/>
              </w:rPr>
              <w:t>． 公示共用部位收益和使用情况。</w:t>
            </w:r>
          </w:p>
        </w:tc>
      </w:tr>
      <w:tr>
        <w:tblPrEx>
          <w:tblCellMar>
            <w:top w:w="0" w:type="dxa"/>
            <w:left w:w="108" w:type="dxa"/>
            <w:bottom w:w="0" w:type="dxa"/>
            <w:right w:w="108" w:type="dxa"/>
          </w:tblCellMar>
        </w:tblPrEx>
        <w:trPr>
          <w:trHeight w:val="90"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12</w:t>
            </w:r>
            <w:r>
              <w:rPr>
                <w:rFonts w:hint="eastAsia" w:eastAsia="方正仿宋_GBK"/>
                <w:snapToGrid w:val="0"/>
                <w:szCs w:val="21"/>
              </w:rPr>
              <w:t>．能提供并公示</w:t>
            </w:r>
            <w:r>
              <w:rPr>
                <w:rFonts w:eastAsia="方正仿宋_GBK"/>
                <w:snapToGrid w:val="0"/>
                <w:szCs w:val="21"/>
              </w:rPr>
              <w:t>1</w:t>
            </w:r>
            <w:r>
              <w:rPr>
                <w:rFonts w:hint="eastAsia" w:eastAsia="方正仿宋_GBK"/>
                <w:snapToGrid w:val="0"/>
                <w:szCs w:val="21"/>
              </w:rPr>
              <w:t>种以上（含</w:t>
            </w:r>
            <w:r>
              <w:rPr>
                <w:rFonts w:eastAsia="方正仿宋_GBK"/>
                <w:snapToGrid w:val="0"/>
                <w:szCs w:val="21"/>
              </w:rPr>
              <w:t>1</w:t>
            </w:r>
            <w:r>
              <w:rPr>
                <w:rFonts w:hint="eastAsia" w:eastAsia="方正仿宋_GBK"/>
                <w:snapToGrid w:val="0"/>
                <w:szCs w:val="21"/>
              </w:rPr>
              <w:t>种）便民（无偿）服务；重大节假日进行专题布置，每年组织</w:t>
            </w:r>
            <w:r>
              <w:rPr>
                <w:rFonts w:eastAsia="方正仿宋_GBK"/>
                <w:snapToGrid w:val="0"/>
                <w:szCs w:val="21"/>
              </w:rPr>
              <w:t>1</w:t>
            </w:r>
            <w:r>
              <w:rPr>
                <w:rFonts w:hint="eastAsia" w:eastAsia="方正仿宋_GBK"/>
                <w:snapToGrid w:val="0"/>
                <w:szCs w:val="21"/>
              </w:rPr>
              <w:t>次以上（含</w:t>
            </w:r>
            <w:r>
              <w:rPr>
                <w:rFonts w:eastAsia="方正仿宋_GBK"/>
                <w:snapToGrid w:val="0"/>
                <w:szCs w:val="21"/>
              </w:rPr>
              <w:t>1</w:t>
            </w:r>
            <w:r>
              <w:rPr>
                <w:rFonts w:hint="eastAsia" w:eastAsia="方正仿宋_GBK"/>
                <w:snapToGrid w:val="0"/>
                <w:szCs w:val="21"/>
              </w:rPr>
              <w:t>次）社区活动。</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12</w:t>
            </w:r>
            <w:r>
              <w:rPr>
                <w:rFonts w:hint="eastAsia" w:eastAsia="方正仿宋_GBK"/>
                <w:snapToGrid w:val="0"/>
                <w:szCs w:val="21"/>
              </w:rPr>
              <w:t>．能提供并公示</w:t>
            </w:r>
            <w:r>
              <w:rPr>
                <w:rFonts w:eastAsia="方正仿宋_GBK"/>
                <w:snapToGrid w:val="0"/>
                <w:szCs w:val="21"/>
              </w:rPr>
              <w:t>2</w:t>
            </w:r>
            <w:r>
              <w:rPr>
                <w:rFonts w:hint="eastAsia" w:eastAsia="方正仿宋_GBK"/>
                <w:snapToGrid w:val="0"/>
                <w:szCs w:val="21"/>
              </w:rPr>
              <w:t>种以上（含</w:t>
            </w:r>
            <w:r>
              <w:rPr>
                <w:rFonts w:eastAsia="方正仿宋_GBK"/>
                <w:snapToGrid w:val="0"/>
                <w:szCs w:val="21"/>
              </w:rPr>
              <w:t>2</w:t>
            </w:r>
            <w:r>
              <w:rPr>
                <w:rFonts w:hint="eastAsia" w:eastAsia="方正仿宋_GBK"/>
                <w:snapToGrid w:val="0"/>
                <w:szCs w:val="21"/>
              </w:rPr>
              <w:t>种）便民（无偿）服务；重要节假日进行专题布置，每年组织</w:t>
            </w:r>
            <w:r>
              <w:rPr>
                <w:rFonts w:eastAsia="方正仿宋_GBK"/>
                <w:snapToGrid w:val="0"/>
                <w:szCs w:val="21"/>
              </w:rPr>
              <w:t>2</w:t>
            </w:r>
            <w:r>
              <w:rPr>
                <w:rFonts w:hint="eastAsia" w:eastAsia="方正仿宋_GBK"/>
                <w:snapToGrid w:val="0"/>
                <w:szCs w:val="21"/>
              </w:rPr>
              <w:t>次以上（含</w:t>
            </w:r>
            <w:r>
              <w:rPr>
                <w:rFonts w:eastAsia="方正仿宋_GBK"/>
                <w:snapToGrid w:val="0"/>
                <w:szCs w:val="21"/>
              </w:rPr>
              <w:t>2</w:t>
            </w:r>
            <w:r>
              <w:rPr>
                <w:rFonts w:hint="eastAsia" w:eastAsia="方正仿宋_GBK"/>
                <w:snapToGrid w:val="0"/>
                <w:szCs w:val="21"/>
              </w:rPr>
              <w:t>次）社区活动。</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12</w:t>
            </w:r>
            <w:r>
              <w:rPr>
                <w:rFonts w:hint="eastAsia" w:eastAsia="方正仿宋_GBK"/>
                <w:snapToGrid w:val="0"/>
                <w:szCs w:val="21"/>
              </w:rPr>
              <w:t>．能提供并公示</w:t>
            </w:r>
            <w:r>
              <w:rPr>
                <w:rFonts w:eastAsia="方正仿宋_GBK"/>
                <w:snapToGrid w:val="0"/>
                <w:szCs w:val="21"/>
              </w:rPr>
              <w:t>3</w:t>
            </w:r>
            <w:r>
              <w:rPr>
                <w:rFonts w:hint="eastAsia" w:eastAsia="方正仿宋_GBK"/>
                <w:snapToGrid w:val="0"/>
                <w:szCs w:val="21"/>
              </w:rPr>
              <w:t>种以上（含</w:t>
            </w:r>
            <w:r>
              <w:rPr>
                <w:rFonts w:eastAsia="方正仿宋_GBK"/>
                <w:snapToGrid w:val="0"/>
                <w:szCs w:val="21"/>
              </w:rPr>
              <w:t>3</w:t>
            </w:r>
            <w:r>
              <w:rPr>
                <w:rFonts w:hint="eastAsia" w:eastAsia="方正仿宋_GBK"/>
                <w:snapToGrid w:val="0"/>
                <w:szCs w:val="21"/>
              </w:rPr>
              <w:t>种）便民（无偿）服务；重要节假日进行专题布置，每年组织</w:t>
            </w:r>
            <w:r>
              <w:rPr>
                <w:rFonts w:eastAsia="方正仿宋_GBK"/>
                <w:snapToGrid w:val="0"/>
                <w:szCs w:val="21"/>
              </w:rPr>
              <w:t>3</w:t>
            </w:r>
            <w:r>
              <w:rPr>
                <w:rFonts w:hint="eastAsia" w:eastAsia="方正仿宋_GBK"/>
                <w:snapToGrid w:val="0"/>
                <w:szCs w:val="21"/>
              </w:rPr>
              <w:t>次以上（含</w:t>
            </w:r>
            <w:r>
              <w:rPr>
                <w:rFonts w:eastAsia="方正仿宋_GBK"/>
                <w:snapToGrid w:val="0"/>
                <w:szCs w:val="21"/>
              </w:rPr>
              <w:t>3</w:t>
            </w:r>
            <w:r>
              <w:rPr>
                <w:rFonts w:hint="eastAsia" w:eastAsia="方正仿宋_GBK"/>
                <w:snapToGrid w:val="0"/>
                <w:szCs w:val="21"/>
              </w:rPr>
              <w:t>次）社区活动。</w:t>
            </w:r>
          </w:p>
        </w:tc>
      </w:tr>
    </w:tbl>
    <w:p>
      <w:pPr>
        <w:snapToGrid w:val="0"/>
        <w:spacing w:line="460" w:lineRule="exact"/>
        <w:ind w:firstLine="420" w:firstLineChars="200"/>
        <w:rPr>
          <w:rFonts w:eastAsia="方正黑体_GBK"/>
          <w:snapToGrid w:val="0"/>
        </w:rPr>
      </w:pPr>
      <w:r>
        <w:rPr>
          <w:rFonts w:hint="eastAsia" w:eastAsia="方正黑体_GBK"/>
          <w:snapToGrid w:val="0"/>
        </w:rPr>
        <w:t>二、共用部位、共用设备设施维修维护</w:t>
      </w:r>
    </w:p>
    <w:tbl>
      <w:tblPr>
        <w:tblStyle w:val="14"/>
        <w:tblW w:w="9169" w:type="dxa"/>
        <w:jc w:val="center"/>
        <w:tblLayout w:type="fixed"/>
        <w:tblCellMar>
          <w:top w:w="0" w:type="dxa"/>
          <w:left w:w="108" w:type="dxa"/>
          <w:bottom w:w="0" w:type="dxa"/>
          <w:right w:w="108" w:type="dxa"/>
        </w:tblCellMar>
      </w:tblPr>
      <w:tblGrid>
        <w:gridCol w:w="2296"/>
        <w:gridCol w:w="2282"/>
        <w:gridCol w:w="2309"/>
        <w:gridCol w:w="2282"/>
      </w:tblGrid>
      <w:tr>
        <w:tblPrEx>
          <w:tblCellMar>
            <w:top w:w="0" w:type="dxa"/>
            <w:left w:w="108" w:type="dxa"/>
            <w:bottom w:w="0" w:type="dxa"/>
            <w:right w:w="108" w:type="dxa"/>
          </w:tblCellMar>
        </w:tblPrEx>
        <w:trPr>
          <w:trHeight w:val="352" w:hRule="atLeast"/>
          <w:tblHeader/>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320" w:lineRule="exact"/>
              <w:jc w:val="center"/>
              <w:rPr>
                <w:rFonts w:eastAsia="方正黑体_GBK"/>
                <w:snapToGrid w:val="0"/>
                <w:szCs w:val="21"/>
              </w:rPr>
            </w:pPr>
            <w:r>
              <w:rPr>
                <w:rFonts w:hint="eastAsia" w:eastAsia="方正黑体_GBK"/>
                <w:snapToGrid w:val="0"/>
                <w:szCs w:val="21"/>
              </w:rPr>
              <w:t>一</w:t>
            </w:r>
            <w:r>
              <w:rPr>
                <w:rFonts w:eastAsia="方正黑体_GBK"/>
                <w:snapToGrid w:val="0"/>
                <w:szCs w:val="21"/>
              </w:rPr>
              <w:t xml:space="preserve">    </w:t>
            </w:r>
            <w:r>
              <w:rPr>
                <w:rFonts w:hint="eastAsia" w:eastAsia="方正黑体_GBK"/>
                <w:snapToGrid w:val="0"/>
                <w:szCs w:val="21"/>
              </w:rPr>
              <w:t>级</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20" w:lineRule="exact"/>
              <w:jc w:val="center"/>
              <w:rPr>
                <w:rFonts w:eastAsia="方正黑体_GBK"/>
                <w:snapToGrid w:val="0"/>
                <w:szCs w:val="21"/>
              </w:rPr>
            </w:pPr>
            <w:r>
              <w:rPr>
                <w:rFonts w:hint="eastAsia" w:eastAsia="方正黑体_GBK"/>
                <w:snapToGrid w:val="0"/>
                <w:szCs w:val="21"/>
              </w:rPr>
              <w:t>二</w:t>
            </w:r>
            <w:r>
              <w:rPr>
                <w:rFonts w:eastAsia="方正黑体_GBK"/>
                <w:snapToGrid w:val="0"/>
                <w:szCs w:val="21"/>
              </w:rPr>
              <w:t xml:space="preserve">    </w:t>
            </w:r>
            <w:r>
              <w:rPr>
                <w:rFonts w:hint="eastAsia" w:eastAsia="方正黑体_GBK"/>
                <w:snapToGrid w:val="0"/>
                <w:szCs w:val="21"/>
              </w:rPr>
              <w:t>级</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20" w:lineRule="exact"/>
              <w:jc w:val="center"/>
              <w:rPr>
                <w:rFonts w:eastAsia="方正黑体_GBK"/>
                <w:snapToGrid w:val="0"/>
                <w:szCs w:val="21"/>
              </w:rPr>
            </w:pPr>
            <w:r>
              <w:rPr>
                <w:rFonts w:hint="eastAsia" w:eastAsia="方正黑体_GBK"/>
                <w:snapToGrid w:val="0"/>
                <w:szCs w:val="21"/>
              </w:rPr>
              <w:t>三</w:t>
            </w:r>
            <w:r>
              <w:rPr>
                <w:rFonts w:eastAsia="方正黑体_GBK"/>
                <w:snapToGrid w:val="0"/>
                <w:szCs w:val="21"/>
              </w:rPr>
              <w:t xml:space="preserve">    </w:t>
            </w:r>
            <w:r>
              <w:rPr>
                <w:rFonts w:hint="eastAsia" w:eastAsia="方正黑体_GBK"/>
                <w:snapToGrid w:val="0"/>
                <w:szCs w:val="21"/>
              </w:rPr>
              <w:t>级</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20" w:lineRule="exact"/>
              <w:jc w:val="center"/>
              <w:rPr>
                <w:rFonts w:eastAsia="方正黑体_GBK"/>
                <w:snapToGrid w:val="0"/>
                <w:szCs w:val="21"/>
              </w:rPr>
            </w:pPr>
            <w:r>
              <w:rPr>
                <w:rFonts w:hint="eastAsia" w:eastAsia="方正黑体_GBK"/>
                <w:snapToGrid w:val="0"/>
                <w:szCs w:val="21"/>
              </w:rPr>
              <w:t>四</w:t>
            </w:r>
            <w:r>
              <w:rPr>
                <w:rFonts w:eastAsia="方正黑体_GBK"/>
                <w:snapToGrid w:val="0"/>
                <w:szCs w:val="21"/>
              </w:rPr>
              <w:t xml:space="preserve">    </w:t>
            </w:r>
            <w:r>
              <w:rPr>
                <w:rFonts w:hint="eastAsia" w:eastAsia="方正黑体_GBK"/>
                <w:snapToGrid w:val="0"/>
                <w:szCs w:val="21"/>
              </w:rPr>
              <w:t>级</w:t>
            </w:r>
          </w:p>
        </w:tc>
      </w:tr>
      <w:tr>
        <w:tblPrEx>
          <w:tblCellMar>
            <w:top w:w="0" w:type="dxa"/>
            <w:left w:w="108" w:type="dxa"/>
            <w:bottom w:w="0" w:type="dxa"/>
            <w:right w:w="108" w:type="dxa"/>
          </w:tblCellMar>
        </w:tblPrEx>
        <w:trPr>
          <w:trHeight w:val="1481"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1. 建立共用部位、共用设施设备档案，对房屋共用部位、共用设施设备进行日常管理和维修养护，有检修和保养等记录。</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1. 建立共用部位、共用设施设备档案，对房屋共用部位、共用设施设备进行日常管理和维修养护，有运行、检修和保养等记录。</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1. 建立共用部位、共用设施设备档案，对房屋共用部位、共用设施设备进行日常管理和维修养护，运行、检修和保养等记录齐全。</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1. 建立共用部位、共用设施设备档案，对房屋共用部位、共用设施设备进行日常管理和维修养护，运行、检修和保养等记录齐全。</w:t>
            </w:r>
          </w:p>
        </w:tc>
      </w:tr>
      <w:tr>
        <w:tblPrEx>
          <w:tblCellMar>
            <w:top w:w="0" w:type="dxa"/>
            <w:left w:w="108" w:type="dxa"/>
            <w:bottom w:w="0" w:type="dxa"/>
            <w:right w:w="108" w:type="dxa"/>
          </w:tblCellMar>
        </w:tblPrEx>
        <w:trPr>
          <w:trHeight w:val="1495"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2. 定期检查、巡查房屋共用部位、共用设备设施的使用状况，发现损坏，按规定维修。</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2. 定期检查、巡查房屋共用部位、共用设备设施的使用状况，发现损坏，按规定维修。</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2. 定期检查、巡查房屋共用部位、共用设备设施的使用状况，发现损坏，按规定维修。</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2. 定期检查、巡查房屋共用部位、共用设备设施的使用状况，发现损坏，按规定维修。</w:t>
            </w:r>
          </w:p>
        </w:tc>
      </w:tr>
      <w:tr>
        <w:tblPrEx>
          <w:tblCellMar>
            <w:top w:w="0" w:type="dxa"/>
            <w:left w:w="108" w:type="dxa"/>
            <w:bottom w:w="0" w:type="dxa"/>
            <w:right w:w="108" w:type="dxa"/>
          </w:tblCellMar>
        </w:tblPrEx>
        <w:trPr>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3. 每月巡查1次小区房屋楼栋单元门、楼梯通道以及其他共用部位的门窗等，发现问题主动及时维修养护；每季度巡查1次房屋外檐、门窗，保持楼内共用部位玻璃、配件基本完好；每季度巡查1次围墙、楼内墙面、顶面，遇有损坏，按规定修补；每年检查1次雨水井、污水井、化粪池；共用雨、污水管道每年检查1次，保持基本畅通；化粪池每年清淘1次；每半年巡查1次场地、道路平整通畅，发现损坏按规定修复。</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3．每周巡查1次小区房屋楼栋单元门、楼梯通道以及其他共用部位的门窗等，发现问题主动及时维修养护；每月巡查1次房屋外檐、门窗，保持楼内共用部位玻璃、配件基本完好，开闭基本灵活；每月巡查1次围墙、楼内墙面、顶面，遇有损坏，及时修补；每半年检查1次雨水井、污水井、化粪池，保持畅通；化粪池每年清淘2次；每季度巡查1次场地、道路平整通畅，发现损坏按规定修复。</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3．每两日巡查1次小区房屋楼栋单元门、楼梯通道以及其他共用部位的门窗等，发现问题主动及时维修养护；每半月巡查一次房屋外檐、门窗，保持楼内共用部位玻璃、配件完好，开闭灵活；每半月巡查1次围墙、楼内墙面、顶面，遇有损坏，及时修补；每季度检查1次雨水井、化粪池，保持畅通；化粪池每年清淘2次；每月巡查1次场地、道路平整通畅，发现损坏按规定修复。</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3．每日巡查1次小区房屋楼栋单元门、楼梯通道以及其他共用部位的门窗等，发现问题主动及时维修养护；每周巡查1次房屋外檐、门窗，保持楼内共用部位玻璃、配件完好，开闭灵活；每周巡查1次围墙、楼内墙面、顶面，遇有损坏，及时修补；每月检查1次雨水井、化粪池，保持畅通；化粪池每年清淘2次；每周巡查1次场地、道路平整通畅，发现损坏按规定修复。</w:t>
            </w:r>
          </w:p>
        </w:tc>
      </w:tr>
      <w:tr>
        <w:tblPrEx>
          <w:tblCellMar>
            <w:top w:w="0" w:type="dxa"/>
            <w:left w:w="108" w:type="dxa"/>
            <w:bottom w:w="0" w:type="dxa"/>
            <w:right w:w="108" w:type="dxa"/>
          </w:tblCellMar>
        </w:tblPrEx>
        <w:trPr>
          <w:trHeight w:val="1020"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4．按照住宅装饰装修管理有关规定和业主管理规约（业主临时管理规约）要求，建立住宅装饰装修管理制度。发现影响房屋外观、危及房屋结构安全及拆改共用管线等损害公共利益现象，应及时劝阻，劝阻无效应及时报告业主委员会和有关主管部门。</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4．按照住宅装饰装修管理有关规定和业主管理规约（业主临时管理规约）要求，建立住宅装饰装修管理制度。发现影响房屋外观、危及房屋结构安全及拆改共用管线等损害公共利益现象，应及时劝阻，劝阻无效应及时报告业主委员会和有关主管部门。</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4．按照住宅装饰装修管理有关规定和业主管理规约（业主临时管理规约）要求，建立住宅装饰装修管理制度。发现影响房屋外观、危及房屋结构安全及拆改共用管线等损害公共利益现象，应及时劝阻，劝阻无效应及时报告业主委员会和有关主管部门。</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4．按照住宅装饰装修管理有关规定和业主管理规约（业主临时管理规约）要求，建立住宅装饰装修管理制度。发现影响房屋外观、危及房屋结构安全及拆改共用管线等损害公共利益现象，应及时劝阻，劝阻无效应及时报告业主委员会和有关主管部门。</w:t>
            </w:r>
          </w:p>
        </w:tc>
      </w:tr>
      <w:tr>
        <w:tblPrEx>
          <w:tblCellMar>
            <w:top w:w="0" w:type="dxa"/>
            <w:left w:w="108" w:type="dxa"/>
            <w:bottom w:w="0" w:type="dxa"/>
            <w:right w:w="108" w:type="dxa"/>
          </w:tblCellMar>
        </w:tblPrEx>
        <w:trPr>
          <w:trHeight w:val="1778"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5．对侵害物业共用部位、共用设施设备的行为，要求责任人停止侵害、恢复原状，对拒不改正的，书面报告有关部门处理。</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5．对侵害物业共用部位、共用设施设备的行为，要求责任人停止侵害、恢复原状，对拒不改正的，书面报告有关部门处理。</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5．对侵害物业共用部位、共用设施设备的行为，要求责任人停止侵害、恢复原状，对拒不改正的，书面报告有关部门处理。</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5．对侵害物业共用部位、共用设施设备的行为，要求责任人停止侵害、恢复原状，对拒不改正的，书面报告有关部门处理。</w:t>
            </w:r>
          </w:p>
        </w:tc>
      </w:tr>
      <w:tr>
        <w:tblPrEx>
          <w:tblCellMar>
            <w:top w:w="0" w:type="dxa"/>
            <w:left w:w="108" w:type="dxa"/>
            <w:bottom w:w="0" w:type="dxa"/>
            <w:right w:w="108" w:type="dxa"/>
          </w:tblCellMar>
        </w:tblPrEx>
        <w:trPr>
          <w:trHeight w:val="3795"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6．有安全标识、管理标识。危及人身安全的设施设备有明显警示标志和防范措施。对可能发生的各种突发设备故障有应急方案。</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6．有安全标识、管理标识，主要路口设有路标。危及人身安全的设施设备有明显警示标志和防范措施。对可能发生的各种突发设备故障有应急方案。</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6．有安全标识、管理标识，标识完好。小区主出入口设有小区平面示意图，主要路口设有路标。各组团、栋及单元（门）和公共配套设施、场地有明显标志。危及人身安全的设施设备有明显警示标志和防范措施。对可能发生的各种突发设备故障有应急方案。</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6．有安全标识、管理标识，标识完好。小区主出入口设有小区平面示意图，主要路口设有路标。各组团、栋及单元（门）和公共配套设施、场地有明显标志。危及人身安全的设施设备有明显警示标志和防范措施。对可能发生的各种突发设备故障有应急方案。</w:t>
            </w:r>
          </w:p>
        </w:tc>
      </w:tr>
      <w:tr>
        <w:tblPrEx>
          <w:tblCellMar>
            <w:top w:w="0" w:type="dxa"/>
            <w:left w:w="108" w:type="dxa"/>
            <w:bottom w:w="0" w:type="dxa"/>
            <w:right w:w="108" w:type="dxa"/>
          </w:tblCellMar>
        </w:tblPrEx>
        <w:trPr>
          <w:trHeight w:val="1445"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7．载人电梯按物业服务合同约定运行（正常维保和检修期间除外）。</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7．载人电梯24小时运行（正常维保和检修期间除外）。</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7．载人电梯24小时运行（正常维保和检修期间除外）。</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7．载人电梯24小时运行（正常维保和检修期间除外）。</w:t>
            </w:r>
          </w:p>
        </w:tc>
      </w:tr>
      <w:tr>
        <w:tblPrEx>
          <w:tblCellMar>
            <w:top w:w="0" w:type="dxa"/>
            <w:left w:w="108" w:type="dxa"/>
            <w:bottom w:w="0" w:type="dxa"/>
            <w:right w:w="108" w:type="dxa"/>
          </w:tblCellMar>
        </w:tblPrEx>
        <w:trPr>
          <w:trHeight w:val="1560"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8．消防设施设备完好，可随时启用；消防通道畅通；设备房保持整洁、通风。</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8．消防设施设备完好，可随时启用；消防通道畅通；设备房保持整洁、通风。</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8．消防设施设备完好，可随时启用；消防通道畅通；设备房保持整洁、通风。</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8．消防设施设备完好，可随时启用；消防通道畅通；设备房保持整洁、通风。</w:t>
            </w:r>
          </w:p>
        </w:tc>
      </w:tr>
      <w:tr>
        <w:tblPrEx>
          <w:tblCellMar>
            <w:top w:w="0" w:type="dxa"/>
            <w:left w:w="108" w:type="dxa"/>
            <w:bottom w:w="0" w:type="dxa"/>
            <w:right w:w="108" w:type="dxa"/>
          </w:tblCellMar>
        </w:tblPrEx>
        <w:trPr>
          <w:trHeight w:val="1640"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9．路灯、楼道灯完好率不低于85%。</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9．路灯、楼道灯完好率不低于90%，接到业主或物业使用人报修后24小时修复。</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9．路灯、楼道灯完好率不低于93%，接到业主或物业使用人报修后4小时修复。</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9．路灯、楼道灯完好率不低于95%，接到业主或物业使用人报修后2小时修复。</w:t>
            </w:r>
          </w:p>
        </w:tc>
      </w:tr>
    </w:tbl>
    <w:p>
      <w:pPr>
        <w:snapToGrid w:val="0"/>
        <w:rPr>
          <w:rFonts w:eastAsia="方正黑体_GBK"/>
          <w:snapToGrid w:val="0"/>
        </w:rPr>
      </w:pPr>
    </w:p>
    <w:p>
      <w:pPr>
        <w:snapToGrid w:val="0"/>
        <w:rPr>
          <w:rFonts w:eastAsia="方正黑体_GBK"/>
          <w:snapToGrid w:val="0"/>
        </w:rPr>
      </w:pPr>
    </w:p>
    <w:p>
      <w:pPr>
        <w:snapToGrid w:val="0"/>
        <w:rPr>
          <w:rFonts w:eastAsia="方正黑体_GBK"/>
          <w:snapToGrid w:val="0"/>
        </w:rPr>
      </w:pPr>
      <w:r>
        <w:rPr>
          <w:rFonts w:hint="eastAsia" w:eastAsia="方正黑体_GBK"/>
          <w:snapToGrid w:val="0"/>
        </w:rPr>
        <w:t>三、公共秩序维护</w:t>
      </w:r>
    </w:p>
    <w:tbl>
      <w:tblPr>
        <w:tblStyle w:val="14"/>
        <w:tblW w:w="9169" w:type="dxa"/>
        <w:jc w:val="center"/>
        <w:tblLayout w:type="fixed"/>
        <w:tblCellMar>
          <w:top w:w="0" w:type="dxa"/>
          <w:left w:w="108" w:type="dxa"/>
          <w:bottom w:w="0" w:type="dxa"/>
          <w:right w:w="108" w:type="dxa"/>
        </w:tblCellMar>
      </w:tblPr>
      <w:tblGrid>
        <w:gridCol w:w="2282"/>
        <w:gridCol w:w="2296"/>
        <w:gridCol w:w="2295"/>
        <w:gridCol w:w="2296"/>
      </w:tblGrid>
      <w:tr>
        <w:tblPrEx>
          <w:tblCellMar>
            <w:top w:w="0" w:type="dxa"/>
            <w:left w:w="108" w:type="dxa"/>
            <w:bottom w:w="0" w:type="dxa"/>
            <w:right w:w="108" w:type="dxa"/>
          </w:tblCellMar>
        </w:tblPrEx>
        <w:trPr>
          <w:trHeight w:val="491" w:hRule="atLeast"/>
          <w:tblHeade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240" w:lineRule="exact"/>
              <w:jc w:val="center"/>
              <w:rPr>
                <w:rFonts w:eastAsia="方正黑体_GBK"/>
                <w:snapToGrid w:val="0"/>
                <w:szCs w:val="21"/>
              </w:rPr>
            </w:pPr>
            <w:r>
              <w:rPr>
                <w:rFonts w:hint="eastAsia" w:eastAsia="方正黑体_GBK"/>
                <w:snapToGrid w:val="0"/>
                <w:szCs w:val="21"/>
              </w:rPr>
              <w:t>一</w:t>
            </w:r>
            <w:r>
              <w:rPr>
                <w:rFonts w:eastAsia="方正黑体_GBK"/>
                <w:snapToGrid w:val="0"/>
                <w:szCs w:val="21"/>
              </w:rPr>
              <w:t xml:space="preserve">    </w:t>
            </w:r>
            <w:r>
              <w:rPr>
                <w:rFonts w:hint="eastAsia" w:eastAsia="方正黑体_GBK"/>
                <w:snapToGrid w:val="0"/>
                <w:szCs w:val="21"/>
              </w:rPr>
              <w:t>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240" w:lineRule="exact"/>
              <w:jc w:val="center"/>
              <w:rPr>
                <w:rFonts w:eastAsia="方正黑体_GBK"/>
                <w:snapToGrid w:val="0"/>
                <w:szCs w:val="21"/>
              </w:rPr>
            </w:pPr>
            <w:r>
              <w:rPr>
                <w:rFonts w:hint="eastAsia" w:eastAsia="方正黑体_GBK"/>
                <w:snapToGrid w:val="0"/>
                <w:szCs w:val="21"/>
              </w:rPr>
              <w:t>二</w:t>
            </w:r>
            <w:r>
              <w:rPr>
                <w:rFonts w:eastAsia="方正黑体_GBK"/>
                <w:snapToGrid w:val="0"/>
                <w:szCs w:val="21"/>
              </w:rPr>
              <w:t xml:space="preserve">    </w:t>
            </w:r>
            <w:r>
              <w:rPr>
                <w:rFonts w:hint="eastAsia" w:eastAsia="方正黑体_GBK"/>
                <w:snapToGrid w:val="0"/>
                <w:szCs w:val="21"/>
              </w:rPr>
              <w:t>级</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240" w:lineRule="exact"/>
              <w:jc w:val="center"/>
              <w:rPr>
                <w:rFonts w:eastAsia="方正黑体_GBK"/>
                <w:snapToGrid w:val="0"/>
                <w:szCs w:val="21"/>
              </w:rPr>
            </w:pPr>
            <w:r>
              <w:rPr>
                <w:rFonts w:hint="eastAsia" w:eastAsia="方正黑体_GBK"/>
                <w:snapToGrid w:val="0"/>
                <w:szCs w:val="21"/>
              </w:rPr>
              <w:t>三</w:t>
            </w:r>
            <w:r>
              <w:rPr>
                <w:rFonts w:eastAsia="方正黑体_GBK"/>
                <w:snapToGrid w:val="0"/>
                <w:szCs w:val="21"/>
              </w:rPr>
              <w:t xml:space="preserve">    </w:t>
            </w:r>
            <w:r>
              <w:rPr>
                <w:rFonts w:hint="eastAsia" w:eastAsia="方正黑体_GBK"/>
                <w:snapToGrid w:val="0"/>
                <w:szCs w:val="21"/>
              </w:rPr>
              <w:t>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240" w:lineRule="exact"/>
              <w:jc w:val="center"/>
              <w:rPr>
                <w:rFonts w:eastAsia="方正黑体_GBK"/>
                <w:snapToGrid w:val="0"/>
                <w:szCs w:val="21"/>
              </w:rPr>
            </w:pPr>
            <w:r>
              <w:rPr>
                <w:rFonts w:hint="eastAsia" w:eastAsia="方正黑体_GBK"/>
                <w:snapToGrid w:val="0"/>
                <w:szCs w:val="21"/>
              </w:rPr>
              <w:t>四</w:t>
            </w:r>
            <w:r>
              <w:rPr>
                <w:rFonts w:eastAsia="方正黑体_GBK"/>
                <w:snapToGrid w:val="0"/>
                <w:szCs w:val="21"/>
              </w:rPr>
              <w:t xml:space="preserve">    </w:t>
            </w:r>
            <w:r>
              <w:rPr>
                <w:rFonts w:hint="eastAsia" w:eastAsia="方正黑体_GBK"/>
                <w:snapToGrid w:val="0"/>
                <w:szCs w:val="21"/>
              </w:rPr>
              <w:t>级</w:t>
            </w:r>
          </w:p>
        </w:tc>
      </w:tr>
      <w:tr>
        <w:tblPrEx>
          <w:tblCellMar>
            <w:top w:w="0" w:type="dxa"/>
            <w:left w:w="108" w:type="dxa"/>
            <w:bottom w:w="0" w:type="dxa"/>
            <w:right w:w="108" w:type="dxa"/>
          </w:tblCellMar>
        </w:tblPrEx>
        <w:trP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1</w:t>
            </w:r>
            <w:r>
              <w:rPr>
                <w:rFonts w:hint="eastAsia" w:eastAsia="方正仿宋_GBK"/>
                <w:snapToGrid w:val="0"/>
                <w:szCs w:val="21"/>
              </w:rPr>
              <w:t>．人员要求：佩戴统一标志，语言文明；身体健康，工作负责。</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1</w:t>
            </w:r>
            <w:r>
              <w:rPr>
                <w:rFonts w:hint="eastAsia" w:eastAsia="方正仿宋_GBK"/>
                <w:snapToGrid w:val="0"/>
                <w:szCs w:val="21"/>
              </w:rPr>
              <w:t>．人员要求：统一着装，佩戴统一标志，语言文明规范；专职保安人员，</w:t>
            </w:r>
            <w:r>
              <w:rPr>
                <w:rFonts w:eastAsia="方正仿宋_GBK"/>
                <w:snapToGrid w:val="0"/>
                <w:szCs w:val="21"/>
              </w:rPr>
              <w:t>50</w:t>
            </w:r>
            <w:r>
              <w:rPr>
                <w:rFonts w:hint="eastAsia" w:eastAsia="方正仿宋_GBK"/>
                <w:snapToGrid w:val="0"/>
                <w:szCs w:val="21"/>
              </w:rPr>
              <w:t>周岁以下的占总数的</w:t>
            </w:r>
            <w:r>
              <w:rPr>
                <w:rFonts w:eastAsia="方正仿宋_GBK"/>
                <w:snapToGrid w:val="0"/>
                <w:szCs w:val="21"/>
              </w:rPr>
              <w:t>50%</w:t>
            </w:r>
            <w:r>
              <w:rPr>
                <w:rFonts w:hint="eastAsia" w:eastAsia="方正仿宋_GBK"/>
                <w:snapToGrid w:val="0"/>
                <w:szCs w:val="21"/>
              </w:rPr>
              <w:t>以上，身体健康，工作认真负责。</w:t>
            </w:r>
          </w:p>
          <w:p>
            <w:pPr>
              <w:spacing w:line="240" w:lineRule="exact"/>
              <w:rPr>
                <w:rFonts w:eastAsia="方正仿宋_GBK"/>
                <w:snapToGrid w:val="0"/>
                <w:szCs w:val="21"/>
              </w:rPr>
            </w:pP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1</w:t>
            </w:r>
            <w:r>
              <w:rPr>
                <w:rFonts w:hint="eastAsia" w:eastAsia="方正仿宋_GBK"/>
                <w:snapToGrid w:val="0"/>
                <w:szCs w:val="21"/>
              </w:rPr>
              <w:t>．人员要求：统一着装，佩戴统一标志，仪容仪表整洁规范，语言文明规范，配备对讲装置；专职保安人员，</w:t>
            </w:r>
            <w:r>
              <w:rPr>
                <w:rFonts w:eastAsia="方正仿宋_GBK"/>
                <w:snapToGrid w:val="0"/>
                <w:szCs w:val="21"/>
              </w:rPr>
              <w:t>45</w:t>
            </w:r>
            <w:r>
              <w:rPr>
                <w:rFonts w:hint="eastAsia" w:eastAsia="方正仿宋_GBK"/>
                <w:snapToGrid w:val="0"/>
                <w:szCs w:val="21"/>
              </w:rPr>
              <w:t>周岁以下的占总数的</w:t>
            </w:r>
            <w:r>
              <w:rPr>
                <w:rFonts w:eastAsia="方正仿宋_GBK"/>
                <w:snapToGrid w:val="0"/>
                <w:szCs w:val="21"/>
              </w:rPr>
              <w:t>50%</w:t>
            </w:r>
            <w:r>
              <w:rPr>
                <w:rFonts w:hint="eastAsia" w:eastAsia="方正仿宋_GBK"/>
                <w:snapToGrid w:val="0"/>
                <w:szCs w:val="21"/>
              </w:rPr>
              <w:t>以上，身体健康，工作认真负责并定期接受培训。</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1</w:t>
            </w:r>
            <w:r>
              <w:rPr>
                <w:rFonts w:hint="eastAsia" w:eastAsia="方正仿宋_GBK"/>
                <w:snapToGrid w:val="0"/>
                <w:szCs w:val="21"/>
              </w:rPr>
              <w:t>．人员要求：统一着装，佩戴统一标志，仪容仪表整洁规范，语言文明规范，配备对讲装置；专职保安人员，以中青年为主，</w:t>
            </w:r>
            <w:r>
              <w:rPr>
                <w:rFonts w:eastAsia="方正仿宋_GBK"/>
                <w:snapToGrid w:val="0"/>
                <w:szCs w:val="21"/>
              </w:rPr>
              <w:t>45</w:t>
            </w:r>
            <w:r>
              <w:rPr>
                <w:rFonts w:hint="eastAsia" w:eastAsia="方正仿宋_GBK"/>
                <w:snapToGrid w:val="0"/>
                <w:szCs w:val="21"/>
              </w:rPr>
              <w:t>周岁以下的占总数的</w:t>
            </w:r>
            <w:r>
              <w:rPr>
                <w:rFonts w:eastAsia="方正仿宋_GBK"/>
                <w:snapToGrid w:val="0"/>
                <w:szCs w:val="21"/>
              </w:rPr>
              <w:t>60%</w:t>
            </w:r>
            <w:r>
              <w:rPr>
                <w:rFonts w:hint="eastAsia" w:eastAsia="方正仿宋_GBK"/>
                <w:snapToGrid w:val="0"/>
                <w:szCs w:val="21"/>
              </w:rPr>
              <w:t>以上，身体健康，工作认真负责并定期接受培训。</w:t>
            </w:r>
          </w:p>
        </w:tc>
      </w:tr>
      <w:tr>
        <w:tblPrEx>
          <w:tblCellMar>
            <w:top w:w="0" w:type="dxa"/>
            <w:left w:w="108" w:type="dxa"/>
            <w:bottom w:w="0" w:type="dxa"/>
            <w:right w:w="108" w:type="dxa"/>
          </w:tblCellMar>
        </w:tblPrEx>
        <w:trP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2</w:t>
            </w:r>
            <w:r>
              <w:rPr>
                <w:rFonts w:hint="eastAsia" w:eastAsia="方正仿宋_GBK"/>
                <w:snapToGrid w:val="0"/>
                <w:szCs w:val="21"/>
              </w:rPr>
              <w:t>．小区主出入口</w:t>
            </w:r>
            <w:r>
              <w:rPr>
                <w:rFonts w:eastAsia="方正仿宋_GBK"/>
                <w:snapToGrid w:val="0"/>
                <w:szCs w:val="21"/>
              </w:rPr>
              <w:t>24</w:t>
            </w:r>
            <w:r>
              <w:rPr>
                <w:rFonts w:hint="eastAsia" w:eastAsia="方正仿宋_GBK"/>
                <w:snapToGrid w:val="0"/>
                <w:szCs w:val="21"/>
              </w:rPr>
              <w:t>小时值班看守，边门定时开放，门卫有交接班记录。</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2</w:t>
            </w:r>
            <w:r>
              <w:rPr>
                <w:rFonts w:hint="eastAsia" w:eastAsia="方正仿宋_GBK"/>
                <w:snapToGrid w:val="0"/>
                <w:szCs w:val="21"/>
              </w:rPr>
              <w:t>．小区主出入口</w:t>
            </w:r>
            <w:r>
              <w:rPr>
                <w:rFonts w:eastAsia="方正仿宋_GBK"/>
                <w:snapToGrid w:val="0"/>
                <w:szCs w:val="21"/>
              </w:rPr>
              <w:t>24</w:t>
            </w:r>
            <w:r>
              <w:rPr>
                <w:rFonts w:hint="eastAsia" w:eastAsia="方正仿宋_GBK"/>
                <w:snapToGrid w:val="0"/>
                <w:szCs w:val="21"/>
              </w:rPr>
              <w:t>小时值守，边门定时开放并专人看管，门卫有交接班记录；对外来机动车实行询问登记。</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2</w:t>
            </w:r>
            <w:r>
              <w:rPr>
                <w:rFonts w:hint="eastAsia" w:eastAsia="方正仿宋_GBK"/>
                <w:snapToGrid w:val="0"/>
                <w:szCs w:val="21"/>
              </w:rPr>
              <w:t>．小区主出入口</w:t>
            </w:r>
            <w:r>
              <w:rPr>
                <w:rFonts w:eastAsia="方正仿宋_GBK"/>
                <w:snapToGrid w:val="0"/>
                <w:szCs w:val="21"/>
              </w:rPr>
              <w:t>24</w:t>
            </w:r>
            <w:r>
              <w:rPr>
                <w:rFonts w:hint="eastAsia" w:eastAsia="方正仿宋_GBK"/>
                <w:snapToGrid w:val="0"/>
                <w:szCs w:val="21"/>
              </w:rPr>
              <w:t>小时值守，其中</w:t>
            </w:r>
            <w:r>
              <w:rPr>
                <w:rFonts w:eastAsia="方正仿宋_GBK"/>
                <w:snapToGrid w:val="0"/>
                <w:szCs w:val="21"/>
              </w:rPr>
              <w:t>8</w:t>
            </w:r>
            <w:r>
              <w:rPr>
                <w:rFonts w:hint="eastAsia" w:eastAsia="方正仿宋_GBK"/>
                <w:snapToGrid w:val="0"/>
                <w:szCs w:val="21"/>
              </w:rPr>
              <w:t>∶</w:t>
            </w:r>
            <w:r>
              <w:rPr>
                <w:rFonts w:eastAsia="方正仿宋_GBK"/>
                <w:snapToGrid w:val="0"/>
                <w:szCs w:val="21"/>
              </w:rPr>
              <w:t>00</w:t>
            </w:r>
            <w:r>
              <w:rPr>
                <w:rFonts w:hint="eastAsia" w:eastAsia="方正仿宋_GBK"/>
                <w:snapToGrid w:val="0"/>
                <w:szCs w:val="21"/>
              </w:rPr>
              <w:t>—</w:t>
            </w:r>
            <w:r>
              <w:rPr>
                <w:rFonts w:eastAsia="方正仿宋_GBK"/>
                <w:snapToGrid w:val="0"/>
                <w:szCs w:val="21"/>
              </w:rPr>
              <w:t>18</w:t>
            </w:r>
            <w:r>
              <w:rPr>
                <w:rFonts w:hint="eastAsia" w:eastAsia="方正仿宋_GBK"/>
                <w:snapToGrid w:val="0"/>
                <w:szCs w:val="21"/>
              </w:rPr>
              <w:t>∶</w:t>
            </w:r>
            <w:r>
              <w:rPr>
                <w:rFonts w:eastAsia="方正仿宋_GBK"/>
                <w:snapToGrid w:val="0"/>
                <w:szCs w:val="21"/>
              </w:rPr>
              <w:t>00</w:t>
            </w:r>
            <w:r>
              <w:rPr>
                <w:rFonts w:hint="eastAsia" w:eastAsia="方正仿宋_GBK"/>
                <w:snapToGrid w:val="0"/>
                <w:szCs w:val="21"/>
              </w:rPr>
              <w:t>立岗，不倚不靠，并有详细的交接班记录；对外来机动车实行询问登记。</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2</w:t>
            </w:r>
            <w:r>
              <w:rPr>
                <w:rFonts w:hint="eastAsia" w:eastAsia="方正仿宋_GBK"/>
                <w:snapToGrid w:val="0"/>
                <w:szCs w:val="21"/>
              </w:rPr>
              <w:t>．小区各出入口</w:t>
            </w:r>
            <w:r>
              <w:rPr>
                <w:rFonts w:eastAsia="方正仿宋_GBK"/>
                <w:snapToGrid w:val="0"/>
                <w:szCs w:val="21"/>
              </w:rPr>
              <w:t>24</w:t>
            </w:r>
            <w:r>
              <w:rPr>
                <w:rFonts w:hint="eastAsia" w:eastAsia="方正仿宋_GBK"/>
                <w:snapToGrid w:val="0"/>
                <w:szCs w:val="21"/>
              </w:rPr>
              <w:t>小时值守，其中主出入口</w:t>
            </w:r>
            <w:r>
              <w:rPr>
                <w:rFonts w:eastAsia="方正仿宋_GBK"/>
                <w:snapToGrid w:val="0"/>
                <w:szCs w:val="21"/>
              </w:rPr>
              <w:t>7</w:t>
            </w:r>
            <w:r>
              <w:rPr>
                <w:rFonts w:hint="eastAsia" w:eastAsia="方正仿宋_GBK"/>
                <w:snapToGrid w:val="0"/>
                <w:szCs w:val="21"/>
              </w:rPr>
              <w:t>∶</w:t>
            </w:r>
            <w:r>
              <w:rPr>
                <w:rFonts w:eastAsia="方正仿宋_GBK"/>
                <w:snapToGrid w:val="0"/>
                <w:szCs w:val="21"/>
              </w:rPr>
              <w:t>00</w:t>
            </w:r>
            <w:r>
              <w:rPr>
                <w:rFonts w:hint="eastAsia" w:eastAsia="方正仿宋_GBK"/>
                <w:snapToGrid w:val="0"/>
                <w:szCs w:val="21"/>
              </w:rPr>
              <w:t>—</w:t>
            </w:r>
            <w:r>
              <w:rPr>
                <w:rFonts w:eastAsia="方正仿宋_GBK"/>
                <w:snapToGrid w:val="0"/>
                <w:szCs w:val="21"/>
              </w:rPr>
              <w:t>19</w:t>
            </w:r>
            <w:r>
              <w:rPr>
                <w:rFonts w:hint="eastAsia" w:eastAsia="方正仿宋_GBK"/>
                <w:snapToGrid w:val="0"/>
                <w:szCs w:val="21"/>
              </w:rPr>
              <w:t>∶</w:t>
            </w:r>
            <w:r>
              <w:rPr>
                <w:rFonts w:eastAsia="方正仿宋_GBK"/>
                <w:snapToGrid w:val="0"/>
                <w:szCs w:val="21"/>
              </w:rPr>
              <w:t>00</w:t>
            </w:r>
            <w:r>
              <w:rPr>
                <w:rFonts w:hint="eastAsia" w:eastAsia="方正仿宋_GBK"/>
                <w:snapToGrid w:val="0"/>
                <w:szCs w:val="21"/>
              </w:rPr>
              <w:t>立岗，不倚不靠，并有详细的交接班记录；对外来机动车实行询问登记。</w:t>
            </w:r>
          </w:p>
        </w:tc>
      </w:tr>
      <w:tr>
        <w:tblPrEx>
          <w:tblCellMar>
            <w:top w:w="0" w:type="dxa"/>
            <w:left w:w="108" w:type="dxa"/>
            <w:bottom w:w="0" w:type="dxa"/>
            <w:right w:w="108" w:type="dxa"/>
          </w:tblCellMar>
        </w:tblPrEx>
        <w:trPr>
          <w:trHeight w:val="1960"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3</w:t>
            </w:r>
            <w:r>
              <w:rPr>
                <w:rFonts w:hint="eastAsia" w:eastAsia="方正仿宋_GBK"/>
                <w:snapToGrid w:val="0"/>
                <w:szCs w:val="21"/>
              </w:rPr>
              <w:t>．每天不定时在小区内巡逻，做好巡逻记录。</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3</w:t>
            </w:r>
            <w:r>
              <w:rPr>
                <w:rFonts w:hint="eastAsia" w:eastAsia="方正仿宋_GBK"/>
                <w:snapToGrid w:val="0"/>
                <w:szCs w:val="21"/>
              </w:rPr>
              <w:t>．按照规定路线和时间每</w:t>
            </w:r>
            <w:r>
              <w:rPr>
                <w:rFonts w:eastAsia="方正仿宋_GBK"/>
                <w:snapToGrid w:val="0"/>
                <w:szCs w:val="21"/>
              </w:rPr>
              <w:t>4</w:t>
            </w:r>
            <w:r>
              <w:rPr>
                <w:rFonts w:hint="eastAsia" w:eastAsia="方正仿宋_GBK"/>
                <w:snapToGrid w:val="0"/>
                <w:szCs w:val="21"/>
              </w:rPr>
              <w:t>小时巡查一次，做好巡查记录。对重点区域、重点部位每</w:t>
            </w:r>
            <w:r>
              <w:rPr>
                <w:rFonts w:eastAsia="方正仿宋_GBK"/>
                <w:snapToGrid w:val="0"/>
                <w:szCs w:val="21"/>
              </w:rPr>
              <w:t>3</w:t>
            </w:r>
            <w:r>
              <w:rPr>
                <w:rFonts w:hint="eastAsia" w:eastAsia="方正仿宋_GBK"/>
                <w:snapToGrid w:val="0"/>
                <w:szCs w:val="21"/>
              </w:rPr>
              <w:t>小时至少巡查</w:t>
            </w:r>
            <w:r>
              <w:rPr>
                <w:rFonts w:eastAsia="方正仿宋_GBK"/>
                <w:snapToGrid w:val="0"/>
                <w:szCs w:val="21"/>
              </w:rPr>
              <w:t>1</w:t>
            </w:r>
            <w:r>
              <w:rPr>
                <w:rFonts w:hint="eastAsia" w:eastAsia="方正仿宋_GBK"/>
                <w:snapToGrid w:val="0"/>
                <w:szCs w:val="21"/>
              </w:rPr>
              <w:t>次。</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3</w:t>
            </w:r>
            <w:r>
              <w:rPr>
                <w:rFonts w:hint="eastAsia" w:eastAsia="方正仿宋_GBK"/>
                <w:snapToGrid w:val="0"/>
                <w:szCs w:val="21"/>
              </w:rPr>
              <w:t>．按照规定路线和时间每</w:t>
            </w:r>
            <w:r>
              <w:rPr>
                <w:rFonts w:eastAsia="方正仿宋_GBK"/>
                <w:snapToGrid w:val="0"/>
                <w:szCs w:val="21"/>
              </w:rPr>
              <w:t>3</w:t>
            </w:r>
            <w:r>
              <w:rPr>
                <w:rFonts w:hint="eastAsia" w:eastAsia="方正仿宋_GBK"/>
                <w:snapToGrid w:val="0"/>
                <w:szCs w:val="21"/>
              </w:rPr>
              <w:t>小时巡查一次，做好巡查记录。重点部位应设巡更点，监控中心有巡更记录。对重点区域、重点部位每</w:t>
            </w:r>
            <w:r>
              <w:rPr>
                <w:rFonts w:eastAsia="方正仿宋_GBK"/>
                <w:snapToGrid w:val="0"/>
                <w:szCs w:val="21"/>
              </w:rPr>
              <w:t>3</w:t>
            </w:r>
            <w:r>
              <w:rPr>
                <w:rFonts w:hint="eastAsia" w:eastAsia="方正仿宋_GBK"/>
                <w:snapToGrid w:val="0"/>
                <w:szCs w:val="21"/>
              </w:rPr>
              <w:t>小时至少巡查</w:t>
            </w:r>
            <w:r>
              <w:rPr>
                <w:rFonts w:eastAsia="方正仿宋_GBK"/>
                <w:snapToGrid w:val="0"/>
                <w:szCs w:val="21"/>
              </w:rPr>
              <w:t>1</w:t>
            </w:r>
            <w:r>
              <w:rPr>
                <w:rFonts w:hint="eastAsia" w:eastAsia="方正仿宋_GBK"/>
                <w:snapToGrid w:val="0"/>
                <w:szCs w:val="21"/>
              </w:rPr>
              <w:t>次；实施</w:t>
            </w:r>
            <w:r>
              <w:rPr>
                <w:rFonts w:eastAsia="方正仿宋_GBK"/>
                <w:snapToGrid w:val="0"/>
                <w:szCs w:val="21"/>
              </w:rPr>
              <w:t>24</w:t>
            </w:r>
            <w:r>
              <w:rPr>
                <w:rFonts w:hint="eastAsia" w:eastAsia="方正仿宋_GBK"/>
                <w:snapToGrid w:val="0"/>
                <w:szCs w:val="21"/>
              </w:rPr>
              <w:t>小时监控。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3</w:t>
            </w:r>
            <w:r>
              <w:rPr>
                <w:rFonts w:hint="eastAsia" w:eastAsia="方正仿宋_GBK"/>
                <w:snapToGrid w:val="0"/>
                <w:szCs w:val="21"/>
              </w:rPr>
              <w:t>．按照规定路线和时间每</w:t>
            </w:r>
            <w:r>
              <w:rPr>
                <w:rFonts w:eastAsia="方正仿宋_GBK"/>
                <w:snapToGrid w:val="0"/>
                <w:szCs w:val="21"/>
              </w:rPr>
              <w:t>2</w:t>
            </w:r>
            <w:r>
              <w:rPr>
                <w:rFonts w:hint="eastAsia" w:eastAsia="方正仿宋_GBK"/>
                <w:snapToGrid w:val="0"/>
                <w:szCs w:val="21"/>
              </w:rPr>
              <w:t>小时巡查一次，做好巡查记录。重点部位应设巡更点，监控中心有巡更记录。对重点区域、重点部位每</w:t>
            </w:r>
            <w:r>
              <w:rPr>
                <w:rFonts w:eastAsia="方正仿宋_GBK"/>
                <w:snapToGrid w:val="0"/>
                <w:szCs w:val="21"/>
              </w:rPr>
              <w:t>2</w:t>
            </w:r>
            <w:r>
              <w:rPr>
                <w:rFonts w:hint="eastAsia" w:eastAsia="方正仿宋_GBK"/>
                <w:snapToGrid w:val="0"/>
                <w:szCs w:val="21"/>
              </w:rPr>
              <w:t>小时至少巡查</w:t>
            </w:r>
            <w:r>
              <w:rPr>
                <w:rFonts w:eastAsia="方正仿宋_GBK"/>
                <w:snapToGrid w:val="0"/>
                <w:szCs w:val="21"/>
              </w:rPr>
              <w:t>1</w:t>
            </w:r>
            <w:r>
              <w:rPr>
                <w:rFonts w:hint="eastAsia" w:eastAsia="方正仿宋_GBK"/>
                <w:snapToGrid w:val="0"/>
                <w:szCs w:val="21"/>
              </w:rPr>
              <w:t>次；实施</w:t>
            </w:r>
            <w:r>
              <w:rPr>
                <w:rFonts w:eastAsia="方正仿宋_GBK"/>
                <w:snapToGrid w:val="0"/>
                <w:szCs w:val="21"/>
              </w:rPr>
              <w:t>24</w:t>
            </w:r>
            <w:r>
              <w:rPr>
                <w:rFonts w:hint="eastAsia" w:eastAsia="方正仿宋_GBK"/>
                <w:snapToGrid w:val="0"/>
                <w:szCs w:val="21"/>
              </w:rPr>
              <w:t>小时监控。</w:t>
            </w:r>
          </w:p>
        </w:tc>
      </w:tr>
      <w:tr>
        <w:tblPrEx>
          <w:tblCellMar>
            <w:top w:w="0" w:type="dxa"/>
            <w:left w:w="108" w:type="dxa"/>
            <w:bottom w:w="0" w:type="dxa"/>
            <w:right w:w="108" w:type="dxa"/>
          </w:tblCellMar>
        </w:tblPrEx>
        <w:trPr>
          <w:trHeight w:val="257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4</w:t>
            </w:r>
            <w:r>
              <w:rPr>
                <w:rFonts w:hint="eastAsia" w:eastAsia="方正仿宋_GBK"/>
                <w:snapToGrid w:val="0"/>
                <w:szCs w:val="21"/>
              </w:rPr>
              <w:t>．小区设有监控中心的，</w:t>
            </w:r>
            <w:r>
              <w:rPr>
                <w:rFonts w:eastAsia="方正仿宋_GBK"/>
                <w:snapToGrid w:val="0"/>
                <w:szCs w:val="21"/>
              </w:rPr>
              <w:t>24</w:t>
            </w:r>
            <w:r>
              <w:rPr>
                <w:rFonts w:hint="eastAsia" w:eastAsia="方正仿宋_GBK"/>
                <w:snapToGrid w:val="0"/>
                <w:szCs w:val="21"/>
              </w:rPr>
              <w:t>小时开通，监控视频保存半月以上。</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4</w:t>
            </w:r>
            <w:r>
              <w:rPr>
                <w:rFonts w:hint="eastAsia" w:eastAsia="方正仿宋_GBK"/>
                <w:snapToGrid w:val="0"/>
                <w:szCs w:val="21"/>
              </w:rPr>
              <w:t>．小区设有监控中心，</w:t>
            </w:r>
            <w:r>
              <w:rPr>
                <w:rFonts w:eastAsia="方正仿宋_GBK"/>
                <w:snapToGrid w:val="0"/>
                <w:szCs w:val="21"/>
              </w:rPr>
              <w:t>24</w:t>
            </w:r>
            <w:r>
              <w:rPr>
                <w:rFonts w:hint="eastAsia" w:eastAsia="方正仿宋_GBK"/>
                <w:snapToGrid w:val="0"/>
                <w:szCs w:val="21"/>
              </w:rPr>
              <w:t>小时开通，监控视频保存一月以上。</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4</w:t>
            </w:r>
            <w:r>
              <w:rPr>
                <w:rFonts w:hint="eastAsia" w:eastAsia="方正仿宋_GBK"/>
                <w:snapToGrid w:val="0"/>
                <w:szCs w:val="21"/>
              </w:rPr>
              <w:t>．小区设有监控中心，应具备</w:t>
            </w:r>
            <w:r>
              <w:rPr>
                <w:rFonts w:eastAsia="方正仿宋_GBK"/>
                <w:snapToGrid w:val="0"/>
                <w:szCs w:val="21"/>
              </w:rPr>
              <w:t>3</w:t>
            </w:r>
            <w:r>
              <w:rPr>
                <w:rFonts w:hint="eastAsia" w:eastAsia="方正仿宋_GBK"/>
                <w:snapToGrid w:val="0"/>
                <w:szCs w:val="21"/>
              </w:rPr>
              <w:t>项技防设施，如录像监控（监控点应至少覆盖单元进出口、小区主要道路出入口）、楼宇对讲、周界报警、门禁系统等，</w:t>
            </w:r>
            <w:r>
              <w:rPr>
                <w:rFonts w:eastAsia="方正仿宋_GBK"/>
                <w:snapToGrid w:val="0"/>
                <w:szCs w:val="21"/>
              </w:rPr>
              <w:t>24</w:t>
            </w:r>
            <w:r>
              <w:rPr>
                <w:rFonts w:hint="eastAsia" w:eastAsia="方正仿宋_GBK"/>
                <w:snapToGrid w:val="0"/>
                <w:szCs w:val="21"/>
              </w:rPr>
              <w:t>小时开通，并有人驻守，注视各设备所传达的信息，监控视频保存一月以上。</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240" w:lineRule="exact"/>
              <w:rPr>
                <w:rFonts w:eastAsia="方正仿宋_GBK"/>
                <w:snapToGrid w:val="0"/>
                <w:szCs w:val="21"/>
              </w:rPr>
            </w:pPr>
            <w:r>
              <w:rPr>
                <w:rFonts w:eastAsia="方正仿宋_GBK"/>
                <w:snapToGrid w:val="0"/>
                <w:szCs w:val="21"/>
              </w:rPr>
              <w:t>4</w:t>
            </w:r>
            <w:r>
              <w:rPr>
                <w:rFonts w:hint="eastAsia" w:eastAsia="方正仿宋_GBK"/>
                <w:snapToGrid w:val="0"/>
                <w:szCs w:val="21"/>
              </w:rPr>
              <w:t>．小区设有监控中心，应具备</w:t>
            </w:r>
            <w:r>
              <w:rPr>
                <w:rFonts w:eastAsia="方正仿宋_GBK"/>
                <w:snapToGrid w:val="0"/>
                <w:szCs w:val="21"/>
              </w:rPr>
              <w:t>4</w:t>
            </w:r>
            <w:r>
              <w:rPr>
                <w:rFonts w:hint="eastAsia" w:eastAsia="方正仿宋_GBK"/>
                <w:snapToGrid w:val="0"/>
                <w:szCs w:val="21"/>
              </w:rPr>
              <w:t>项技防设施，如录像监控（监控点应至少覆盖单元进出口、小区主要道路出入口）、楼宇对讲、周界报警、门禁系统等，</w:t>
            </w:r>
            <w:r>
              <w:rPr>
                <w:rFonts w:eastAsia="方正仿宋_GBK"/>
                <w:snapToGrid w:val="0"/>
                <w:szCs w:val="21"/>
              </w:rPr>
              <w:t>24</w:t>
            </w:r>
            <w:r>
              <w:rPr>
                <w:rFonts w:hint="eastAsia" w:eastAsia="方正仿宋_GBK"/>
                <w:snapToGrid w:val="0"/>
                <w:szCs w:val="21"/>
              </w:rPr>
              <w:t>小时开通，并有人驻守，注视各设备所传达的信息，监控视频应保存一月以上。</w:t>
            </w:r>
          </w:p>
        </w:tc>
      </w:tr>
      <w:tr>
        <w:tblPrEx>
          <w:tblCellMar>
            <w:top w:w="0" w:type="dxa"/>
            <w:left w:w="108" w:type="dxa"/>
            <w:bottom w:w="0" w:type="dxa"/>
            <w:right w:w="108" w:type="dxa"/>
          </w:tblCellMar>
        </w:tblPrEx>
        <w:trPr>
          <w:trHeight w:val="165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5</w:t>
            </w:r>
            <w:r>
              <w:rPr>
                <w:rFonts w:hint="eastAsia" w:eastAsia="方正仿宋_GBK"/>
                <w:snapToGrid w:val="0"/>
                <w:szCs w:val="21"/>
              </w:rPr>
              <w:t>．对进出小区的车辆进行管理疏导，对大型物件搬出实行记录；阻止小商小贩、外来人员随意进入小区。</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5</w:t>
            </w:r>
            <w:r>
              <w:rPr>
                <w:rFonts w:hint="eastAsia" w:eastAsia="方正仿宋_GBK"/>
                <w:snapToGrid w:val="0"/>
                <w:szCs w:val="21"/>
              </w:rPr>
              <w:t>．对进出小区的车辆进行管理和疏导，对大型物件搬出实行记录，保持出入口环境整洁、有序、道路基本畅通。</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5</w:t>
            </w:r>
            <w:r>
              <w:rPr>
                <w:rFonts w:hint="eastAsia" w:eastAsia="方正仿宋_GBK"/>
                <w:snapToGrid w:val="0"/>
                <w:szCs w:val="21"/>
              </w:rPr>
              <w:t>．对进出小区的车辆实施证、卡管理，地面墙面按车辆道路行驶要求设立简要的指示牌和地标，车辆行驶有规定路线，车辆通行和停放基本有序。</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5</w:t>
            </w:r>
            <w:r>
              <w:rPr>
                <w:rFonts w:hint="eastAsia" w:eastAsia="方正仿宋_GBK"/>
                <w:snapToGrid w:val="0"/>
                <w:szCs w:val="21"/>
              </w:rPr>
              <w:t>．对进出小区的车辆实施证、卡管理，地面墙面按车辆道路行驶要求设立完善的指示牌和地标，车辆行驶有规定路线，引导车辆有序通行和停放。</w:t>
            </w:r>
          </w:p>
        </w:tc>
      </w:tr>
      <w:tr>
        <w:tblPrEx>
          <w:tblCellMar>
            <w:top w:w="0" w:type="dxa"/>
            <w:left w:w="108" w:type="dxa"/>
            <w:bottom w:w="0" w:type="dxa"/>
            <w:right w:w="108" w:type="dxa"/>
          </w:tblCellMar>
        </w:tblPrEx>
        <w:trPr>
          <w:trHeight w:val="87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6</w:t>
            </w:r>
            <w:r>
              <w:rPr>
                <w:rFonts w:hint="eastAsia" w:eastAsia="方正仿宋_GBK"/>
                <w:snapToGrid w:val="0"/>
                <w:szCs w:val="21"/>
              </w:rPr>
              <w:t>．对进出小区的装修人员实行临时出入证管理。</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6</w:t>
            </w:r>
            <w:r>
              <w:rPr>
                <w:rFonts w:hint="eastAsia" w:eastAsia="方正仿宋_GBK"/>
                <w:snapToGrid w:val="0"/>
                <w:szCs w:val="21"/>
              </w:rPr>
              <w:t>．对进出小区的装修人员实行临时出入证管理。</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6</w:t>
            </w:r>
            <w:r>
              <w:rPr>
                <w:rFonts w:hint="eastAsia" w:eastAsia="方正仿宋_GBK"/>
                <w:snapToGrid w:val="0"/>
                <w:szCs w:val="21"/>
              </w:rPr>
              <w:t>．对进出小区的装修人员实行临时出入证管理。</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6</w:t>
            </w:r>
            <w:r>
              <w:rPr>
                <w:rFonts w:hint="eastAsia" w:eastAsia="方正仿宋_GBK"/>
                <w:snapToGrid w:val="0"/>
                <w:szCs w:val="21"/>
              </w:rPr>
              <w:t>．对进出小区的装修人员实行临时出入证管理。</w:t>
            </w:r>
          </w:p>
        </w:tc>
      </w:tr>
      <w:tr>
        <w:tblPrEx>
          <w:tblCellMar>
            <w:top w:w="0" w:type="dxa"/>
            <w:left w:w="108" w:type="dxa"/>
            <w:bottom w:w="0" w:type="dxa"/>
            <w:right w:w="108" w:type="dxa"/>
          </w:tblCellMar>
        </w:tblPrEx>
        <w:trPr>
          <w:trHeight w:val="181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7</w:t>
            </w:r>
            <w:r>
              <w:rPr>
                <w:rFonts w:hint="eastAsia" w:eastAsia="方正仿宋_GBK"/>
                <w:snapToGrid w:val="0"/>
                <w:szCs w:val="21"/>
              </w:rPr>
              <w:t>．建立火灾、治安、公共卫生等突发事件应急预案，接到火警、警情等异常情况时，采取相应的应对措施。</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7</w:t>
            </w:r>
            <w:r>
              <w:rPr>
                <w:rFonts w:hint="eastAsia" w:eastAsia="方正仿宋_GBK"/>
                <w:snapToGrid w:val="0"/>
                <w:szCs w:val="21"/>
              </w:rPr>
              <w:t>．建立火灾、治安、公共卫生等突发事件应急预案，接到火警、警情和住户紧急求助等异常情况时，</w:t>
            </w:r>
            <w:r>
              <w:rPr>
                <w:rFonts w:eastAsia="方正仿宋_GBK"/>
                <w:snapToGrid w:val="0"/>
                <w:szCs w:val="21"/>
              </w:rPr>
              <w:t>15</w:t>
            </w:r>
            <w:r>
              <w:rPr>
                <w:rFonts w:hint="eastAsia" w:eastAsia="方正仿宋_GBK"/>
                <w:snapToGrid w:val="0"/>
                <w:szCs w:val="21"/>
              </w:rPr>
              <w:t>分钟内赶到现场，并采取相应的应对措施。</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7</w:t>
            </w:r>
            <w:r>
              <w:rPr>
                <w:rFonts w:hint="eastAsia" w:eastAsia="方正仿宋_GBK"/>
                <w:snapToGrid w:val="0"/>
                <w:szCs w:val="21"/>
              </w:rPr>
              <w:t>．建立火灾、治安、公共卫生等突发事件应急预案，接到火警、警情和住户紧急求助等异常情况时，</w:t>
            </w:r>
            <w:r>
              <w:rPr>
                <w:rFonts w:eastAsia="方正仿宋_GBK"/>
                <w:snapToGrid w:val="0"/>
                <w:szCs w:val="21"/>
              </w:rPr>
              <w:t>10</w:t>
            </w:r>
            <w:r>
              <w:rPr>
                <w:rFonts w:hint="eastAsia" w:eastAsia="方正仿宋_GBK"/>
                <w:snapToGrid w:val="0"/>
                <w:szCs w:val="21"/>
              </w:rPr>
              <w:t>分钟内赶到现场，并采取相应的应对措施。</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napToGrid w:val="0"/>
              <w:spacing w:line="240" w:lineRule="exact"/>
              <w:rPr>
                <w:rFonts w:eastAsia="方正仿宋_GBK"/>
                <w:snapToGrid w:val="0"/>
                <w:szCs w:val="21"/>
              </w:rPr>
            </w:pPr>
            <w:r>
              <w:rPr>
                <w:rFonts w:eastAsia="方正仿宋_GBK"/>
                <w:snapToGrid w:val="0"/>
                <w:szCs w:val="21"/>
              </w:rPr>
              <w:t>7</w:t>
            </w:r>
            <w:r>
              <w:rPr>
                <w:rFonts w:hint="eastAsia" w:eastAsia="方正仿宋_GBK"/>
                <w:snapToGrid w:val="0"/>
                <w:szCs w:val="21"/>
              </w:rPr>
              <w:t>．建立火灾、治安、公共卫生等突发事件应急预案，接到火警、警情和住户紧急求助等异常情况时，</w:t>
            </w:r>
            <w:r>
              <w:rPr>
                <w:rFonts w:eastAsia="方正仿宋_GBK"/>
                <w:snapToGrid w:val="0"/>
                <w:szCs w:val="21"/>
              </w:rPr>
              <w:t>5</w:t>
            </w:r>
            <w:r>
              <w:rPr>
                <w:rFonts w:hint="eastAsia" w:eastAsia="方正仿宋_GBK"/>
                <w:snapToGrid w:val="0"/>
                <w:szCs w:val="21"/>
              </w:rPr>
              <w:t>分钟内赶到现场，并采取相应的应对措施。</w:t>
            </w:r>
          </w:p>
        </w:tc>
      </w:tr>
    </w:tbl>
    <w:p>
      <w:pPr>
        <w:snapToGrid w:val="0"/>
        <w:ind w:firstLine="420" w:firstLineChars="200"/>
        <w:rPr>
          <w:rFonts w:eastAsia="方正黑体_GBK"/>
          <w:snapToGrid w:val="0"/>
        </w:rPr>
      </w:pPr>
      <w:r>
        <w:rPr>
          <w:rFonts w:hint="eastAsia" w:eastAsia="方正黑体_GBK"/>
          <w:snapToGrid w:val="0"/>
        </w:rPr>
        <w:t>四、保洁服务</w:t>
      </w:r>
    </w:p>
    <w:tbl>
      <w:tblPr>
        <w:tblStyle w:val="14"/>
        <w:tblW w:w="9169" w:type="dxa"/>
        <w:jc w:val="center"/>
        <w:tblLayout w:type="fixed"/>
        <w:tblCellMar>
          <w:top w:w="0" w:type="dxa"/>
          <w:left w:w="108" w:type="dxa"/>
          <w:bottom w:w="0" w:type="dxa"/>
          <w:right w:w="108" w:type="dxa"/>
        </w:tblCellMar>
      </w:tblPr>
      <w:tblGrid>
        <w:gridCol w:w="2282"/>
        <w:gridCol w:w="2296"/>
        <w:gridCol w:w="2295"/>
        <w:gridCol w:w="2296"/>
      </w:tblGrid>
      <w:tr>
        <w:tblPrEx>
          <w:tblCellMar>
            <w:top w:w="0" w:type="dxa"/>
            <w:left w:w="108" w:type="dxa"/>
            <w:bottom w:w="0" w:type="dxa"/>
            <w:right w:w="108" w:type="dxa"/>
          </w:tblCellMar>
        </w:tblPrEx>
        <w:trPr>
          <w:trHeight w:val="477" w:hRule="atLeast"/>
          <w:tblHeade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eastAsia="方正黑体_GBK"/>
                <w:snapToGrid w:val="0"/>
                <w:szCs w:val="21"/>
              </w:rPr>
            </w:pPr>
            <w:r>
              <w:rPr>
                <w:rFonts w:hint="eastAsia" w:eastAsia="方正黑体_GBK"/>
                <w:snapToGrid w:val="0"/>
                <w:szCs w:val="21"/>
              </w:rPr>
              <w:t>一</w:t>
            </w:r>
            <w:r>
              <w:rPr>
                <w:rFonts w:eastAsia="方正黑体_GBK"/>
                <w:snapToGrid w:val="0"/>
                <w:szCs w:val="21"/>
              </w:rPr>
              <w:t xml:space="preserve">    </w:t>
            </w:r>
            <w:r>
              <w:rPr>
                <w:rFonts w:hint="eastAsia" w:eastAsia="方正黑体_GBK"/>
                <w:snapToGrid w:val="0"/>
                <w:szCs w:val="21"/>
              </w:rPr>
              <w:t>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eastAsia="方正黑体_GBK"/>
                <w:snapToGrid w:val="0"/>
                <w:szCs w:val="21"/>
              </w:rPr>
            </w:pPr>
            <w:r>
              <w:rPr>
                <w:rFonts w:hint="eastAsia" w:eastAsia="方正黑体_GBK"/>
                <w:snapToGrid w:val="0"/>
                <w:szCs w:val="21"/>
              </w:rPr>
              <w:t>二</w:t>
            </w:r>
            <w:r>
              <w:rPr>
                <w:rFonts w:eastAsia="方正黑体_GBK"/>
                <w:snapToGrid w:val="0"/>
                <w:szCs w:val="21"/>
              </w:rPr>
              <w:t xml:space="preserve">    </w:t>
            </w:r>
            <w:r>
              <w:rPr>
                <w:rFonts w:hint="eastAsia" w:eastAsia="方正黑体_GBK"/>
                <w:snapToGrid w:val="0"/>
                <w:szCs w:val="21"/>
              </w:rPr>
              <w:t>级</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eastAsia="方正黑体_GBK"/>
                <w:snapToGrid w:val="0"/>
                <w:szCs w:val="21"/>
              </w:rPr>
            </w:pPr>
            <w:r>
              <w:rPr>
                <w:rFonts w:hint="eastAsia" w:eastAsia="方正黑体_GBK"/>
                <w:snapToGrid w:val="0"/>
                <w:szCs w:val="21"/>
              </w:rPr>
              <w:t>三</w:t>
            </w:r>
            <w:r>
              <w:rPr>
                <w:rFonts w:eastAsia="方正黑体_GBK"/>
                <w:snapToGrid w:val="0"/>
                <w:szCs w:val="21"/>
              </w:rPr>
              <w:t xml:space="preserve">    </w:t>
            </w:r>
            <w:r>
              <w:rPr>
                <w:rFonts w:hint="eastAsia" w:eastAsia="方正黑体_GBK"/>
                <w:snapToGrid w:val="0"/>
                <w:szCs w:val="21"/>
              </w:rPr>
              <w:t>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eastAsia="方正黑体_GBK"/>
                <w:snapToGrid w:val="0"/>
                <w:szCs w:val="21"/>
              </w:rPr>
            </w:pPr>
            <w:r>
              <w:rPr>
                <w:rFonts w:hint="eastAsia" w:eastAsia="方正黑体_GBK"/>
                <w:snapToGrid w:val="0"/>
                <w:szCs w:val="21"/>
              </w:rPr>
              <w:t>四</w:t>
            </w:r>
            <w:r>
              <w:rPr>
                <w:rFonts w:eastAsia="方正黑体_GBK"/>
                <w:snapToGrid w:val="0"/>
                <w:szCs w:val="21"/>
              </w:rPr>
              <w:t xml:space="preserve">    </w:t>
            </w:r>
            <w:r>
              <w:rPr>
                <w:rFonts w:hint="eastAsia" w:eastAsia="方正黑体_GBK"/>
                <w:snapToGrid w:val="0"/>
                <w:szCs w:val="21"/>
              </w:rPr>
              <w:t>级</w:t>
            </w:r>
          </w:p>
        </w:tc>
      </w:tr>
      <w:tr>
        <w:tblPrEx>
          <w:tblCellMar>
            <w:top w:w="0" w:type="dxa"/>
            <w:left w:w="108" w:type="dxa"/>
            <w:bottom w:w="0" w:type="dxa"/>
            <w:right w:w="108" w:type="dxa"/>
          </w:tblCellMar>
        </w:tblPrEx>
        <w:trPr>
          <w:trHeight w:val="181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．按栋设置垃圾收集点，每日清运</w:t>
            </w:r>
            <w:r>
              <w:rPr>
                <w:rFonts w:eastAsia="方正仿宋_GBK"/>
                <w:snapToGrid w:val="0"/>
                <w:szCs w:val="21"/>
              </w:rPr>
              <w:t>1</w:t>
            </w:r>
            <w:r>
              <w:rPr>
                <w:rFonts w:hint="eastAsia" w:eastAsia="方正仿宋_GBK"/>
                <w:snapToGrid w:val="0"/>
                <w:szCs w:val="21"/>
              </w:rPr>
              <w:t>次，垃圾袋装化。</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．按楼层或栋设置垃圾收集点，每日清理</w:t>
            </w:r>
            <w:r>
              <w:rPr>
                <w:rFonts w:eastAsia="方正仿宋_GBK"/>
                <w:snapToGrid w:val="0"/>
                <w:szCs w:val="21"/>
              </w:rPr>
              <w:t>1</w:t>
            </w:r>
            <w:r>
              <w:rPr>
                <w:rFonts w:hint="eastAsia" w:eastAsia="方正仿宋_GBK"/>
                <w:snapToGrid w:val="0"/>
                <w:szCs w:val="21"/>
              </w:rPr>
              <w:t>次，垃圾袋装化，垃圾点周围地面无散落垃圾、无明显异味。</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．按楼层或栋设置垃圾收集点，每日清理</w:t>
            </w:r>
            <w:r>
              <w:rPr>
                <w:rFonts w:eastAsia="方正仿宋_GBK"/>
                <w:snapToGrid w:val="0"/>
                <w:szCs w:val="21"/>
              </w:rPr>
              <w:t>1</w:t>
            </w:r>
            <w:r>
              <w:rPr>
                <w:rFonts w:hint="eastAsia" w:eastAsia="方正仿宋_GBK"/>
                <w:snapToGrid w:val="0"/>
                <w:szCs w:val="21"/>
              </w:rPr>
              <w:t>次，垃圾袋装化，垃圾点周围地面无散落垃圾、无异味。</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．按楼层设置垃圾收集点，每日清理</w:t>
            </w:r>
            <w:r>
              <w:rPr>
                <w:rFonts w:eastAsia="方正仿宋_GBK"/>
                <w:snapToGrid w:val="0"/>
                <w:szCs w:val="21"/>
              </w:rPr>
              <w:t>1</w:t>
            </w:r>
            <w:r>
              <w:rPr>
                <w:rFonts w:hint="eastAsia" w:eastAsia="方正仿宋_GBK"/>
                <w:snapToGrid w:val="0"/>
                <w:szCs w:val="21"/>
              </w:rPr>
              <w:t>次，垃圾袋装化，垃圾点周围地面无散落垃圾、无污迹、无异味。</w:t>
            </w:r>
          </w:p>
        </w:tc>
      </w:tr>
      <w:tr>
        <w:tblPrEx>
          <w:tblCellMar>
            <w:top w:w="0" w:type="dxa"/>
            <w:left w:w="108" w:type="dxa"/>
            <w:bottom w:w="0" w:type="dxa"/>
            <w:right w:w="108" w:type="dxa"/>
          </w:tblCellMar>
        </w:tblPrEx>
        <w:trPr>
          <w:trHeight w:val="1740"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．室外果皮箱、垃圾桶合理设置。每日清理</w:t>
            </w:r>
            <w:r>
              <w:rPr>
                <w:rFonts w:eastAsia="方正仿宋_GBK"/>
                <w:snapToGrid w:val="0"/>
                <w:szCs w:val="21"/>
              </w:rPr>
              <w:t>1</w:t>
            </w:r>
            <w:r>
              <w:rPr>
                <w:rFonts w:hint="eastAsia" w:eastAsia="方正仿宋_GBK"/>
                <w:snapToGrid w:val="0"/>
                <w:szCs w:val="21"/>
              </w:rPr>
              <w:t>次，每周擦拭</w:t>
            </w:r>
            <w:r>
              <w:rPr>
                <w:rFonts w:eastAsia="方正仿宋_GBK"/>
                <w:snapToGrid w:val="0"/>
                <w:szCs w:val="21"/>
              </w:rPr>
              <w:t>1</w:t>
            </w:r>
            <w:r>
              <w:rPr>
                <w:rFonts w:hint="eastAsia" w:eastAsia="方正仿宋_GBK"/>
                <w:snapToGrid w:val="0"/>
                <w:szCs w:val="21"/>
              </w:rPr>
              <w:t>次，箱（桶）无满溢，无明显异味。</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．室外果皮箱、垃圾桶合理设置。每日清理</w:t>
            </w:r>
            <w:r>
              <w:rPr>
                <w:rFonts w:eastAsia="方正仿宋_GBK"/>
                <w:snapToGrid w:val="0"/>
                <w:szCs w:val="21"/>
              </w:rPr>
              <w:t>1</w:t>
            </w:r>
            <w:r>
              <w:rPr>
                <w:rFonts w:hint="eastAsia" w:eastAsia="方正仿宋_GBK"/>
                <w:snapToGrid w:val="0"/>
                <w:szCs w:val="21"/>
              </w:rPr>
              <w:t>次，每周擦拭</w:t>
            </w:r>
            <w:r>
              <w:rPr>
                <w:rFonts w:eastAsia="方正仿宋_GBK"/>
                <w:snapToGrid w:val="0"/>
                <w:szCs w:val="21"/>
              </w:rPr>
              <w:t>1</w:t>
            </w:r>
            <w:r>
              <w:rPr>
                <w:rFonts w:hint="eastAsia" w:eastAsia="方正仿宋_GBK"/>
                <w:snapToGrid w:val="0"/>
                <w:szCs w:val="21"/>
              </w:rPr>
              <w:t>次，箱（桶）无满溢，无明显异味。</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．室外果皮箱、垃圾桶合理设置。每日清理</w:t>
            </w:r>
            <w:r>
              <w:rPr>
                <w:rFonts w:eastAsia="方正仿宋_GBK"/>
                <w:snapToGrid w:val="0"/>
                <w:szCs w:val="21"/>
              </w:rPr>
              <w:t>1</w:t>
            </w:r>
            <w:r>
              <w:rPr>
                <w:rFonts w:hint="eastAsia" w:eastAsia="方正仿宋_GBK"/>
                <w:snapToGrid w:val="0"/>
                <w:szCs w:val="21"/>
              </w:rPr>
              <w:t>次，每两日擦拭</w:t>
            </w:r>
            <w:r>
              <w:rPr>
                <w:rFonts w:eastAsia="方正仿宋_GBK"/>
                <w:snapToGrid w:val="0"/>
                <w:szCs w:val="21"/>
              </w:rPr>
              <w:t>1</w:t>
            </w:r>
            <w:r>
              <w:rPr>
                <w:rFonts w:hint="eastAsia" w:eastAsia="方正仿宋_GBK"/>
                <w:snapToGrid w:val="0"/>
                <w:szCs w:val="21"/>
              </w:rPr>
              <w:t>次，箱（桶）无满溢，无异味。</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．室外果皮箱、垃圾桶合理设置。每日清理</w:t>
            </w:r>
            <w:r>
              <w:rPr>
                <w:rFonts w:eastAsia="方正仿宋_GBK"/>
                <w:snapToGrid w:val="0"/>
                <w:szCs w:val="21"/>
              </w:rPr>
              <w:t>2</w:t>
            </w:r>
            <w:r>
              <w:rPr>
                <w:rFonts w:hint="eastAsia" w:eastAsia="方正仿宋_GBK"/>
                <w:snapToGrid w:val="0"/>
                <w:szCs w:val="21"/>
              </w:rPr>
              <w:t>次、擦拭</w:t>
            </w:r>
            <w:r>
              <w:rPr>
                <w:rFonts w:eastAsia="方正仿宋_GBK"/>
                <w:snapToGrid w:val="0"/>
                <w:szCs w:val="21"/>
              </w:rPr>
              <w:t>1</w:t>
            </w:r>
            <w:r>
              <w:rPr>
                <w:rFonts w:hint="eastAsia" w:eastAsia="方正仿宋_GBK"/>
                <w:snapToGrid w:val="0"/>
                <w:szCs w:val="21"/>
              </w:rPr>
              <w:t>次，箱（桶）无满溢、无污迹、无异味。</w:t>
            </w:r>
          </w:p>
        </w:tc>
      </w:tr>
      <w:tr>
        <w:tblPrEx>
          <w:tblCellMar>
            <w:top w:w="0" w:type="dxa"/>
            <w:left w:w="108" w:type="dxa"/>
            <w:bottom w:w="0" w:type="dxa"/>
            <w:right w:w="108" w:type="dxa"/>
          </w:tblCellMar>
        </w:tblPrEx>
        <w:trPr>
          <w:trHeight w:val="3334"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．小区道路、广场、停车场、绿地等每日清扫</w:t>
            </w:r>
            <w:r>
              <w:rPr>
                <w:rFonts w:eastAsia="方正仿宋_GBK"/>
                <w:snapToGrid w:val="0"/>
                <w:szCs w:val="21"/>
              </w:rPr>
              <w:t>1</w:t>
            </w:r>
            <w:r>
              <w:rPr>
                <w:rFonts w:hint="eastAsia" w:eastAsia="方正仿宋_GBK"/>
                <w:snapToGrid w:val="0"/>
                <w:szCs w:val="21"/>
              </w:rPr>
              <w:t>次；电梯厅、一层共用大厅每日拖拭</w:t>
            </w:r>
            <w:r>
              <w:rPr>
                <w:rFonts w:eastAsia="方正仿宋_GBK"/>
                <w:snapToGrid w:val="0"/>
                <w:szCs w:val="21"/>
              </w:rPr>
              <w:t>1</w:t>
            </w:r>
            <w:r>
              <w:rPr>
                <w:rFonts w:hint="eastAsia" w:eastAsia="方正仿宋_GBK"/>
                <w:snapToGrid w:val="0"/>
                <w:szCs w:val="21"/>
              </w:rPr>
              <w:t>次；楼道每日清扫</w:t>
            </w:r>
            <w:r>
              <w:rPr>
                <w:rFonts w:eastAsia="方正仿宋_GBK"/>
                <w:snapToGrid w:val="0"/>
                <w:szCs w:val="21"/>
              </w:rPr>
              <w:t>1</w:t>
            </w:r>
            <w:r>
              <w:rPr>
                <w:rFonts w:hint="eastAsia" w:eastAsia="方正仿宋_GBK"/>
                <w:snapToGrid w:val="0"/>
                <w:szCs w:val="21"/>
              </w:rPr>
              <w:t>次，每周拖拭</w:t>
            </w:r>
            <w:r>
              <w:rPr>
                <w:rFonts w:eastAsia="方正仿宋_GBK"/>
                <w:snapToGrid w:val="0"/>
                <w:szCs w:val="21"/>
              </w:rPr>
              <w:t>1</w:t>
            </w:r>
            <w:r>
              <w:rPr>
                <w:rFonts w:hint="eastAsia" w:eastAsia="方正仿宋_GBK"/>
                <w:snapToGrid w:val="0"/>
                <w:szCs w:val="21"/>
              </w:rPr>
              <w:t>次；消防通道每周清扫</w:t>
            </w:r>
            <w:r>
              <w:rPr>
                <w:rFonts w:eastAsia="方正仿宋_GBK"/>
                <w:snapToGrid w:val="0"/>
                <w:szCs w:val="21"/>
              </w:rPr>
              <w:t>1</w:t>
            </w:r>
            <w:r>
              <w:rPr>
                <w:rFonts w:hint="eastAsia" w:eastAsia="方正仿宋_GBK"/>
                <w:snapToGrid w:val="0"/>
                <w:szCs w:val="21"/>
              </w:rPr>
              <w:t>次，每月拖拭</w:t>
            </w:r>
            <w:r>
              <w:rPr>
                <w:rFonts w:eastAsia="方正仿宋_GBK"/>
                <w:snapToGrid w:val="0"/>
                <w:szCs w:val="21"/>
              </w:rPr>
              <w:t>1</w:t>
            </w:r>
            <w:r>
              <w:rPr>
                <w:rFonts w:hint="eastAsia" w:eastAsia="方正仿宋_GBK"/>
                <w:snapToGrid w:val="0"/>
                <w:szCs w:val="21"/>
              </w:rPr>
              <w:t>次；共用部位玻璃每半年清洁</w:t>
            </w:r>
            <w:r>
              <w:rPr>
                <w:rFonts w:eastAsia="方正仿宋_GBK"/>
                <w:snapToGrid w:val="0"/>
                <w:szCs w:val="21"/>
              </w:rPr>
              <w:t>1</w:t>
            </w:r>
            <w:r>
              <w:rPr>
                <w:rFonts w:hint="eastAsia" w:eastAsia="方正仿宋_GBK"/>
                <w:snapToGrid w:val="0"/>
                <w:szCs w:val="21"/>
              </w:rPr>
              <w:t>次；楼道灯、庭院路灯每年清洁</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．小区道路、广场、停车场、绿地等每日清扫</w:t>
            </w:r>
            <w:r>
              <w:rPr>
                <w:rFonts w:eastAsia="方正仿宋_GBK"/>
                <w:snapToGrid w:val="0"/>
                <w:szCs w:val="21"/>
              </w:rPr>
              <w:t>1</w:t>
            </w:r>
            <w:r>
              <w:rPr>
                <w:rFonts w:hint="eastAsia" w:eastAsia="方正仿宋_GBK"/>
                <w:snapToGrid w:val="0"/>
                <w:szCs w:val="21"/>
              </w:rPr>
              <w:t>次；电梯厅、一层共用大厅每日拖拭</w:t>
            </w:r>
            <w:r>
              <w:rPr>
                <w:rFonts w:eastAsia="方正仿宋_GBK"/>
                <w:snapToGrid w:val="0"/>
                <w:szCs w:val="21"/>
              </w:rPr>
              <w:t>1</w:t>
            </w:r>
            <w:r>
              <w:rPr>
                <w:rFonts w:hint="eastAsia" w:eastAsia="方正仿宋_GBK"/>
                <w:snapToGrid w:val="0"/>
                <w:szCs w:val="21"/>
              </w:rPr>
              <w:t>次；楼道每日清扫</w:t>
            </w:r>
            <w:r>
              <w:rPr>
                <w:rFonts w:eastAsia="方正仿宋_GBK"/>
                <w:snapToGrid w:val="0"/>
                <w:szCs w:val="21"/>
              </w:rPr>
              <w:t>1</w:t>
            </w:r>
            <w:r>
              <w:rPr>
                <w:rFonts w:hint="eastAsia" w:eastAsia="方正仿宋_GBK"/>
                <w:snapToGrid w:val="0"/>
                <w:szCs w:val="21"/>
              </w:rPr>
              <w:t>次，每两日拖拭</w:t>
            </w:r>
            <w:r>
              <w:rPr>
                <w:rFonts w:eastAsia="方正仿宋_GBK"/>
                <w:snapToGrid w:val="0"/>
                <w:szCs w:val="21"/>
              </w:rPr>
              <w:t>1</w:t>
            </w:r>
            <w:r>
              <w:rPr>
                <w:rFonts w:hint="eastAsia" w:eastAsia="方正仿宋_GBK"/>
                <w:snapToGrid w:val="0"/>
                <w:szCs w:val="21"/>
              </w:rPr>
              <w:t>次；消防通道每周拖拭</w:t>
            </w:r>
            <w:r>
              <w:rPr>
                <w:rFonts w:eastAsia="方正仿宋_GBK"/>
                <w:snapToGrid w:val="0"/>
                <w:szCs w:val="21"/>
              </w:rPr>
              <w:t>1</w:t>
            </w:r>
            <w:r>
              <w:rPr>
                <w:rFonts w:hint="eastAsia" w:eastAsia="方正仿宋_GBK"/>
                <w:snapToGrid w:val="0"/>
                <w:szCs w:val="21"/>
              </w:rPr>
              <w:t>次；共用部位玻璃每季度清洁</w:t>
            </w:r>
            <w:r>
              <w:rPr>
                <w:rFonts w:eastAsia="方正仿宋_GBK"/>
                <w:snapToGrid w:val="0"/>
                <w:szCs w:val="21"/>
              </w:rPr>
              <w:t>1</w:t>
            </w:r>
            <w:r>
              <w:rPr>
                <w:rFonts w:hint="eastAsia" w:eastAsia="方正仿宋_GBK"/>
                <w:snapToGrid w:val="0"/>
                <w:szCs w:val="21"/>
              </w:rPr>
              <w:t>次；楼道灯、庭院路灯每季度清洁</w:t>
            </w:r>
            <w:r>
              <w:rPr>
                <w:rFonts w:eastAsia="方正仿宋_GBK"/>
                <w:snapToGrid w:val="0"/>
                <w:szCs w:val="21"/>
              </w:rPr>
              <w:t>1</w:t>
            </w:r>
            <w:r>
              <w:rPr>
                <w:rFonts w:hint="eastAsia" w:eastAsia="方正仿宋_GBK"/>
                <w:snapToGrid w:val="0"/>
                <w:szCs w:val="21"/>
              </w:rPr>
              <w:t>次。</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．小区道路、广场、停车场、绿地等每日清扫</w:t>
            </w:r>
            <w:r>
              <w:rPr>
                <w:rFonts w:eastAsia="方正仿宋_GBK"/>
                <w:snapToGrid w:val="0"/>
                <w:szCs w:val="21"/>
              </w:rPr>
              <w:t>1</w:t>
            </w:r>
            <w:r>
              <w:rPr>
                <w:rFonts w:hint="eastAsia" w:eastAsia="方正仿宋_GBK"/>
                <w:snapToGrid w:val="0"/>
                <w:szCs w:val="21"/>
              </w:rPr>
              <w:t>次；电梯厅、楼道、一层共用大厅每日拖拭</w:t>
            </w:r>
            <w:r>
              <w:rPr>
                <w:rFonts w:eastAsia="方正仿宋_GBK"/>
                <w:snapToGrid w:val="0"/>
                <w:szCs w:val="21"/>
              </w:rPr>
              <w:t>1</w:t>
            </w:r>
            <w:r>
              <w:rPr>
                <w:rFonts w:hint="eastAsia" w:eastAsia="方正仿宋_GBK"/>
                <w:snapToGrid w:val="0"/>
                <w:szCs w:val="21"/>
              </w:rPr>
              <w:t>次；消防通道每三日拖拭</w:t>
            </w:r>
            <w:r>
              <w:rPr>
                <w:rFonts w:eastAsia="方正仿宋_GBK"/>
                <w:snapToGrid w:val="0"/>
                <w:szCs w:val="21"/>
              </w:rPr>
              <w:t>1</w:t>
            </w:r>
            <w:r>
              <w:rPr>
                <w:rFonts w:hint="eastAsia" w:eastAsia="方正仿宋_GBK"/>
                <w:snapToGrid w:val="0"/>
                <w:szCs w:val="21"/>
              </w:rPr>
              <w:t>次；共用部位玻璃每月清洁</w:t>
            </w:r>
            <w:r>
              <w:rPr>
                <w:rFonts w:eastAsia="方正仿宋_GBK"/>
                <w:snapToGrid w:val="0"/>
                <w:szCs w:val="21"/>
              </w:rPr>
              <w:t>1</w:t>
            </w:r>
            <w:r>
              <w:rPr>
                <w:rFonts w:hint="eastAsia" w:eastAsia="方正仿宋_GBK"/>
                <w:snapToGrid w:val="0"/>
                <w:szCs w:val="21"/>
              </w:rPr>
              <w:t>次；楼道灯每季度清洁</w:t>
            </w:r>
            <w:r>
              <w:rPr>
                <w:rFonts w:eastAsia="方正仿宋_GBK"/>
                <w:snapToGrid w:val="0"/>
                <w:szCs w:val="21"/>
              </w:rPr>
              <w:t>1</w:t>
            </w:r>
            <w:r>
              <w:rPr>
                <w:rFonts w:hint="eastAsia" w:eastAsia="方正仿宋_GBK"/>
                <w:snapToGrid w:val="0"/>
                <w:szCs w:val="21"/>
              </w:rPr>
              <w:t>次；庭院路灯每月清洁</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．小区道路、广场、停车场、绿地等每日清扫</w:t>
            </w:r>
            <w:r>
              <w:rPr>
                <w:rFonts w:eastAsia="方正仿宋_GBK"/>
                <w:snapToGrid w:val="0"/>
                <w:szCs w:val="21"/>
              </w:rPr>
              <w:t>2</w:t>
            </w:r>
            <w:r>
              <w:rPr>
                <w:rFonts w:hint="eastAsia" w:eastAsia="方正仿宋_GBK"/>
                <w:snapToGrid w:val="0"/>
                <w:szCs w:val="21"/>
              </w:rPr>
              <w:t>次；电梯厅、楼道、一层共用大厅每日拖拭</w:t>
            </w:r>
            <w:r>
              <w:rPr>
                <w:rFonts w:eastAsia="方正仿宋_GBK"/>
                <w:snapToGrid w:val="0"/>
                <w:szCs w:val="21"/>
              </w:rPr>
              <w:t>2</w:t>
            </w:r>
            <w:r>
              <w:rPr>
                <w:rFonts w:hint="eastAsia" w:eastAsia="方正仿宋_GBK"/>
                <w:snapToGrid w:val="0"/>
                <w:szCs w:val="21"/>
              </w:rPr>
              <w:t>次；消防通道每两日拖拭</w:t>
            </w:r>
            <w:r>
              <w:rPr>
                <w:rFonts w:eastAsia="方正仿宋_GBK"/>
                <w:snapToGrid w:val="0"/>
                <w:szCs w:val="21"/>
              </w:rPr>
              <w:t>1</w:t>
            </w:r>
            <w:r>
              <w:rPr>
                <w:rFonts w:hint="eastAsia" w:eastAsia="方正仿宋_GBK"/>
                <w:snapToGrid w:val="0"/>
                <w:szCs w:val="21"/>
              </w:rPr>
              <w:t>次；共用部位玻璃每月清洁</w:t>
            </w:r>
            <w:r>
              <w:rPr>
                <w:rFonts w:eastAsia="方正仿宋_GBK"/>
                <w:snapToGrid w:val="0"/>
                <w:szCs w:val="21"/>
              </w:rPr>
              <w:t>1</w:t>
            </w:r>
            <w:r>
              <w:rPr>
                <w:rFonts w:hint="eastAsia" w:eastAsia="方正仿宋_GBK"/>
                <w:snapToGrid w:val="0"/>
                <w:szCs w:val="21"/>
              </w:rPr>
              <w:t>次；楼道灯每两月清洁</w:t>
            </w:r>
            <w:r>
              <w:rPr>
                <w:rFonts w:eastAsia="方正仿宋_GBK"/>
                <w:snapToGrid w:val="0"/>
                <w:szCs w:val="21"/>
              </w:rPr>
              <w:t>1</w:t>
            </w:r>
            <w:r>
              <w:rPr>
                <w:rFonts w:hint="eastAsia" w:eastAsia="方正仿宋_GBK"/>
                <w:snapToGrid w:val="0"/>
                <w:szCs w:val="21"/>
              </w:rPr>
              <w:t>次；庭院路灯每月清洁</w:t>
            </w:r>
            <w:r>
              <w:rPr>
                <w:rFonts w:eastAsia="方正仿宋_GBK"/>
                <w:snapToGrid w:val="0"/>
                <w:szCs w:val="21"/>
              </w:rPr>
              <w:t>1</w:t>
            </w:r>
            <w:r>
              <w:rPr>
                <w:rFonts w:hint="eastAsia" w:eastAsia="方正仿宋_GBK"/>
                <w:snapToGrid w:val="0"/>
                <w:szCs w:val="21"/>
              </w:rPr>
              <w:t>次。</w:t>
            </w:r>
          </w:p>
        </w:tc>
      </w:tr>
      <w:tr>
        <w:tblPrEx>
          <w:tblCellMar>
            <w:top w:w="0" w:type="dxa"/>
            <w:left w:w="108" w:type="dxa"/>
            <w:bottom w:w="0" w:type="dxa"/>
            <w:right w:w="108" w:type="dxa"/>
          </w:tblCellMar>
        </w:tblPrEx>
        <w:trPr>
          <w:trHeight w:val="207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．楼梯扶手、宣传栏、信报箱每半月擦拭</w:t>
            </w:r>
            <w:r>
              <w:rPr>
                <w:rFonts w:eastAsia="方正仿宋_GBK"/>
                <w:snapToGrid w:val="0"/>
                <w:szCs w:val="21"/>
              </w:rPr>
              <w:t>1</w:t>
            </w:r>
            <w:r>
              <w:rPr>
                <w:rFonts w:hint="eastAsia" w:eastAsia="方正仿宋_GBK"/>
                <w:snapToGrid w:val="0"/>
                <w:szCs w:val="21"/>
              </w:rPr>
              <w:t>次；电梯轿厢等部位每周擦拭</w:t>
            </w:r>
            <w:r>
              <w:rPr>
                <w:rFonts w:eastAsia="方正仿宋_GBK"/>
                <w:snapToGrid w:val="0"/>
                <w:szCs w:val="21"/>
              </w:rPr>
              <w:t>1</w:t>
            </w:r>
            <w:r>
              <w:rPr>
                <w:rFonts w:hint="eastAsia" w:eastAsia="方正仿宋_GBK"/>
                <w:snapToGrid w:val="0"/>
                <w:szCs w:val="21"/>
              </w:rPr>
              <w:t>次，目视无灰尘；室外标识每季度擦拭</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．楼梯扶手、宣传栏、信报箱每周擦拭</w:t>
            </w:r>
            <w:r>
              <w:rPr>
                <w:rFonts w:eastAsia="方正仿宋_GBK"/>
                <w:snapToGrid w:val="0"/>
                <w:szCs w:val="21"/>
              </w:rPr>
              <w:t>1</w:t>
            </w:r>
            <w:r>
              <w:rPr>
                <w:rFonts w:hint="eastAsia" w:eastAsia="方正仿宋_GBK"/>
                <w:snapToGrid w:val="0"/>
                <w:szCs w:val="21"/>
              </w:rPr>
              <w:t>次；电梯轿厢等部位每日擦拭</w:t>
            </w:r>
            <w:r>
              <w:rPr>
                <w:rFonts w:eastAsia="方正仿宋_GBK"/>
                <w:snapToGrid w:val="0"/>
                <w:szCs w:val="21"/>
              </w:rPr>
              <w:t>1</w:t>
            </w:r>
            <w:r>
              <w:rPr>
                <w:rFonts w:hint="eastAsia" w:eastAsia="方正仿宋_GBK"/>
                <w:snapToGrid w:val="0"/>
                <w:szCs w:val="21"/>
              </w:rPr>
              <w:t>次，目视无灰尘、明亮清洁；室外标识每月擦拭</w:t>
            </w:r>
            <w:r>
              <w:rPr>
                <w:rFonts w:eastAsia="方正仿宋_GBK"/>
                <w:snapToGrid w:val="0"/>
                <w:szCs w:val="21"/>
              </w:rPr>
              <w:t>1</w:t>
            </w:r>
            <w:r>
              <w:rPr>
                <w:rFonts w:hint="eastAsia" w:eastAsia="方正仿宋_GBK"/>
                <w:snapToGrid w:val="0"/>
                <w:szCs w:val="21"/>
              </w:rPr>
              <w:t>次。</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．楼梯扶手、宣传栏、信报箱每两日擦拭</w:t>
            </w:r>
            <w:r>
              <w:rPr>
                <w:rFonts w:eastAsia="方正仿宋_GBK"/>
                <w:snapToGrid w:val="0"/>
                <w:szCs w:val="21"/>
              </w:rPr>
              <w:t>1</w:t>
            </w:r>
            <w:r>
              <w:rPr>
                <w:rFonts w:hint="eastAsia" w:eastAsia="方正仿宋_GBK"/>
                <w:snapToGrid w:val="0"/>
                <w:szCs w:val="21"/>
              </w:rPr>
              <w:t>次；电梯轿厢等部位每日擦拭</w:t>
            </w:r>
            <w:r>
              <w:rPr>
                <w:rFonts w:eastAsia="方正仿宋_GBK"/>
                <w:snapToGrid w:val="0"/>
                <w:szCs w:val="21"/>
              </w:rPr>
              <w:t>1</w:t>
            </w:r>
            <w:r>
              <w:rPr>
                <w:rFonts w:hint="eastAsia" w:eastAsia="方正仿宋_GBK"/>
                <w:snapToGrid w:val="0"/>
                <w:szCs w:val="21"/>
              </w:rPr>
              <w:t>次，目视无灰尘、明亮清洁；室外标识每周擦拭</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．楼梯扶手、室外标识、宣传栏、信报箱、电梯轿厢等部位每日擦拭</w:t>
            </w:r>
            <w:r>
              <w:rPr>
                <w:rFonts w:eastAsia="方正仿宋_GBK"/>
                <w:snapToGrid w:val="0"/>
                <w:szCs w:val="21"/>
              </w:rPr>
              <w:t>1</w:t>
            </w:r>
            <w:r>
              <w:rPr>
                <w:rFonts w:hint="eastAsia" w:eastAsia="方正仿宋_GBK"/>
                <w:snapToGrid w:val="0"/>
                <w:szCs w:val="21"/>
              </w:rPr>
              <w:t>次，目视无灰尘、明亮清洁；电梯操作板每日消毒</w:t>
            </w:r>
            <w:r>
              <w:rPr>
                <w:rFonts w:eastAsia="方正仿宋_GBK"/>
                <w:snapToGrid w:val="0"/>
                <w:szCs w:val="21"/>
              </w:rPr>
              <w:t>1</w:t>
            </w:r>
            <w:r>
              <w:rPr>
                <w:rFonts w:hint="eastAsia" w:eastAsia="方正仿宋_GBK"/>
                <w:snapToGrid w:val="0"/>
                <w:szCs w:val="21"/>
              </w:rPr>
              <w:t>次。</w:t>
            </w:r>
          </w:p>
        </w:tc>
      </w:tr>
      <w:tr>
        <w:tblPrEx>
          <w:tblCellMar>
            <w:top w:w="0" w:type="dxa"/>
            <w:left w:w="108" w:type="dxa"/>
            <w:bottom w:w="0" w:type="dxa"/>
            <w:right w:w="108" w:type="dxa"/>
          </w:tblCellMar>
        </w:tblPrEx>
        <w:trPr>
          <w:trHeight w:val="140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．消毒灭害，每季度对窨井、明沟、垃圾房喷洒药水</w:t>
            </w:r>
            <w:r>
              <w:rPr>
                <w:rFonts w:eastAsia="方正仿宋_GBK"/>
                <w:snapToGrid w:val="0"/>
                <w:szCs w:val="21"/>
              </w:rPr>
              <w:t>1</w:t>
            </w:r>
            <w:r>
              <w:rPr>
                <w:rFonts w:hint="eastAsia" w:eastAsia="方正仿宋_GBK"/>
                <w:snapToGrid w:val="0"/>
                <w:szCs w:val="21"/>
              </w:rPr>
              <w:t>次，每半年灭鼠</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．消毒灭害，每季度对窨井、明沟、垃圾房喷洒药水</w:t>
            </w:r>
            <w:r>
              <w:rPr>
                <w:rFonts w:eastAsia="方正仿宋_GBK"/>
                <w:snapToGrid w:val="0"/>
                <w:szCs w:val="21"/>
              </w:rPr>
              <w:t>1</w:t>
            </w:r>
            <w:r>
              <w:rPr>
                <w:rFonts w:hint="eastAsia" w:eastAsia="方正仿宋_GBK"/>
                <w:snapToGrid w:val="0"/>
                <w:szCs w:val="21"/>
              </w:rPr>
              <w:t>次，每半年灭鼠</w:t>
            </w:r>
            <w:r>
              <w:rPr>
                <w:rFonts w:eastAsia="方正仿宋_GBK"/>
                <w:snapToGrid w:val="0"/>
                <w:szCs w:val="21"/>
              </w:rPr>
              <w:t>1</w:t>
            </w:r>
            <w:r>
              <w:rPr>
                <w:rFonts w:hint="eastAsia" w:eastAsia="方正仿宋_GBK"/>
                <w:snapToGrid w:val="0"/>
                <w:szCs w:val="21"/>
              </w:rPr>
              <w:t>次。</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．消毒灭害，每季度对窨井、明沟、垃圾房喷洒药水</w:t>
            </w:r>
            <w:r>
              <w:rPr>
                <w:rFonts w:eastAsia="方正仿宋_GBK"/>
                <w:snapToGrid w:val="0"/>
                <w:szCs w:val="21"/>
              </w:rPr>
              <w:t>1</w:t>
            </w:r>
            <w:r>
              <w:rPr>
                <w:rFonts w:hint="eastAsia" w:eastAsia="方正仿宋_GBK"/>
                <w:snapToGrid w:val="0"/>
                <w:szCs w:val="21"/>
              </w:rPr>
              <w:t>次，每季度灭鼠</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．消毒灭害，每月对窨井、明沟、垃圾房喷洒药水</w:t>
            </w:r>
            <w:r>
              <w:rPr>
                <w:rFonts w:eastAsia="方正仿宋_GBK"/>
                <w:snapToGrid w:val="0"/>
                <w:szCs w:val="21"/>
              </w:rPr>
              <w:t>1</w:t>
            </w:r>
            <w:r>
              <w:rPr>
                <w:rFonts w:hint="eastAsia" w:eastAsia="方正仿宋_GBK"/>
                <w:snapToGrid w:val="0"/>
                <w:szCs w:val="21"/>
              </w:rPr>
              <w:t>次，每季度灭鼠</w:t>
            </w:r>
            <w:r>
              <w:rPr>
                <w:rFonts w:eastAsia="方正仿宋_GBK"/>
                <w:snapToGrid w:val="0"/>
                <w:szCs w:val="21"/>
              </w:rPr>
              <w:t>1</w:t>
            </w:r>
            <w:r>
              <w:rPr>
                <w:rFonts w:hint="eastAsia" w:eastAsia="方正仿宋_GBK"/>
                <w:snapToGrid w:val="0"/>
                <w:szCs w:val="21"/>
              </w:rPr>
              <w:t>次。</w:t>
            </w:r>
          </w:p>
        </w:tc>
      </w:tr>
      <w:tr>
        <w:tblPrEx>
          <w:tblCellMar>
            <w:top w:w="0" w:type="dxa"/>
            <w:left w:w="108" w:type="dxa"/>
            <w:bottom w:w="0" w:type="dxa"/>
            <w:right w:w="108" w:type="dxa"/>
          </w:tblCellMar>
        </w:tblPrEx>
        <w:trPr>
          <w:trHeight w:val="1470"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．小区内主干道、广场、一层共用大厅等公共区域日常设专人循环保洁。</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．小区内主干道、广场、一层共用大厅等公共区域日常设专人循环保洁，保持干净整洁无杂物。</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．小区内主干道、广场、一层共用大厅等公共区域日常设专人循环保洁，保持干净整洁无杂物。</w:t>
            </w:r>
          </w:p>
        </w:tc>
      </w:tr>
    </w:tbl>
    <w:p>
      <w:pPr>
        <w:snapToGrid w:val="0"/>
        <w:ind w:firstLine="420" w:firstLineChars="200"/>
        <w:rPr>
          <w:rFonts w:eastAsia="方正黑体_GBK"/>
          <w:snapToGrid w:val="0"/>
        </w:rPr>
      </w:pPr>
    </w:p>
    <w:p>
      <w:pPr>
        <w:snapToGrid w:val="0"/>
        <w:ind w:firstLine="420" w:firstLineChars="200"/>
        <w:rPr>
          <w:rFonts w:eastAsia="方正黑体_GBK"/>
          <w:snapToGrid w:val="0"/>
        </w:rPr>
      </w:pPr>
      <w:r>
        <w:rPr>
          <w:rFonts w:hint="eastAsia" w:eastAsia="方正黑体_GBK"/>
          <w:snapToGrid w:val="0"/>
        </w:rPr>
        <w:t>五、绿化养护管理</w:t>
      </w:r>
    </w:p>
    <w:tbl>
      <w:tblPr>
        <w:tblStyle w:val="14"/>
        <w:tblW w:w="9169" w:type="dxa"/>
        <w:jc w:val="center"/>
        <w:tblLayout w:type="fixed"/>
        <w:tblCellMar>
          <w:top w:w="0" w:type="dxa"/>
          <w:left w:w="108" w:type="dxa"/>
          <w:bottom w:w="0" w:type="dxa"/>
          <w:right w:w="108" w:type="dxa"/>
        </w:tblCellMar>
      </w:tblPr>
      <w:tblGrid>
        <w:gridCol w:w="2282"/>
        <w:gridCol w:w="2296"/>
        <w:gridCol w:w="2295"/>
        <w:gridCol w:w="2296"/>
      </w:tblGrid>
      <w:tr>
        <w:tblPrEx>
          <w:tblCellMar>
            <w:top w:w="0" w:type="dxa"/>
            <w:left w:w="108" w:type="dxa"/>
            <w:bottom w:w="0" w:type="dxa"/>
            <w:right w:w="108" w:type="dxa"/>
          </w:tblCellMar>
        </w:tblPrEx>
        <w:trPr>
          <w:trHeight w:val="491" w:hRule="atLeast"/>
          <w:tblHeade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ascii="方正仿宋_GBK" w:eastAsia="方正仿宋_GBK"/>
                <w:snapToGrid w:val="0"/>
                <w:szCs w:val="21"/>
              </w:rPr>
            </w:pPr>
            <w:r>
              <w:rPr>
                <w:rFonts w:hint="eastAsia" w:ascii="方正仿宋_GBK" w:eastAsia="方正仿宋_GBK"/>
                <w:snapToGrid w:val="0"/>
                <w:szCs w:val="21"/>
              </w:rPr>
              <w:t>一    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ascii="方正仿宋_GBK" w:eastAsia="方正仿宋_GBK"/>
                <w:snapToGrid w:val="0"/>
                <w:szCs w:val="21"/>
              </w:rPr>
            </w:pPr>
            <w:r>
              <w:rPr>
                <w:rFonts w:hint="eastAsia" w:ascii="方正仿宋_GBK" w:eastAsia="方正仿宋_GBK"/>
                <w:snapToGrid w:val="0"/>
                <w:szCs w:val="21"/>
              </w:rPr>
              <w:t>二    级</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ascii="方正仿宋_GBK" w:eastAsia="方正仿宋_GBK"/>
                <w:snapToGrid w:val="0"/>
                <w:szCs w:val="21"/>
              </w:rPr>
            </w:pPr>
            <w:r>
              <w:rPr>
                <w:rFonts w:hint="eastAsia" w:ascii="方正仿宋_GBK" w:eastAsia="方正仿宋_GBK"/>
                <w:snapToGrid w:val="0"/>
                <w:szCs w:val="21"/>
              </w:rPr>
              <w:t>三    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spacing w:line="300" w:lineRule="exact"/>
              <w:jc w:val="center"/>
              <w:rPr>
                <w:rFonts w:ascii="方正仿宋_GBK" w:eastAsia="方正仿宋_GBK"/>
                <w:snapToGrid w:val="0"/>
                <w:szCs w:val="21"/>
              </w:rPr>
            </w:pPr>
            <w:r>
              <w:rPr>
                <w:rFonts w:hint="eastAsia" w:ascii="方正仿宋_GBK" w:eastAsia="方正仿宋_GBK"/>
                <w:snapToGrid w:val="0"/>
                <w:szCs w:val="21"/>
              </w:rPr>
              <w:t>四    级</w:t>
            </w:r>
          </w:p>
        </w:tc>
      </w:tr>
      <w:tr>
        <w:tblPrEx>
          <w:tblCellMar>
            <w:top w:w="0" w:type="dxa"/>
            <w:left w:w="108" w:type="dxa"/>
            <w:bottom w:w="0" w:type="dxa"/>
            <w:right w:w="108" w:type="dxa"/>
          </w:tblCellMar>
        </w:tblPrEx>
        <w:trPr>
          <w:trHeight w:val="76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1．绿地保存率80%以上。</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1．绿地保存率90%以上，绿地基本无裸露。</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1．绿地保存率95%以上。</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1．绿地保存率100%。</w:t>
            </w:r>
          </w:p>
        </w:tc>
      </w:tr>
      <w:tr>
        <w:tblPrEx>
          <w:tblCellMar>
            <w:top w:w="0" w:type="dxa"/>
            <w:left w:w="108" w:type="dxa"/>
            <w:bottom w:w="0" w:type="dxa"/>
            <w:right w:w="108" w:type="dxa"/>
          </w:tblCellMar>
        </w:tblPrEx>
        <w:trP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2．实施绿化养护管理。</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2．实施绿化养护管理。草坪生长良好，每年普修3遍以上，草面基本平整，无大面积杂草。</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2．有专业人员实施绿化养护管理。草坪生长良好，每年普修4遍以上，草面基本平整，杂草、杂物面积不大于10%。</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2．有专业人员实施绿化养护管理。草坪生长良好，及时修剪和补栽补种，每年普修5遍以上，杂草、杂物面积不大于5%。</w:t>
            </w:r>
          </w:p>
        </w:tc>
      </w:tr>
      <w:tr>
        <w:tblPrEx>
          <w:tblCellMar>
            <w:top w:w="0" w:type="dxa"/>
            <w:left w:w="108" w:type="dxa"/>
            <w:bottom w:w="0" w:type="dxa"/>
            <w:right w:w="108" w:type="dxa"/>
          </w:tblCellMar>
        </w:tblPrEx>
        <w:trPr>
          <w:trHeight w:val="82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3．定期组织浇灌、施肥和松土，做好防涝、防冻。</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3．定期组织浇灌、施肥和松土，做好防涝、防冻。</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3．定期组织浇灌、施肥和松土，做好防涝、防冻。</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3．定期组织浇灌、施肥和松土，做好防涝、防冻。</w:t>
            </w:r>
          </w:p>
        </w:tc>
      </w:tr>
      <w:tr>
        <w:tblPrEx>
          <w:tblCellMar>
            <w:top w:w="0" w:type="dxa"/>
            <w:left w:w="108" w:type="dxa"/>
            <w:bottom w:w="0" w:type="dxa"/>
            <w:right w:w="108" w:type="dxa"/>
          </w:tblCellMar>
        </w:tblPrEx>
        <w:trPr>
          <w:trHeight w:val="1130"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4．预防病虫害，控制大面积病虫害发生。</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4．预防病虫害，每年喷洒药物不少于2次，控制大面积病虫害发生。</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4．定期喷洒药物，预防病虫害，每年喷洒药物不少于3次。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4．定期喷洒药物，预防病虫害，每年喷洒药物不少于3次。</w:t>
            </w:r>
          </w:p>
        </w:tc>
      </w:tr>
      <w:tr>
        <w:tblPrEx>
          <w:tblCellMar>
            <w:top w:w="0" w:type="dxa"/>
            <w:left w:w="108" w:type="dxa"/>
            <w:bottom w:w="0" w:type="dxa"/>
            <w:right w:w="108" w:type="dxa"/>
          </w:tblCellMar>
        </w:tblPrEx>
        <w:trPr>
          <w:trHeight w:val="1540"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5．花卉、绿篱、树木根据其品种和生长情况，及时修剪整形。</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5．花卉、绿篱、树木根据其品种和生长情况，按规范及时修剪整形，每年2遍以上。</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5．花卉、绿篱、树木根据其品种和生长情况，及时修剪整形，保持观赏效果，无枯枝死杈。</w:t>
            </w:r>
          </w:p>
        </w:tc>
      </w:tr>
      <w:tr>
        <w:tblPrEx>
          <w:tblCellMar>
            <w:top w:w="0" w:type="dxa"/>
            <w:left w:w="108" w:type="dxa"/>
            <w:bottom w:w="0" w:type="dxa"/>
            <w:right w:w="108" w:type="dxa"/>
          </w:tblCellMar>
        </w:tblPrEx>
        <w:trPr>
          <w:trHeight w:val="86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6．花卉布置一年不少于1次。</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6．花卉布置一年不少于2次（含2次）。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pPr>
              <w:spacing w:line="320" w:lineRule="exact"/>
              <w:rPr>
                <w:rFonts w:ascii="方正仿宋_GBK" w:eastAsia="方正仿宋_GBK"/>
                <w:snapToGrid w:val="0"/>
                <w:szCs w:val="21"/>
              </w:rPr>
            </w:pPr>
            <w:r>
              <w:rPr>
                <w:rFonts w:hint="eastAsia" w:ascii="方正仿宋_GBK" w:eastAsia="方正仿宋_GBK"/>
                <w:snapToGrid w:val="0"/>
                <w:szCs w:val="21"/>
              </w:rPr>
              <w:t>6．花卉布置一年不少于3次（含3次）。</w:t>
            </w:r>
          </w:p>
        </w:tc>
      </w:tr>
    </w:tbl>
    <w:p>
      <w:pPr>
        <w:pStyle w:val="18"/>
        <w:rPr>
          <w:rFonts w:ascii="仿宋_GB2312" w:eastAsia="仿宋_GB2312"/>
          <w:color w:val="000000"/>
          <w:sz w:val="28"/>
          <w:szCs w:val="28"/>
        </w:rPr>
      </w:pPr>
    </w:p>
    <w:p>
      <w:pPr>
        <w:pStyle w:val="18"/>
        <w:rPr>
          <w:rFonts w:ascii="仿宋_GB2312" w:eastAsia="仿宋_GB2312"/>
          <w:color w:val="000000"/>
          <w:sz w:val="28"/>
          <w:szCs w:val="28"/>
        </w:rPr>
      </w:pPr>
    </w:p>
    <w:p>
      <w:pPr>
        <w:pStyle w:val="18"/>
        <w:rPr>
          <w:rFonts w:ascii="仿宋_GB2312" w:eastAsia="仿宋_GB2312"/>
          <w:color w:val="000000"/>
          <w:sz w:val="28"/>
          <w:szCs w:val="28"/>
        </w:rPr>
      </w:pPr>
    </w:p>
    <w:p>
      <w:pPr>
        <w:pStyle w:val="18"/>
        <w:rPr>
          <w:rFonts w:ascii="仿宋_GB2312" w:eastAsia="仿宋_GB2312"/>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roman"/>
    <w:pitch w:val="default"/>
    <w:sig w:usb0="00000001" w:usb1="080E0000" w:usb2="00000000" w:usb3="00000000" w:csb0="00040000" w:csb1="00000000"/>
  </w:font>
  <w:font w:name="方正仿宋_GBK">
    <w:panose1 w:val="03000509000000000000"/>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3</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8"/>
      <w:numFmt w:val="chineseCounting"/>
      <w:suff w:val="space"/>
      <w:lvlText w:val="第%1篇"/>
      <w:lvlJc w:val="left"/>
      <w:rPr>
        <w:rFonts w:hint="eastAsia"/>
      </w:rPr>
    </w:lvl>
  </w:abstractNum>
  <w:abstractNum w:abstractNumId="1">
    <w:nsid w:val="00000001"/>
    <w:multiLevelType w:val="singleLevel"/>
    <w:tmpl w:val="00000001"/>
    <w:lvl w:ilvl="0" w:tentative="0">
      <w:start w:val="5"/>
      <w:numFmt w:val="decimal"/>
      <w:suff w:val="nothing"/>
      <w:lvlText w:val="%1、"/>
      <w:lvlJc w:val="left"/>
    </w:lvl>
  </w:abstractNum>
  <w:abstractNum w:abstractNumId="2">
    <w:nsid w:val="00000002"/>
    <w:multiLevelType w:val="singleLevel"/>
    <w:tmpl w:val="00000002"/>
    <w:lvl w:ilvl="0" w:tentative="0">
      <w:start w:val="2"/>
      <w:numFmt w:val="chineseCounting"/>
      <w:suff w:val="nothing"/>
      <w:lvlText w:val="%1、"/>
      <w:lvlJc w:val="left"/>
      <w:rPr>
        <w:rFonts w:hint="eastAsia"/>
      </w:rPr>
    </w:lvl>
  </w:abstractNum>
  <w:abstractNum w:abstractNumId="3">
    <w:nsid w:val="16CF5C96"/>
    <w:multiLevelType w:val="singleLevel"/>
    <w:tmpl w:val="16CF5C96"/>
    <w:lvl w:ilvl="0" w:tentative="0">
      <w:start w:val="2"/>
      <w:numFmt w:val="chineseCounting"/>
      <w:suff w:val="space"/>
      <w:lvlText w:val="第%1章"/>
      <w:lvlJc w:val="left"/>
      <w:rPr>
        <w:rFonts w:hint="eastAsia"/>
      </w:rPr>
    </w:lvl>
  </w:abstractNum>
  <w:abstractNum w:abstractNumId="4">
    <w:nsid w:val="24742DC4"/>
    <w:multiLevelType w:val="multilevel"/>
    <w:tmpl w:val="24742DC4"/>
    <w:lvl w:ilvl="0" w:tentative="0">
      <w:start w:val="1"/>
      <w:numFmt w:val="chineseCountingThousand"/>
      <w:suff w:val="space"/>
      <w:lvlText w:val="第%1章"/>
      <w:lvlJc w:val="left"/>
      <w:pPr>
        <w:ind w:left="2835"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isLgl/>
      <w:suff w:val="space"/>
      <w:lvlText w:val="%1.%2.%3"/>
      <w:lvlJc w:val="left"/>
      <w:pPr>
        <w:ind w:left="284" w:firstLine="0"/>
      </w:pPr>
      <w:rPr>
        <w:rFonts w:hint="eastAsia"/>
        <w:color w:val="auto"/>
      </w:rPr>
    </w:lvl>
    <w:lvl w:ilvl="3" w:tentative="0">
      <w:start w:val="1"/>
      <w:numFmt w:val="decimal"/>
      <w:pStyle w:val="4"/>
      <w:isLgl/>
      <w:suff w:val="space"/>
      <w:lvlText w:val="%1.%2.%3.%4"/>
      <w:lvlJc w:val="left"/>
      <w:pPr>
        <w:ind w:left="0" w:firstLine="0"/>
      </w:pPr>
      <w:rPr>
        <w:rFonts w:hint="eastAsia"/>
        <w:color w:val="auto"/>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46C3B"/>
    <w:rsid w:val="054443A5"/>
    <w:rsid w:val="0E0C5C72"/>
    <w:rsid w:val="322016C5"/>
    <w:rsid w:val="4F153C5C"/>
    <w:rsid w:val="55206C5C"/>
    <w:rsid w:val="6AFF3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22"/>
    <w:qFormat/>
    <w:uiPriority w:val="0"/>
    <w:pPr>
      <w:keepNext/>
      <w:keepLines/>
      <w:adjustRightInd w:val="0"/>
      <w:snapToGrid w:val="0"/>
      <w:spacing w:line="360" w:lineRule="auto"/>
      <w:outlineLvl w:val="1"/>
    </w:pPr>
    <w:rPr>
      <w:rFonts w:ascii="宋体" w:hAnsi="宋体"/>
      <w:sz w:val="28"/>
      <w:szCs w:val="20"/>
    </w:rPr>
  </w:style>
  <w:style w:type="paragraph" w:styleId="4">
    <w:name w:val="heading 4"/>
    <w:basedOn w:val="1"/>
    <w:next w:val="1"/>
    <w:unhideWhenUsed/>
    <w:qFormat/>
    <w:uiPriority w:val="0"/>
    <w:pPr>
      <w:numPr>
        <w:ilvl w:val="3"/>
        <w:numId w:val="1"/>
      </w:numPr>
      <w:spacing w:before="280" w:after="290"/>
      <w:outlineLvl w:val="3"/>
    </w:pPr>
    <w:rPr>
      <w:rFonts w:ascii="Calibri" w:hAnsi="Calibri" w:eastAsia="宋体" w:cs="宋体"/>
      <w:szCs w:val="28"/>
    </w:rPr>
  </w:style>
  <w:style w:type="character" w:default="1" w:styleId="15">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customStyle="1" w:styleId="2">
    <w:name w:val="无间隔1"/>
    <w:basedOn w:val="1"/>
    <w:qFormat/>
    <w:uiPriority w:val="1"/>
    <w:pPr>
      <w:spacing w:line="400" w:lineRule="exact"/>
    </w:pPr>
    <w:rPr>
      <w:sz w:val="24"/>
    </w:rPr>
  </w:style>
  <w:style w:type="paragraph" w:styleId="5">
    <w:name w:val="annotation text"/>
    <w:basedOn w:val="1"/>
    <w:link w:val="23"/>
    <w:qFormat/>
    <w:uiPriority w:val="0"/>
    <w:pPr>
      <w:jc w:val="left"/>
    </w:pPr>
  </w:style>
  <w:style w:type="paragraph" w:styleId="6">
    <w:name w:val="Body Text"/>
    <w:basedOn w:val="1"/>
    <w:qFormat/>
    <w:uiPriority w:val="0"/>
    <w:pPr>
      <w:spacing w:after="120"/>
    </w:pPr>
  </w:style>
  <w:style w:type="paragraph" w:styleId="7">
    <w:name w:val="Body Text Indent"/>
    <w:basedOn w:val="1"/>
    <w:link w:val="24"/>
    <w:qFormat/>
    <w:uiPriority w:val="0"/>
    <w:pPr>
      <w:spacing w:after="120"/>
      <w:ind w:left="420" w:leftChars="200"/>
    </w:pPr>
    <w:rPr>
      <w:sz w:val="28"/>
      <w:szCs w:val="20"/>
    </w:rPr>
  </w:style>
  <w:style w:type="paragraph" w:styleId="8">
    <w:name w:val="Date"/>
    <w:basedOn w:val="1"/>
    <w:next w:val="1"/>
    <w:link w:val="25"/>
    <w:qFormat/>
    <w:uiPriority w:val="0"/>
    <w:rPr>
      <w:kern w:val="0"/>
      <w:sz w:val="28"/>
      <w:szCs w:val="20"/>
    </w:rPr>
  </w:style>
  <w:style w:type="paragraph" w:styleId="9">
    <w:name w:val="footer"/>
    <w:basedOn w:val="1"/>
    <w:link w:val="26"/>
    <w:qFormat/>
    <w:uiPriority w:val="0"/>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link w:val="3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2">
    <w:name w:val="Normal (Web)"/>
    <w:basedOn w:val="1"/>
    <w:qFormat/>
    <w:uiPriority w:val="0"/>
    <w:pPr>
      <w:spacing w:before="100" w:beforeAutospacing="1" w:after="100" w:afterAutospacing="1"/>
      <w:jc w:val="left"/>
    </w:pPr>
    <w:rPr>
      <w:kern w:val="0"/>
      <w:sz w:val="24"/>
    </w:rPr>
  </w:style>
  <w:style w:type="paragraph" w:styleId="13">
    <w:name w:val="Body Text First Indent"/>
    <w:basedOn w:val="6"/>
    <w:qFormat/>
    <w:uiPriority w:val="0"/>
    <w:pPr>
      <w:spacing w:line="312" w:lineRule="auto"/>
      <w:ind w:firstLine="420"/>
    </w:pPr>
    <w:rPr>
      <w:rFonts w:ascii="Calibri" w:hAnsi="Calibri"/>
    </w:rPr>
  </w:style>
  <w:style w:type="character" w:styleId="16">
    <w:name w:val="Strong"/>
    <w:basedOn w:val="15"/>
    <w:qFormat/>
    <w:uiPriority w:val="0"/>
    <w:rPr>
      <w:b/>
      <w:bCs/>
    </w:rPr>
  </w:style>
  <w:style w:type="character" w:styleId="17">
    <w:name w:val="page number"/>
    <w:basedOn w:val="15"/>
    <w:qFormat/>
    <w:uiPriority w:val="0"/>
  </w:style>
  <w:style w:type="paragraph" w:customStyle="1" w:styleId="18">
    <w:name w:val="No Spacing_db4561c2-8015-45a4-bc6f-01aed3a312e3"/>
    <w:basedOn w:val="1"/>
    <w:qFormat/>
    <w:uiPriority w:val="1"/>
    <w:pPr>
      <w:spacing w:line="400" w:lineRule="exact"/>
    </w:pPr>
    <w:rPr>
      <w:sz w:val="24"/>
    </w:rPr>
  </w:style>
  <w:style w:type="paragraph" w:customStyle="1" w:styleId="19">
    <w:name w:val="列出段落1"/>
    <w:basedOn w:val="1"/>
    <w:qFormat/>
    <w:uiPriority w:val="34"/>
    <w:pPr>
      <w:ind w:firstLine="420" w:firstLineChars="200"/>
    </w:pPr>
  </w:style>
  <w:style w:type="paragraph" w:customStyle="1" w:styleId="20">
    <w:name w:val="列出段落11"/>
    <w:basedOn w:val="1"/>
    <w:qFormat/>
    <w:uiPriority w:val="0"/>
    <w:pPr>
      <w:ind w:firstLine="420" w:firstLineChars="200"/>
    </w:pPr>
  </w:style>
  <w:style w:type="paragraph" w:customStyle="1" w:styleId="21">
    <w:name w:val="_Style 3"/>
    <w:basedOn w:val="1"/>
    <w:qFormat/>
    <w:uiPriority w:val="99"/>
    <w:pPr>
      <w:ind w:firstLine="200" w:firstLineChars="200"/>
    </w:pPr>
    <w:rPr>
      <w:rFonts w:ascii="Calibri" w:hAnsi="Calibri"/>
      <w:szCs w:val="22"/>
    </w:rPr>
  </w:style>
  <w:style w:type="character" w:customStyle="1" w:styleId="22">
    <w:name w:val="标题 2 Char"/>
    <w:basedOn w:val="15"/>
    <w:link w:val="3"/>
    <w:qFormat/>
    <w:uiPriority w:val="0"/>
    <w:rPr>
      <w:rFonts w:ascii="宋体" w:hAnsi="宋体" w:eastAsia="宋体" w:cs="Times New Roman"/>
      <w:sz w:val="28"/>
      <w:szCs w:val="20"/>
    </w:rPr>
  </w:style>
  <w:style w:type="character" w:customStyle="1" w:styleId="23">
    <w:name w:val="批注文字 Char"/>
    <w:basedOn w:val="15"/>
    <w:link w:val="5"/>
    <w:qFormat/>
    <w:uiPriority w:val="0"/>
    <w:rPr>
      <w:rFonts w:ascii="Times New Roman" w:hAnsi="Times New Roman" w:eastAsia="宋体" w:cs="Times New Roman"/>
      <w:szCs w:val="24"/>
    </w:rPr>
  </w:style>
  <w:style w:type="character" w:customStyle="1" w:styleId="24">
    <w:name w:val="正文文本缩进 Char"/>
    <w:basedOn w:val="15"/>
    <w:link w:val="7"/>
    <w:qFormat/>
    <w:uiPriority w:val="0"/>
    <w:rPr>
      <w:rFonts w:ascii="Times New Roman" w:hAnsi="Times New Roman" w:eastAsia="宋体" w:cs="Times New Roman"/>
      <w:sz w:val="28"/>
      <w:szCs w:val="20"/>
    </w:rPr>
  </w:style>
  <w:style w:type="character" w:customStyle="1" w:styleId="25">
    <w:name w:val="日期 Char"/>
    <w:basedOn w:val="15"/>
    <w:link w:val="8"/>
    <w:qFormat/>
    <w:uiPriority w:val="0"/>
    <w:rPr>
      <w:rFonts w:ascii="Times New Roman" w:hAnsi="Times New Roman" w:eastAsia="宋体" w:cs="Times New Roman"/>
      <w:kern w:val="0"/>
      <w:sz w:val="28"/>
      <w:szCs w:val="20"/>
    </w:rPr>
  </w:style>
  <w:style w:type="character" w:customStyle="1" w:styleId="26">
    <w:name w:val="页脚 Char"/>
    <w:basedOn w:val="15"/>
    <w:link w:val="9"/>
    <w:qFormat/>
    <w:uiPriority w:val="0"/>
    <w:rPr>
      <w:rFonts w:ascii="Times New Roman" w:hAnsi="Times New Roman" w:eastAsia="宋体" w:cs="Times New Roman"/>
      <w:sz w:val="18"/>
      <w:szCs w:val="18"/>
    </w:rPr>
  </w:style>
  <w:style w:type="character" w:customStyle="1" w:styleId="27">
    <w:name w:val="页眉 Char"/>
    <w:basedOn w:val="15"/>
    <w:link w:val="10"/>
    <w:qFormat/>
    <w:uiPriority w:val="0"/>
    <w:rPr>
      <w:rFonts w:ascii="Times New Roman" w:hAnsi="Times New Roman" w:eastAsia="宋体" w:cs="Times New Roman"/>
      <w:sz w:val="18"/>
      <w:szCs w:val="18"/>
    </w:rPr>
  </w:style>
  <w:style w:type="character" w:customStyle="1" w:styleId="28">
    <w:name w:val="日期 Char1"/>
    <w:basedOn w:val="15"/>
    <w:qFormat/>
    <w:uiPriority w:val="99"/>
    <w:rPr>
      <w:rFonts w:ascii="Times New Roman" w:hAnsi="Times New Roman" w:eastAsia="宋体" w:cs="Times New Roman"/>
      <w:szCs w:val="24"/>
    </w:rPr>
  </w:style>
  <w:style w:type="character" w:customStyle="1" w:styleId="29">
    <w:name w:val="txt1"/>
    <w:basedOn w:val="15"/>
    <w:qFormat/>
    <w:uiPriority w:val="0"/>
    <w:rPr>
      <w:rFonts w:hint="eastAsia" w:ascii="宋体" w:hAnsi="宋体" w:eastAsia="宋体"/>
      <w:sz w:val="22"/>
      <w:szCs w:val="22"/>
    </w:rPr>
  </w:style>
  <w:style w:type="character" w:customStyle="1" w:styleId="30">
    <w:name w:val="HTML 预设格式 Char"/>
    <w:basedOn w:val="15"/>
    <w:link w:val="11"/>
    <w:qFormat/>
    <w:uiPriority w:val="0"/>
    <w:rPr>
      <w:rFonts w:ascii="宋体" w:hAnsi="宋体" w:cs="宋体"/>
      <w:sz w:val="24"/>
      <w:szCs w:val="24"/>
    </w:rPr>
  </w:style>
  <w:style w:type="paragraph" w:customStyle="1" w:styleId="31">
    <w:name w:val="p15"/>
    <w:basedOn w:val="1"/>
    <w:qFormat/>
    <w:uiPriority w:val="0"/>
    <w:pPr>
      <w:widowControl/>
    </w:pPr>
    <w:rPr>
      <w:kern w:val="0"/>
      <w:szCs w:val="21"/>
    </w:rPr>
  </w:style>
  <w:style w:type="paragraph" w:styleId="32">
    <w:name w:val="List Paragraph"/>
    <w:basedOn w:val="1"/>
    <w:qFormat/>
    <w:uiPriority w:val="99"/>
    <w:pPr>
      <w:ind w:firstLine="420" w:firstLineChars="200"/>
    </w:pPr>
  </w:style>
  <w:style w:type="paragraph" w:customStyle="1" w:styleId="33">
    <w:name w:val="No Spacing_05fec6c1-3139-4818-a75e-d5acbb3afc1e"/>
    <w:basedOn w:val="1"/>
    <w:qFormat/>
    <w:uiPriority w:val="1"/>
    <w:pPr>
      <w:spacing w:after="0" w:line="400" w:lineRule="exact"/>
    </w:pPr>
    <w:rPr>
      <w:rFonts w:eastAsia="宋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37</Pages>
  <Words>27249</Words>
  <Characters>28265</Characters>
  <Paragraphs>954</Paragraphs>
  <TotalTime>16</TotalTime>
  <ScaleCrop>false</ScaleCrop>
  <LinksUpToDate>false</LinksUpToDate>
  <CharactersWithSpaces>29505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2019-07-15T01:35:00Z</dcterms:created>
  <dc:creator>gfreyt</dc:creator>
  <cp:lastModifiedBy>三少</cp:lastModifiedBy>
  <cp:lastPrinted>2022-04-06T08:44:32Z</cp:lastPrinted>
  <dcterms:modified xsi:type="dcterms:W3CDTF">2022-04-06T08:48:37Z</dcterms:modified>
  <dc:title>政府采购</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75DACB22872E4B00858E9EB02D8216BF</vt:lpwstr>
  </property>
</Properties>
</file>