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B04CA">
      <w:pPr>
        <w:spacing w:line="1600" w:lineRule="exact"/>
        <w:jc w:val="center"/>
        <w:rPr>
          <w:rFonts w:ascii="宋体" w:hAnsi="宋体"/>
          <w:color w:val="000000"/>
          <w:sz w:val="84"/>
          <w:szCs w:val="84"/>
        </w:rPr>
      </w:pPr>
      <w:bookmarkStart w:id="43" w:name="_GoBack"/>
      <w:bookmarkEnd w:id="43"/>
    </w:p>
    <w:p w14:paraId="592413F6">
      <w:pPr>
        <w:spacing w:line="1600" w:lineRule="exact"/>
        <w:jc w:val="center"/>
        <w:rPr>
          <w:rFonts w:ascii="宋体" w:hAnsi="宋体"/>
          <w:color w:val="000000"/>
          <w:sz w:val="84"/>
          <w:szCs w:val="84"/>
        </w:rPr>
      </w:pPr>
      <w:r>
        <w:rPr>
          <w:rFonts w:hint="eastAsia" w:ascii="宋体" w:hAnsi="宋体"/>
          <w:color w:val="000000"/>
          <w:sz w:val="84"/>
          <w:szCs w:val="84"/>
        </w:rPr>
        <w:t>招 标 文 件</w:t>
      </w:r>
    </w:p>
    <w:p w14:paraId="06B23A09">
      <w:pPr>
        <w:spacing w:line="1600" w:lineRule="exact"/>
        <w:jc w:val="center"/>
        <w:rPr>
          <w:rFonts w:ascii="宋体" w:hAnsi="宋体"/>
          <w:color w:val="000000"/>
          <w:sz w:val="84"/>
          <w:szCs w:val="84"/>
        </w:rPr>
      </w:pPr>
    </w:p>
    <w:p w14:paraId="3989A620">
      <w:pPr>
        <w:spacing w:line="600" w:lineRule="exact"/>
        <w:rPr>
          <w:rFonts w:ascii="宋体" w:hAnsi="宋体"/>
          <w:color w:val="000000"/>
          <w:sz w:val="84"/>
          <w:szCs w:val="84"/>
        </w:rPr>
      </w:pPr>
      <w:r>
        <w:rPr>
          <w:rFonts w:hint="eastAsia" w:ascii="仿宋_GB2312" w:eastAsia="仿宋_GB2312"/>
          <w:color w:val="000000"/>
          <w:sz w:val="32"/>
          <w:szCs w:val="32"/>
        </w:rPr>
        <w:t>项目名称：</w:t>
      </w:r>
      <w:r>
        <w:rPr>
          <w:rFonts w:hint="eastAsia" w:ascii="仿宋_GB2312" w:eastAsia="仿宋_GB2312"/>
          <w:color w:val="000000"/>
          <w:sz w:val="32"/>
          <w:szCs w:val="32"/>
          <w:lang w:eastAsia="zh-CN"/>
        </w:rPr>
        <w:t>渝能新城</w:t>
      </w:r>
      <w:r>
        <w:rPr>
          <w:rFonts w:hint="eastAsia" w:ascii="仿宋_GB2312" w:eastAsia="仿宋_GB2312"/>
          <w:color w:val="000000"/>
          <w:sz w:val="32"/>
          <w:szCs w:val="32"/>
        </w:rPr>
        <w:t>前期物业管理服务</w:t>
      </w:r>
    </w:p>
    <w:p w14:paraId="4C377F8F">
      <w:pPr>
        <w:spacing w:line="600" w:lineRule="exact"/>
        <w:ind w:right="-372"/>
        <w:rPr>
          <w:rFonts w:ascii="仿宋_GB2312" w:eastAsia="仿宋_GB2312"/>
          <w:color w:val="000000"/>
          <w:sz w:val="32"/>
          <w:szCs w:val="32"/>
        </w:rPr>
      </w:pPr>
      <w:r>
        <w:rPr>
          <w:rFonts w:hint="eastAsia" w:ascii="仿宋_GB2312" w:eastAsia="仿宋_GB2312"/>
          <w:color w:val="000000"/>
          <w:sz w:val="32"/>
          <w:szCs w:val="32"/>
        </w:rPr>
        <w:t>招标编号：</w:t>
      </w:r>
      <w:r>
        <w:rPr>
          <w:rFonts w:hint="eastAsia" w:ascii="仿宋_GB2312" w:eastAsia="仿宋_GB2312"/>
          <w:sz w:val="32"/>
          <w:szCs w:val="32"/>
          <w:lang w:val="en-US" w:eastAsia="zh-CN"/>
        </w:rPr>
        <w:t>YYNZX</w:t>
      </w:r>
      <w:r>
        <w:rPr>
          <w:rFonts w:hint="eastAsia" w:ascii="仿宋_GB2312" w:eastAsia="仿宋_GB2312"/>
          <w:sz w:val="32"/>
          <w:szCs w:val="32"/>
        </w:rPr>
        <w:t>2021-</w:t>
      </w:r>
      <w:r>
        <w:rPr>
          <w:rFonts w:hint="eastAsia" w:ascii="仿宋_GB2312" w:eastAsia="仿宋_GB2312"/>
          <w:sz w:val="32"/>
          <w:szCs w:val="32"/>
          <w:lang w:val="en-US" w:eastAsia="zh-CN"/>
        </w:rPr>
        <w:t>8</w:t>
      </w:r>
      <w:r>
        <w:rPr>
          <w:rFonts w:hint="eastAsia" w:ascii="仿宋_GB2312" w:eastAsia="仿宋_GB2312"/>
          <w:sz w:val="32"/>
          <w:szCs w:val="32"/>
        </w:rPr>
        <w:t>-1</w:t>
      </w:r>
    </w:p>
    <w:p w14:paraId="1F8FE53F">
      <w:pPr>
        <w:spacing w:line="600" w:lineRule="exact"/>
        <w:rPr>
          <w:rFonts w:ascii="仿宋_GB2312" w:eastAsia="仿宋_GB2312"/>
          <w:color w:val="000000"/>
          <w:sz w:val="32"/>
          <w:szCs w:val="32"/>
        </w:rPr>
      </w:pPr>
      <w:r>
        <w:rPr>
          <w:rFonts w:hint="eastAsia" w:ascii="仿宋_GB2312" w:eastAsia="仿宋_GB2312"/>
          <w:color w:val="000000"/>
          <w:sz w:val="32"/>
          <w:szCs w:val="32"/>
        </w:rPr>
        <w:t>招标方式：公开招标</w:t>
      </w:r>
    </w:p>
    <w:p w14:paraId="0AD0A0A5">
      <w:pPr>
        <w:spacing w:before="100" w:beforeAutospacing="1" w:after="100" w:afterAutospacing="1" w:line="500" w:lineRule="exact"/>
        <w:ind w:firstLine="1120" w:firstLineChars="350"/>
        <w:jc w:val="center"/>
        <w:rPr>
          <w:rFonts w:ascii="仿宋_GB2312" w:eastAsia="仿宋_GB2312"/>
          <w:color w:val="000000"/>
          <w:sz w:val="32"/>
          <w:szCs w:val="32"/>
        </w:rPr>
      </w:pPr>
    </w:p>
    <w:p w14:paraId="5C9B7D47">
      <w:pPr>
        <w:spacing w:line="500" w:lineRule="exact"/>
        <w:ind w:firstLine="1120" w:firstLineChars="350"/>
        <w:jc w:val="center"/>
        <w:rPr>
          <w:rFonts w:ascii="仿宋_GB2312" w:eastAsia="仿宋_GB2312"/>
          <w:color w:val="000000"/>
          <w:sz w:val="32"/>
          <w:szCs w:val="32"/>
        </w:rPr>
      </w:pPr>
    </w:p>
    <w:p w14:paraId="39CBA1B7">
      <w:pPr>
        <w:spacing w:line="500" w:lineRule="exact"/>
        <w:ind w:firstLine="1120" w:firstLineChars="350"/>
        <w:jc w:val="center"/>
        <w:rPr>
          <w:rFonts w:ascii="仿宋_GB2312" w:eastAsia="仿宋_GB2312"/>
          <w:color w:val="000000"/>
          <w:sz w:val="32"/>
          <w:szCs w:val="32"/>
        </w:rPr>
      </w:pPr>
    </w:p>
    <w:p w14:paraId="62F6856A">
      <w:pPr>
        <w:spacing w:line="500" w:lineRule="exact"/>
        <w:ind w:firstLine="1120" w:firstLineChars="350"/>
        <w:jc w:val="center"/>
        <w:rPr>
          <w:rFonts w:ascii="仿宋_GB2312" w:eastAsia="仿宋_GB2312"/>
          <w:color w:val="000000"/>
          <w:sz w:val="32"/>
          <w:szCs w:val="32"/>
        </w:rPr>
      </w:pPr>
    </w:p>
    <w:p w14:paraId="13021178">
      <w:pPr>
        <w:spacing w:line="500" w:lineRule="exact"/>
        <w:ind w:firstLine="1120" w:firstLineChars="350"/>
        <w:jc w:val="center"/>
        <w:rPr>
          <w:rFonts w:ascii="仿宋_GB2312" w:eastAsia="仿宋_GB2312"/>
          <w:color w:val="000000"/>
          <w:sz w:val="32"/>
          <w:szCs w:val="32"/>
        </w:rPr>
      </w:pPr>
    </w:p>
    <w:p w14:paraId="5F7C23C5">
      <w:pPr>
        <w:spacing w:line="500" w:lineRule="exact"/>
        <w:ind w:firstLine="1050" w:firstLineChars="350"/>
        <w:rPr>
          <w:rFonts w:hint="eastAsia" w:ascii="仿宋_GB2312" w:eastAsia="仿宋_GB2312"/>
          <w:color w:val="000000"/>
          <w:sz w:val="30"/>
          <w:szCs w:val="30"/>
          <w:lang w:eastAsia="zh-CN"/>
        </w:rPr>
      </w:pPr>
      <w:r>
        <w:rPr>
          <w:rFonts w:hint="eastAsia" w:ascii="仿宋_GB2312" w:eastAsia="仿宋_GB2312"/>
          <w:color w:val="000000"/>
          <w:sz w:val="30"/>
          <w:szCs w:val="30"/>
        </w:rPr>
        <w:t>招   标   人：</w:t>
      </w:r>
      <w:r>
        <w:rPr>
          <w:rFonts w:hint="eastAsia" w:ascii="仿宋_GB2312" w:eastAsia="仿宋_GB2312"/>
          <w:color w:val="000000"/>
          <w:sz w:val="30"/>
          <w:szCs w:val="30"/>
          <w:lang w:eastAsia="zh-CN"/>
        </w:rPr>
        <w:t>重庆博宁房地产开发有限公司</w:t>
      </w:r>
    </w:p>
    <w:p w14:paraId="39E5212E">
      <w:pPr>
        <w:spacing w:line="500" w:lineRule="exact"/>
        <w:ind w:firstLine="1050" w:firstLineChars="350"/>
        <w:rPr>
          <w:rFonts w:ascii="仿宋_GB2312" w:eastAsia="仿宋_GB2312"/>
          <w:color w:val="000000"/>
          <w:sz w:val="30"/>
          <w:szCs w:val="30"/>
        </w:rPr>
      </w:pPr>
      <w:r>
        <w:rPr>
          <w:rFonts w:hint="eastAsia" w:ascii="仿宋_GB2312" w:eastAsia="仿宋_GB2312"/>
          <w:color w:val="000000"/>
          <w:sz w:val="30"/>
          <w:szCs w:val="30"/>
        </w:rPr>
        <w:t>招标代理机构：重庆</w:t>
      </w:r>
      <w:r>
        <w:rPr>
          <w:rFonts w:hint="eastAsia" w:ascii="仿宋_GB2312" w:eastAsia="仿宋_GB2312"/>
          <w:color w:val="000000"/>
          <w:sz w:val="30"/>
          <w:szCs w:val="30"/>
          <w:lang w:val="en-US" w:eastAsia="zh-CN"/>
        </w:rPr>
        <w:t>奕有诺</w:t>
      </w:r>
      <w:r>
        <w:rPr>
          <w:rFonts w:hint="eastAsia" w:ascii="仿宋_GB2312" w:eastAsia="仿宋_GB2312"/>
          <w:color w:val="000000"/>
          <w:sz w:val="30"/>
          <w:szCs w:val="30"/>
        </w:rPr>
        <w:t>企业管理咨询服务有限公司</w:t>
      </w:r>
    </w:p>
    <w:p w14:paraId="1ECCE0D3">
      <w:pPr>
        <w:keepNext/>
        <w:snapToGrid w:val="0"/>
        <w:spacing w:beforeLines="100" w:afterLines="50" w:line="800" w:lineRule="atLeast"/>
        <w:jc w:val="center"/>
        <w:outlineLvl w:val="0"/>
        <w:rPr>
          <w:rFonts w:ascii="仿宋_GB2312" w:eastAsia="仿宋_GB2312"/>
          <w:b/>
          <w:bCs/>
          <w:color w:val="000000"/>
          <w:sz w:val="32"/>
          <w:szCs w:val="32"/>
        </w:rPr>
      </w:pPr>
      <w:r>
        <w:rPr>
          <w:rFonts w:hint="eastAsia" w:ascii="仿宋_GB2312" w:eastAsia="仿宋_GB2312"/>
          <w:b/>
          <w:bCs/>
          <w:color w:val="000000"/>
          <w:sz w:val="32"/>
          <w:szCs w:val="32"/>
        </w:rPr>
        <w:t>2021年</w:t>
      </w:r>
      <w:r>
        <w:rPr>
          <w:rFonts w:hint="eastAsia" w:ascii="仿宋_GB2312" w:eastAsia="仿宋_GB2312"/>
          <w:b/>
          <w:bCs/>
          <w:color w:val="000000"/>
          <w:sz w:val="32"/>
          <w:szCs w:val="32"/>
          <w:lang w:val="en-US" w:eastAsia="zh-CN"/>
        </w:rPr>
        <w:t>8</w:t>
      </w:r>
      <w:r>
        <w:rPr>
          <w:rFonts w:hint="eastAsia" w:ascii="仿宋_GB2312" w:eastAsia="仿宋_GB2312"/>
          <w:b/>
          <w:bCs/>
          <w:color w:val="000000"/>
          <w:sz w:val="32"/>
          <w:szCs w:val="32"/>
        </w:rPr>
        <w:t>月</w:t>
      </w:r>
    </w:p>
    <w:p w14:paraId="387ED821">
      <w:pPr>
        <w:widowControl/>
        <w:jc w:val="left"/>
        <w:rPr>
          <w:rFonts w:ascii="宋体" w:hAnsi="宋体" w:cs="宋体"/>
          <w:color w:val="000000"/>
          <w:sz w:val="32"/>
          <w:szCs w:val="32"/>
        </w:rPr>
        <w:sectPr>
          <w:headerReference r:id="rId3" w:type="default"/>
          <w:footerReference r:id="rId4" w:type="default"/>
          <w:footerReference r:id="rId5" w:type="even"/>
          <w:pgSz w:w="11907" w:h="16840"/>
          <w:pgMar w:top="1440" w:right="1797" w:bottom="1440" w:left="1797" w:header="720" w:footer="720" w:gutter="0"/>
          <w:cols w:space="720" w:num="1"/>
          <w:docGrid w:type="lines" w:linePitch="312" w:charSpace="0"/>
        </w:sectPr>
      </w:pPr>
    </w:p>
    <w:p w14:paraId="556C6052">
      <w:pPr>
        <w:snapToGrid w:val="0"/>
        <w:spacing w:line="500" w:lineRule="exact"/>
        <w:jc w:val="center"/>
        <w:rPr>
          <w:rFonts w:ascii="宋体" w:hAnsi="宋体"/>
          <w:color w:val="000000"/>
          <w:sz w:val="32"/>
          <w:szCs w:val="32"/>
        </w:rPr>
      </w:pPr>
      <w:r>
        <w:rPr>
          <w:rFonts w:hint="eastAsia" w:ascii="宋体" w:hAnsi="宋体"/>
          <w:color w:val="000000"/>
          <w:sz w:val="32"/>
          <w:szCs w:val="32"/>
        </w:rPr>
        <w:t>目    录</w:t>
      </w:r>
    </w:p>
    <w:p w14:paraId="6CE72134">
      <w:pPr>
        <w:spacing w:before="120" w:after="120"/>
        <w:jc w:val="left"/>
        <w:rPr>
          <w:rFonts w:ascii="宋体" w:hAnsi="宋体"/>
          <w:caps/>
          <w:color w:val="000000"/>
          <w:szCs w:val="21"/>
        </w:rPr>
      </w:pPr>
      <w:r>
        <w:rPr>
          <w:rFonts w:hint="eastAsia" w:ascii="宋体" w:hAnsi="宋体"/>
          <w:caps/>
          <w:color w:val="000000"/>
          <w:szCs w:val="21"/>
        </w:rPr>
        <w:t>第一篇 投标邀请书</w:t>
      </w:r>
      <w:r>
        <w:rPr>
          <w:rFonts w:ascii="宋体" w:hAnsi="宋体"/>
          <w:caps/>
          <w:color w:val="000000"/>
          <w:szCs w:val="21"/>
        </w:rPr>
        <w:t>………………………………………………………………………………</w:t>
      </w:r>
      <w:r>
        <w:rPr>
          <w:caps/>
          <w:color w:val="000000"/>
          <w:szCs w:val="21"/>
        </w:rPr>
        <w:tab/>
      </w:r>
      <w:r>
        <w:rPr>
          <w:rFonts w:hint="eastAsia"/>
          <w:caps/>
          <w:color w:val="000000"/>
          <w:szCs w:val="21"/>
        </w:rPr>
        <w:t>4</w:t>
      </w:r>
    </w:p>
    <w:p w14:paraId="45FE45E5">
      <w:pPr>
        <w:spacing w:before="120" w:after="120"/>
        <w:jc w:val="left"/>
        <w:rPr>
          <w:color w:val="000000"/>
          <w:szCs w:val="21"/>
        </w:rPr>
      </w:pPr>
      <w:r>
        <w:rPr>
          <w:rFonts w:hint="eastAsia" w:ascii="宋体" w:hAnsi="宋体"/>
          <w:caps/>
          <w:color w:val="000000"/>
          <w:szCs w:val="21"/>
        </w:rPr>
        <w:t>第二篇 项目介绍和服务要求</w:t>
      </w:r>
      <w:r>
        <w:rPr>
          <w:rFonts w:ascii="宋体" w:hAnsi="宋体"/>
          <w:caps/>
          <w:color w:val="000000"/>
          <w:szCs w:val="21"/>
        </w:rPr>
        <w:t>……………………………………………………………………</w:t>
      </w:r>
      <w:r>
        <w:rPr>
          <w:rFonts w:hint="eastAsia"/>
          <w:caps/>
          <w:color w:val="000000"/>
          <w:szCs w:val="21"/>
        </w:rPr>
        <w:t>6</w:t>
      </w:r>
    </w:p>
    <w:p w14:paraId="0ED5C75E">
      <w:pPr>
        <w:spacing w:before="120" w:after="120"/>
        <w:jc w:val="left"/>
        <w:rPr>
          <w:color w:val="000000"/>
          <w:szCs w:val="21"/>
        </w:rPr>
      </w:pPr>
      <w:r>
        <w:rPr>
          <w:rFonts w:hint="eastAsia" w:ascii="宋体" w:hAnsi="宋体"/>
          <w:caps/>
          <w:color w:val="000000"/>
          <w:szCs w:val="21"/>
        </w:rPr>
        <w:t>第三篇 项目商务要求</w:t>
      </w:r>
      <w:r>
        <w:rPr>
          <w:rFonts w:ascii="宋体" w:hAnsi="宋体"/>
          <w:caps/>
          <w:color w:val="000000"/>
          <w:szCs w:val="21"/>
        </w:rPr>
        <w:t>……………………………………………………………………</w:t>
      </w:r>
      <w:r>
        <w:rPr>
          <w:rFonts w:hint="eastAsia" w:ascii="宋体" w:hAnsi="宋体"/>
          <w:caps/>
          <w:color w:val="000000"/>
          <w:szCs w:val="21"/>
        </w:rPr>
        <w:t>…</w:t>
      </w:r>
      <w:r>
        <w:rPr>
          <w:rFonts w:ascii="宋体" w:hAnsi="宋体"/>
          <w:caps/>
          <w:color w:val="000000"/>
          <w:szCs w:val="21"/>
        </w:rPr>
        <w:t>……</w:t>
      </w:r>
      <w:r>
        <w:rPr>
          <w:rFonts w:hint="eastAsia"/>
          <w:caps/>
          <w:color w:val="000000"/>
          <w:szCs w:val="21"/>
        </w:rPr>
        <w:t>7</w:t>
      </w:r>
    </w:p>
    <w:p w14:paraId="649FFBEC">
      <w:pPr>
        <w:spacing w:before="100" w:beforeAutospacing="1" w:after="100" w:afterAutospacing="1"/>
        <w:ind w:left="280"/>
        <w:jc w:val="left"/>
        <w:rPr>
          <w:rFonts w:ascii="宋体" w:hAnsi="宋体"/>
          <w:color w:val="000000"/>
          <w:szCs w:val="21"/>
        </w:rPr>
      </w:pPr>
      <w:r>
        <w:rPr>
          <w:rFonts w:hint="eastAsia" w:ascii="宋体" w:hAnsi="宋体"/>
          <w:smallCaps/>
          <w:color w:val="000000"/>
          <w:szCs w:val="21"/>
        </w:rPr>
        <w:t>一、服务时间</w:t>
      </w:r>
      <w:r>
        <w:rPr>
          <w:rFonts w:ascii="宋体" w:hAnsi="宋体"/>
          <w:smallCaps/>
          <w:color w:val="000000"/>
          <w:szCs w:val="21"/>
        </w:rPr>
        <w:t>………………………………………………………</w:t>
      </w:r>
      <w:r>
        <w:rPr>
          <w:rFonts w:hint="eastAsia" w:ascii="宋体" w:hAnsi="宋体"/>
          <w:smallCaps/>
          <w:color w:val="000000"/>
          <w:szCs w:val="21"/>
        </w:rPr>
        <w:t>………………………</w:t>
      </w:r>
      <w:r>
        <w:rPr>
          <w:rFonts w:ascii="宋体" w:hAnsi="宋体"/>
          <w:smallCaps/>
          <w:color w:val="000000"/>
          <w:szCs w:val="21"/>
        </w:rPr>
        <w:t>…</w:t>
      </w:r>
      <w:r>
        <w:rPr>
          <w:rFonts w:hint="eastAsia" w:ascii="宋体" w:hAnsi="宋体"/>
          <w:smallCaps/>
          <w:color w:val="000000"/>
          <w:szCs w:val="21"/>
        </w:rPr>
        <w:t xml:space="preserve">    7</w:t>
      </w:r>
    </w:p>
    <w:p w14:paraId="082478E5">
      <w:pPr>
        <w:spacing w:before="100" w:beforeAutospacing="1" w:after="100" w:afterAutospacing="1"/>
        <w:ind w:left="280"/>
        <w:jc w:val="left"/>
        <w:rPr>
          <w:rFonts w:ascii="宋体" w:hAnsi="宋体"/>
          <w:color w:val="000000"/>
          <w:szCs w:val="21"/>
        </w:rPr>
      </w:pPr>
      <w:r>
        <w:rPr>
          <w:rFonts w:hint="eastAsia" w:ascii="宋体" w:hAnsi="宋体"/>
          <w:smallCaps/>
          <w:color w:val="000000"/>
          <w:szCs w:val="21"/>
        </w:rPr>
        <w:t>二、地点</w:t>
      </w:r>
      <w:r>
        <w:rPr>
          <w:rFonts w:ascii="宋体" w:hAnsi="宋体"/>
          <w:smallCaps/>
          <w:color w:val="000000"/>
          <w:szCs w:val="21"/>
        </w:rPr>
        <w:t>…………………………………………………………………</w:t>
      </w:r>
      <w:r>
        <w:rPr>
          <w:rFonts w:hint="eastAsia" w:ascii="宋体" w:hAnsi="宋体"/>
          <w:smallCaps/>
          <w:color w:val="000000"/>
          <w:szCs w:val="21"/>
        </w:rPr>
        <w:t>……………………    7</w:t>
      </w:r>
    </w:p>
    <w:p w14:paraId="1D2F937F">
      <w:pPr>
        <w:spacing w:before="100" w:beforeAutospacing="1" w:after="100" w:afterAutospacing="1"/>
        <w:ind w:left="280"/>
        <w:jc w:val="left"/>
        <w:rPr>
          <w:rFonts w:ascii="宋体" w:hAnsi="宋体"/>
          <w:color w:val="000000"/>
          <w:szCs w:val="21"/>
        </w:rPr>
      </w:pPr>
      <w:r>
        <w:rPr>
          <w:rFonts w:hint="eastAsia" w:ascii="宋体" w:hAnsi="宋体"/>
          <w:smallCaps/>
          <w:color w:val="000000"/>
          <w:szCs w:val="21"/>
        </w:rPr>
        <w:t>三、质量保证及售后服务</w:t>
      </w:r>
      <w:r>
        <w:rPr>
          <w:rFonts w:ascii="宋体" w:hAnsi="宋体"/>
          <w:smallCaps/>
          <w:color w:val="000000"/>
          <w:szCs w:val="21"/>
        </w:rPr>
        <w:t>……………………………………………………………………</w:t>
      </w:r>
      <w:r>
        <w:rPr>
          <w:smallCaps/>
          <w:color w:val="000000"/>
          <w:szCs w:val="21"/>
        </w:rPr>
        <w:tab/>
      </w:r>
      <w:r>
        <w:rPr>
          <w:rFonts w:hint="eastAsia" w:ascii="宋体" w:hAnsi="宋体"/>
          <w:smallCaps/>
          <w:color w:val="000000"/>
          <w:szCs w:val="21"/>
        </w:rPr>
        <w:t>7</w:t>
      </w:r>
    </w:p>
    <w:p w14:paraId="26A2113A">
      <w:pPr>
        <w:spacing w:before="100" w:beforeAutospacing="1" w:after="100" w:afterAutospacing="1"/>
        <w:ind w:left="280"/>
        <w:jc w:val="left"/>
        <w:rPr>
          <w:color w:val="000000"/>
          <w:szCs w:val="21"/>
        </w:rPr>
      </w:pPr>
      <w:r>
        <w:rPr>
          <w:rFonts w:hint="eastAsia" w:ascii="宋体" w:hAnsi="宋体"/>
          <w:smallCaps/>
          <w:color w:val="000000"/>
          <w:szCs w:val="21"/>
        </w:rPr>
        <w:t>四、知识产权</w:t>
      </w:r>
      <w:r>
        <w:rPr>
          <w:rFonts w:ascii="宋体" w:hAnsi="宋体"/>
          <w:smallCaps/>
          <w:color w:val="000000"/>
          <w:szCs w:val="21"/>
        </w:rPr>
        <w:t>…………………………………………………………………………………</w:t>
      </w:r>
      <w:r>
        <w:rPr>
          <w:smallCaps/>
          <w:color w:val="000000"/>
          <w:szCs w:val="21"/>
        </w:rPr>
        <w:tab/>
      </w:r>
      <w:r>
        <w:rPr>
          <w:rFonts w:hint="eastAsia"/>
          <w:smallCaps/>
          <w:color w:val="000000"/>
          <w:szCs w:val="21"/>
        </w:rPr>
        <w:t>7</w:t>
      </w:r>
    </w:p>
    <w:p w14:paraId="06B4BC9D">
      <w:pPr>
        <w:spacing w:before="100" w:beforeAutospacing="1" w:after="100" w:afterAutospacing="1"/>
        <w:ind w:left="280"/>
        <w:jc w:val="left"/>
        <w:rPr>
          <w:color w:val="000000"/>
          <w:szCs w:val="21"/>
        </w:rPr>
      </w:pPr>
      <w:r>
        <w:rPr>
          <w:rFonts w:hint="eastAsia" w:ascii="宋体" w:hAnsi="宋体"/>
          <w:smallCaps/>
          <w:color w:val="000000"/>
          <w:szCs w:val="21"/>
        </w:rPr>
        <w:t>五、其他未尽事宜</w:t>
      </w:r>
      <w:r>
        <w:rPr>
          <w:rFonts w:ascii="宋体" w:hAnsi="宋体"/>
          <w:smallCaps/>
          <w:color w:val="000000"/>
          <w:szCs w:val="21"/>
        </w:rPr>
        <w:t>……………………………………………………………………………</w:t>
      </w:r>
      <w:r>
        <w:rPr>
          <w:smallCaps/>
          <w:color w:val="000000"/>
          <w:szCs w:val="21"/>
        </w:rPr>
        <w:tab/>
      </w:r>
      <w:r>
        <w:rPr>
          <w:rFonts w:hint="eastAsia"/>
          <w:smallCaps/>
          <w:color w:val="000000"/>
          <w:szCs w:val="21"/>
        </w:rPr>
        <w:t>7</w:t>
      </w:r>
    </w:p>
    <w:p w14:paraId="42210926">
      <w:pPr>
        <w:spacing w:before="120" w:after="120"/>
        <w:jc w:val="left"/>
        <w:rPr>
          <w:color w:val="000000"/>
          <w:szCs w:val="21"/>
        </w:rPr>
      </w:pPr>
      <w:r>
        <w:rPr>
          <w:rFonts w:hint="eastAsia" w:ascii="宋体" w:hAnsi="宋体"/>
          <w:caps/>
          <w:color w:val="000000"/>
          <w:szCs w:val="21"/>
        </w:rPr>
        <w:t xml:space="preserve">第四篇 </w:t>
      </w:r>
      <w:r>
        <w:rPr>
          <w:rFonts w:hint="eastAsia" w:ascii="宋体" w:hAnsi="宋体"/>
          <w:caps/>
          <w:color w:val="000000"/>
          <w:kern w:val="36"/>
          <w:szCs w:val="21"/>
        </w:rPr>
        <w:t>评标方法、评标标准、无效投标条款和废标条款</w:t>
      </w:r>
      <w:r>
        <w:rPr>
          <w:rFonts w:ascii="宋体" w:hAnsi="宋体"/>
          <w:caps/>
          <w:color w:val="000000"/>
          <w:kern w:val="36"/>
          <w:szCs w:val="21"/>
        </w:rPr>
        <w:t>……………………………………</w:t>
      </w:r>
      <w:r>
        <w:rPr>
          <w:caps/>
          <w:color w:val="000000"/>
          <w:szCs w:val="21"/>
        </w:rPr>
        <w:tab/>
      </w:r>
      <w:r>
        <w:rPr>
          <w:rFonts w:hint="eastAsia"/>
          <w:caps/>
          <w:color w:val="000000"/>
          <w:szCs w:val="21"/>
        </w:rPr>
        <w:t>7</w:t>
      </w:r>
    </w:p>
    <w:p w14:paraId="0CBCCBA3">
      <w:pPr>
        <w:spacing w:before="100" w:beforeAutospacing="1" w:after="100" w:afterAutospacing="1"/>
        <w:ind w:left="280"/>
        <w:jc w:val="left"/>
        <w:rPr>
          <w:rFonts w:ascii="宋体" w:hAnsi="宋体"/>
          <w:color w:val="000000"/>
          <w:szCs w:val="21"/>
        </w:rPr>
      </w:pPr>
      <w:r>
        <w:rPr>
          <w:rFonts w:hint="eastAsia" w:ascii="宋体" w:hAnsi="宋体"/>
          <w:smallCaps/>
          <w:color w:val="000000"/>
          <w:kern w:val="0"/>
          <w:szCs w:val="21"/>
        </w:rPr>
        <w:t>一、评标方法</w:t>
      </w:r>
      <w:r>
        <w:rPr>
          <w:rFonts w:ascii="宋体" w:hAnsi="宋体"/>
          <w:smallCaps/>
          <w:color w:val="000000"/>
          <w:kern w:val="0"/>
          <w:szCs w:val="21"/>
        </w:rPr>
        <w:t>…………………………………………………………………………………</w:t>
      </w:r>
      <w:r>
        <w:rPr>
          <w:smallCaps/>
          <w:color w:val="000000"/>
          <w:szCs w:val="21"/>
        </w:rPr>
        <w:tab/>
      </w:r>
      <w:r>
        <w:rPr>
          <w:rFonts w:hint="eastAsia" w:ascii="宋体" w:hAnsi="宋体"/>
          <w:smallCaps/>
          <w:color w:val="000000"/>
          <w:szCs w:val="21"/>
        </w:rPr>
        <w:t>7</w:t>
      </w:r>
    </w:p>
    <w:p w14:paraId="3FAD8345">
      <w:pPr>
        <w:spacing w:before="100" w:beforeAutospacing="1" w:after="100" w:afterAutospacing="1"/>
        <w:ind w:left="280"/>
        <w:jc w:val="left"/>
        <w:rPr>
          <w:color w:val="000000"/>
          <w:szCs w:val="21"/>
        </w:rPr>
      </w:pPr>
      <w:r>
        <w:rPr>
          <w:rFonts w:hint="eastAsia" w:ascii="宋体" w:hAnsi="宋体"/>
          <w:smallCaps/>
          <w:color w:val="000000"/>
          <w:kern w:val="0"/>
          <w:szCs w:val="21"/>
        </w:rPr>
        <w:t>二、评标标准</w:t>
      </w:r>
      <w:r>
        <w:rPr>
          <w:rFonts w:ascii="宋体" w:hAnsi="宋体"/>
          <w:smallCaps/>
          <w:color w:val="000000"/>
          <w:kern w:val="0"/>
          <w:szCs w:val="21"/>
        </w:rPr>
        <w:t>…………………………………………………………………………………</w:t>
      </w:r>
      <w:r>
        <w:rPr>
          <w:smallCaps/>
          <w:color w:val="000000"/>
          <w:szCs w:val="21"/>
        </w:rPr>
        <w:tab/>
      </w:r>
      <w:r>
        <w:rPr>
          <w:rFonts w:hint="eastAsia"/>
          <w:smallCaps/>
          <w:color w:val="000000"/>
          <w:szCs w:val="21"/>
        </w:rPr>
        <w:t>9</w:t>
      </w:r>
    </w:p>
    <w:p w14:paraId="25F84A02">
      <w:pPr>
        <w:spacing w:before="100" w:beforeAutospacing="1" w:after="100" w:afterAutospacing="1"/>
        <w:ind w:left="280"/>
        <w:jc w:val="left"/>
        <w:rPr>
          <w:rFonts w:ascii="宋体" w:hAnsi="宋体"/>
          <w:color w:val="000000"/>
          <w:szCs w:val="21"/>
        </w:rPr>
      </w:pPr>
      <w:r>
        <w:rPr>
          <w:rFonts w:hint="eastAsia" w:ascii="宋体" w:hAnsi="宋体"/>
          <w:smallCaps/>
          <w:color w:val="000000"/>
          <w:szCs w:val="21"/>
        </w:rPr>
        <w:t>三、无效投标条款</w:t>
      </w:r>
      <w:r>
        <w:rPr>
          <w:rFonts w:ascii="宋体" w:hAnsi="宋体"/>
          <w:smallCaps/>
          <w:color w:val="000000"/>
          <w:szCs w:val="21"/>
        </w:rPr>
        <w:t>……………………………………………………………………………</w:t>
      </w:r>
      <w:r>
        <w:rPr>
          <w:smallCaps/>
          <w:color w:val="000000"/>
          <w:szCs w:val="21"/>
        </w:rPr>
        <w:tab/>
      </w:r>
      <w:r>
        <w:rPr>
          <w:rFonts w:hint="eastAsia" w:ascii="宋体" w:hAnsi="宋体"/>
          <w:smallCaps/>
          <w:color w:val="000000"/>
          <w:szCs w:val="21"/>
        </w:rPr>
        <w:t>10</w:t>
      </w:r>
    </w:p>
    <w:p w14:paraId="16D2CCE4">
      <w:pPr>
        <w:spacing w:before="100" w:beforeAutospacing="1" w:after="100" w:afterAutospacing="1"/>
        <w:ind w:left="280"/>
        <w:jc w:val="left"/>
        <w:rPr>
          <w:color w:val="000000"/>
          <w:szCs w:val="21"/>
        </w:rPr>
      </w:pPr>
      <w:r>
        <w:rPr>
          <w:rFonts w:hint="eastAsia" w:ascii="宋体" w:hAnsi="宋体"/>
          <w:smallCaps/>
          <w:color w:val="000000"/>
          <w:szCs w:val="21"/>
        </w:rPr>
        <w:t>四、废标条款</w:t>
      </w:r>
      <w:r>
        <w:rPr>
          <w:rFonts w:ascii="宋体" w:hAnsi="宋体"/>
          <w:smallCaps/>
          <w:color w:val="000000"/>
          <w:szCs w:val="21"/>
        </w:rPr>
        <w:t>…………………………………………………………………………………</w:t>
      </w:r>
      <w:r>
        <w:rPr>
          <w:smallCaps/>
          <w:color w:val="000000"/>
          <w:szCs w:val="21"/>
        </w:rPr>
        <w:tab/>
      </w:r>
      <w:r>
        <w:rPr>
          <w:rFonts w:hint="eastAsia"/>
          <w:smallCaps/>
          <w:color w:val="000000"/>
          <w:szCs w:val="21"/>
        </w:rPr>
        <w:t>10</w:t>
      </w:r>
    </w:p>
    <w:p w14:paraId="61155C1C">
      <w:pPr>
        <w:spacing w:before="120" w:after="120"/>
        <w:jc w:val="left"/>
        <w:rPr>
          <w:color w:val="000000"/>
          <w:szCs w:val="21"/>
        </w:rPr>
      </w:pPr>
      <w:r>
        <w:rPr>
          <w:rFonts w:hint="eastAsia" w:ascii="宋体" w:hAnsi="宋体"/>
          <w:caps/>
          <w:color w:val="000000"/>
          <w:szCs w:val="21"/>
        </w:rPr>
        <w:t>第五篇 投标人须知</w:t>
      </w:r>
      <w:r>
        <w:rPr>
          <w:rFonts w:ascii="宋体" w:hAnsi="宋体"/>
          <w:caps/>
          <w:color w:val="000000"/>
          <w:szCs w:val="21"/>
        </w:rPr>
        <w:t>………………………………………………………………………………</w:t>
      </w:r>
      <w:r>
        <w:rPr>
          <w:caps/>
          <w:color w:val="000000"/>
          <w:szCs w:val="21"/>
        </w:rPr>
        <w:tab/>
      </w:r>
      <w:r>
        <w:rPr>
          <w:rFonts w:hint="eastAsia" w:ascii="宋体" w:hAnsi="宋体"/>
          <w:caps/>
          <w:color w:val="000000"/>
          <w:szCs w:val="21"/>
        </w:rPr>
        <w:t>11</w:t>
      </w:r>
    </w:p>
    <w:p w14:paraId="59654685">
      <w:pPr>
        <w:spacing w:before="100" w:beforeAutospacing="1" w:after="100" w:afterAutospacing="1"/>
        <w:ind w:left="280"/>
        <w:jc w:val="left"/>
        <w:rPr>
          <w:color w:val="000000"/>
          <w:szCs w:val="21"/>
        </w:rPr>
      </w:pPr>
      <w:r>
        <w:rPr>
          <w:rFonts w:hint="eastAsia" w:ascii="宋体" w:hAnsi="宋体"/>
          <w:smallCaps/>
          <w:color w:val="000000"/>
          <w:szCs w:val="21"/>
        </w:rPr>
        <w:t>一、投标费用</w:t>
      </w:r>
      <w:r>
        <w:rPr>
          <w:rFonts w:ascii="宋体" w:hAnsi="宋体"/>
          <w:smallCaps/>
          <w:color w:val="000000"/>
          <w:szCs w:val="21"/>
        </w:rPr>
        <w:t>…………………………………………………………………………………</w:t>
      </w:r>
      <w:r>
        <w:rPr>
          <w:smallCaps/>
          <w:color w:val="000000"/>
          <w:szCs w:val="21"/>
        </w:rPr>
        <w:tab/>
      </w:r>
      <w:r>
        <w:rPr>
          <w:rFonts w:hint="eastAsia" w:ascii="宋体" w:hAnsi="宋体"/>
          <w:smallCaps/>
          <w:color w:val="000000"/>
          <w:szCs w:val="21"/>
        </w:rPr>
        <w:t>11</w:t>
      </w:r>
    </w:p>
    <w:p w14:paraId="2DA2C427">
      <w:pPr>
        <w:spacing w:before="100" w:beforeAutospacing="1" w:after="100" w:afterAutospacing="1"/>
        <w:ind w:left="280"/>
        <w:jc w:val="left"/>
        <w:rPr>
          <w:color w:val="000000"/>
          <w:szCs w:val="21"/>
        </w:rPr>
      </w:pPr>
      <w:r>
        <w:rPr>
          <w:rFonts w:hint="eastAsia" w:ascii="宋体" w:hAnsi="宋体"/>
          <w:smallCaps/>
          <w:color w:val="000000"/>
          <w:szCs w:val="21"/>
        </w:rPr>
        <w:t>二、投标人</w:t>
      </w:r>
      <w:r>
        <w:rPr>
          <w:rFonts w:ascii="宋体" w:hAnsi="宋体"/>
          <w:smallCaps/>
          <w:color w:val="000000"/>
          <w:szCs w:val="21"/>
        </w:rPr>
        <w:t>……………………………………………………………………………………</w:t>
      </w:r>
      <w:r>
        <w:rPr>
          <w:rFonts w:hint="eastAsia" w:ascii="宋体" w:hAnsi="宋体"/>
          <w:smallCaps/>
          <w:color w:val="000000"/>
          <w:szCs w:val="21"/>
        </w:rPr>
        <w:t>..</w:t>
      </w:r>
      <w:r>
        <w:rPr>
          <w:smallCaps/>
          <w:color w:val="000000"/>
          <w:szCs w:val="21"/>
        </w:rPr>
        <w:tab/>
      </w:r>
      <w:r>
        <w:rPr>
          <w:rFonts w:hint="eastAsia" w:ascii="宋体" w:hAnsi="宋体"/>
          <w:smallCaps/>
          <w:color w:val="000000"/>
          <w:szCs w:val="21"/>
        </w:rPr>
        <w:t>11</w:t>
      </w:r>
    </w:p>
    <w:p w14:paraId="0A9B5241">
      <w:pPr>
        <w:spacing w:before="100" w:beforeAutospacing="1" w:after="100" w:afterAutospacing="1"/>
        <w:ind w:left="280"/>
        <w:jc w:val="left"/>
        <w:rPr>
          <w:color w:val="000000"/>
          <w:szCs w:val="21"/>
        </w:rPr>
      </w:pPr>
      <w:r>
        <w:rPr>
          <w:rFonts w:hint="eastAsia" w:ascii="宋体" w:hAnsi="宋体"/>
          <w:smallCaps/>
          <w:color w:val="000000"/>
          <w:szCs w:val="21"/>
        </w:rPr>
        <w:t>三、招标文件</w:t>
      </w:r>
      <w:r>
        <w:rPr>
          <w:rFonts w:ascii="宋体" w:hAnsi="宋体"/>
          <w:smallCaps/>
          <w:color w:val="000000"/>
          <w:szCs w:val="21"/>
        </w:rPr>
        <w:t>……………………………………………………………………………………</w:t>
      </w:r>
      <w:r>
        <w:rPr>
          <w:smallCaps/>
          <w:color w:val="000000"/>
          <w:szCs w:val="21"/>
        </w:rPr>
        <w:tab/>
      </w:r>
      <w:r>
        <w:rPr>
          <w:rFonts w:hint="eastAsia" w:ascii="宋体" w:hAnsi="宋体"/>
          <w:smallCaps/>
          <w:color w:val="000000"/>
          <w:szCs w:val="21"/>
        </w:rPr>
        <w:t>11</w:t>
      </w:r>
    </w:p>
    <w:p w14:paraId="4AEA984D">
      <w:pPr>
        <w:spacing w:before="100" w:beforeAutospacing="1" w:after="100" w:afterAutospacing="1"/>
        <w:ind w:left="280"/>
        <w:jc w:val="left"/>
        <w:rPr>
          <w:color w:val="000000"/>
          <w:szCs w:val="21"/>
        </w:rPr>
      </w:pPr>
      <w:r>
        <w:rPr>
          <w:rFonts w:hint="eastAsia" w:ascii="宋体" w:hAnsi="宋体"/>
          <w:smallCaps/>
          <w:color w:val="000000"/>
          <w:szCs w:val="21"/>
        </w:rPr>
        <w:t>四、投标文件</w:t>
      </w:r>
      <w:r>
        <w:rPr>
          <w:rFonts w:ascii="宋体" w:hAnsi="宋体"/>
          <w:smallCaps/>
          <w:color w:val="000000"/>
          <w:szCs w:val="21"/>
        </w:rPr>
        <w:t>……………………………………………………………………………………</w:t>
      </w:r>
      <w:r>
        <w:rPr>
          <w:smallCaps/>
          <w:color w:val="000000"/>
          <w:szCs w:val="21"/>
        </w:rPr>
        <w:tab/>
      </w:r>
      <w:r>
        <w:rPr>
          <w:rFonts w:hint="eastAsia" w:ascii="宋体" w:hAnsi="宋体"/>
          <w:smallCaps/>
          <w:color w:val="000000"/>
          <w:szCs w:val="21"/>
        </w:rPr>
        <w:t>11</w:t>
      </w:r>
    </w:p>
    <w:p w14:paraId="2D571D0B">
      <w:pPr>
        <w:spacing w:before="100" w:beforeAutospacing="1" w:after="100" w:afterAutospacing="1"/>
        <w:ind w:left="280"/>
        <w:jc w:val="left"/>
        <w:rPr>
          <w:color w:val="000000"/>
          <w:szCs w:val="21"/>
        </w:rPr>
      </w:pPr>
      <w:r>
        <w:rPr>
          <w:rFonts w:hint="eastAsia" w:ascii="宋体" w:hAnsi="宋体"/>
          <w:smallCaps/>
          <w:color w:val="000000"/>
          <w:szCs w:val="21"/>
        </w:rPr>
        <w:t>五、开标</w:t>
      </w:r>
      <w:r>
        <w:rPr>
          <w:rFonts w:ascii="宋体" w:hAnsi="宋体"/>
          <w:smallCaps/>
          <w:color w:val="000000"/>
          <w:szCs w:val="21"/>
        </w:rPr>
        <w:t>………………………………………………………………………………………</w:t>
      </w:r>
      <w:r>
        <w:rPr>
          <w:smallCaps/>
          <w:color w:val="000000"/>
          <w:szCs w:val="21"/>
        </w:rPr>
        <w:tab/>
      </w:r>
      <w:r>
        <w:rPr>
          <w:rFonts w:hint="eastAsia"/>
          <w:smallCaps/>
          <w:color w:val="000000"/>
          <w:szCs w:val="21"/>
        </w:rPr>
        <w:t>12</w:t>
      </w:r>
    </w:p>
    <w:p w14:paraId="3B505E7F">
      <w:pPr>
        <w:spacing w:before="100" w:beforeAutospacing="1" w:after="100" w:afterAutospacing="1"/>
        <w:ind w:left="280"/>
        <w:jc w:val="left"/>
        <w:rPr>
          <w:color w:val="000000"/>
          <w:szCs w:val="21"/>
        </w:rPr>
      </w:pPr>
      <w:r>
        <w:rPr>
          <w:rFonts w:hint="eastAsia" w:ascii="宋体" w:hAnsi="宋体"/>
          <w:smallCaps/>
          <w:color w:val="000000"/>
          <w:szCs w:val="21"/>
        </w:rPr>
        <w:t>六、评标</w:t>
      </w:r>
      <w:r>
        <w:rPr>
          <w:rFonts w:ascii="宋体" w:hAnsi="宋体"/>
          <w:smallCaps/>
          <w:color w:val="000000"/>
          <w:szCs w:val="21"/>
        </w:rPr>
        <w:t>………………………………………………………………………………………</w:t>
      </w:r>
      <w:r>
        <w:rPr>
          <w:smallCaps/>
          <w:color w:val="000000"/>
          <w:szCs w:val="21"/>
        </w:rPr>
        <w:tab/>
      </w:r>
      <w:r>
        <w:rPr>
          <w:rFonts w:hint="eastAsia"/>
          <w:smallCaps/>
          <w:color w:val="000000"/>
          <w:szCs w:val="21"/>
        </w:rPr>
        <w:t>13</w:t>
      </w:r>
    </w:p>
    <w:p w14:paraId="24CD071D">
      <w:pPr>
        <w:spacing w:before="100" w:beforeAutospacing="1" w:after="100" w:afterAutospacing="1"/>
        <w:ind w:left="280"/>
        <w:jc w:val="left"/>
        <w:rPr>
          <w:color w:val="000000"/>
          <w:szCs w:val="21"/>
        </w:rPr>
      </w:pPr>
      <w:r>
        <w:rPr>
          <w:rFonts w:hint="eastAsia" w:ascii="宋体" w:hAnsi="宋体"/>
          <w:smallCaps/>
          <w:color w:val="000000"/>
          <w:szCs w:val="21"/>
        </w:rPr>
        <w:t>七、定标</w:t>
      </w:r>
      <w:r>
        <w:rPr>
          <w:rFonts w:ascii="宋体" w:hAnsi="宋体"/>
          <w:smallCaps/>
          <w:color w:val="000000"/>
          <w:szCs w:val="21"/>
        </w:rPr>
        <w:t>………………………………………………………………………………………</w:t>
      </w:r>
      <w:r>
        <w:rPr>
          <w:smallCaps/>
          <w:color w:val="000000"/>
          <w:szCs w:val="21"/>
        </w:rPr>
        <w:tab/>
      </w:r>
      <w:r>
        <w:rPr>
          <w:rFonts w:hint="eastAsia"/>
          <w:smallCaps/>
          <w:color w:val="000000"/>
          <w:szCs w:val="21"/>
        </w:rPr>
        <w:t>13</w:t>
      </w:r>
    </w:p>
    <w:p w14:paraId="3377ED84">
      <w:pPr>
        <w:spacing w:before="100" w:beforeAutospacing="1" w:after="100" w:afterAutospacing="1"/>
        <w:ind w:left="280"/>
        <w:jc w:val="left"/>
        <w:rPr>
          <w:color w:val="000000"/>
          <w:szCs w:val="21"/>
        </w:rPr>
      </w:pPr>
      <w:r>
        <w:rPr>
          <w:rFonts w:hint="eastAsia" w:ascii="宋体" w:hAnsi="宋体"/>
          <w:smallCaps/>
          <w:color w:val="000000"/>
          <w:szCs w:val="21"/>
        </w:rPr>
        <w:t>八、中标通知书</w:t>
      </w:r>
      <w:r>
        <w:rPr>
          <w:rFonts w:ascii="宋体" w:hAnsi="宋体"/>
          <w:smallCaps/>
          <w:color w:val="000000"/>
          <w:szCs w:val="21"/>
        </w:rPr>
        <w:t>………………………………………………………………………………</w:t>
      </w:r>
      <w:r>
        <w:rPr>
          <w:smallCaps/>
          <w:color w:val="000000"/>
          <w:szCs w:val="21"/>
        </w:rPr>
        <w:tab/>
      </w:r>
      <w:r>
        <w:rPr>
          <w:rFonts w:hint="eastAsia"/>
          <w:smallCaps/>
          <w:color w:val="000000"/>
          <w:szCs w:val="21"/>
        </w:rPr>
        <w:t>13</w:t>
      </w:r>
    </w:p>
    <w:p w14:paraId="3CD553C3">
      <w:pPr>
        <w:spacing w:before="100" w:beforeAutospacing="1" w:after="100" w:afterAutospacing="1"/>
        <w:ind w:left="280"/>
        <w:jc w:val="left"/>
        <w:rPr>
          <w:color w:val="000000"/>
          <w:szCs w:val="21"/>
        </w:rPr>
      </w:pPr>
      <w:r>
        <w:rPr>
          <w:rFonts w:hint="eastAsia" w:ascii="宋体" w:hAnsi="宋体"/>
          <w:smallCaps/>
          <w:color w:val="000000"/>
          <w:szCs w:val="21"/>
        </w:rPr>
        <w:t>九、投标人对中标结果的质疑、投诉</w:t>
      </w:r>
      <w:r>
        <w:rPr>
          <w:rFonts w:ascii="宋体" w:hAnsi="宋体"/>
          <w:smallCaps/>
          <w:color w:val="000000"/>
          <w:szCs w:val="21"/>
        </w:rPr>
        <w:t>………………………………………………………</w:t>
      </w:r>
      <w:r>
        <w:rPr>
          <w:smallCaps/>
          <w:color w:val="000000"/>
          <w:szCs w:val="21"/>
        </w:rPr>
        <w:tab/>
      </w:r>
      <w:r>
        <w:rPr>
          <w:rFonts w:hint="eastAsia"/>
          <w:smallCaps/>
          <w:color w:val="000000"/>
          <w:szCs w:val="21"/>
        </w:rPr>
        <w:t>14</w:t>
      </w:r>
    </w:p>
    <w:p w14:paraId="6D7A3F66">
      <w:pPr>
        <w:spacing w:before="100" w:beforeAutospacing="1" w:after="100" w:afterAutospacing="1"/>
        <w:ind w:left="280"/>
        <w:jc w:val="left"/>
        <w:rPr>
          <w:color w:val="000000"/>
          <w:szCs w:val="21"/>
        </w:rPr>
      </w:pPr>
      <w:r>
        <w:rPr>
          <w:rFonts w:hint="eastAsia" w:ascii="宋体" w:hAnsi="宋体"/>
          <w:smallCaps/>
          <w:color w:val="000000"/>
          <w:szCs w:val="21"/>
        </w:rPr>
        <w:t>十、签订合同</w:t>
      </w:r>
      <w:r>
        <w:rPr>
          <w:rFonts w:ascii="宋体" w:hAnsi="宋体"/>
          <w:smallCaps/>
          <w:color w:val="000000"/>
          <w:szCs w:val="21"/>
        </w:rPr>
        <w:t>…………………………………………………………………………………</w:t>
      </w:r>
      <w:r>
        <w:rPr>
          <w:smallCaps/>
          <w:color w:val="000000"/>
          <w:szCs w:val="21"/>
        </w:rPr>
        <w:tab/>
      </w:r>
      <w:r>
        <w:rPr>
          <w:rFonts w:hint="eastAsia"/>
          <w:smallCaps/>
          <w:color w:val="000000"/>
          <w:szCs w:val="21"/>
        </w:rPr>
        <w:t>14</w:t>
      </w:r>
    </w:p>
    <w:p w14:paraId="5A04A385">
      <w:pPr>
        <w:spacing w:before="120" w:after="120"/>
        <w:jc w:val="left"/>
        <w:rPr>
          <w:color w:val="000000"/>
          <w:szCs w:val="21"/>
        </w:rPr>
      </w:pPr>
      <w:r>
        <w:rPr>
          <w:rFonts w:hint="eastAsia" w:ascii="宋体" w:hAnsi="宋体"/>
          <w:caps/>
          <w:color w:val="000000"/>
          <w:szCs w:val="21"/>
        </w:rPr>
        <w:t>第六篇 合同样本</w:t>
      </w:r>
      <w:r>
        <w:rPr>
          <w:rFonts w:ascii="宋体" w:hAnsi="宋体"/>
          <w:caps/>
          <w:color w:val="000000"/>
          <w:szCs w:val="21"/>
        </w:rPr>
        <w:t>…………………………………</w:t>
      </w:r>
      <w:r>
        <w:rPr>
          <w:rFonts w:hint="eastAsia" w:ascii="宋体" w:hAnsi="宋体"/>
          <w:caps/>
          <w:color w:val="000000"/>
          <w:szCs w:val="21"/>
        </w:rPr>
        <w:t>……………………………</w:t>
      </w:r>
      <w:r>
        <w:rPr>
          <w:rFonts w:ascii="宋体" w:hAnsi="宋体"/>
          <w:caps/>
          <w:color w:val="000000"/>
          <w:szCs w:val="21"/>
        </w:rPr>
        <w:t>…………………</w:t>
      </w:r>
      <w:r>
        <w:rPr>
          <w:caps/>
          <w:color w:val="000000"/>
          <w:szCs w:val="21"/>
        </w:rPr>
        <w:tab/>
      </w:r>
      <w:r>
        <w:rPr>
          <w:rFonts w:hint="eastAsia"/>
          <w:caps/>
          <w:color w:val="000000"/>
          <w:szCs w:val="21"/>
        </w:rPr>
        <w:t>15</w:t>
      </w:r>
    </w:p>
    <w:p w14:paraId="58274D08">
      <w:pPr>
        <w:spacing w:before="120" w:after="120"/>
        <w:jc w:val="left"/>
        <w:rPr>
          <w:color w:val="000000"/>
          <w:szCs w:val="21"/>
        </w:rPr>
      </w:pPr>
      <w:r>
        <w:rPr>
          <w:rFonts w:hint="eastAsia" w:ascii="宋体" w:hAnsi="宋体"/>
          <w:caps/>
          <w:color w:val="000000"/>
          <w:szCs w:val="21"/>
        </w:rPr>
        <w:t>第七篇 投标文件部分格式</w:t>
      </w:r>
      <w:r>
        <w:rPr>
          <w:rFonts w:ascii="宋体" w:hAnsi="宋体"/>
          <w:caps/>
          <w:color w:val="000000"/>
          <w:szCs w:val="21"/>
        </w:rPr>
        <w:t>………………………………</w:t>
      </w:r>
      <w:r>
        <w:rPr>
          <w:rFonts w:hint="eastAsia" w:ascii="宋体" w:hAnsi="宋体"/>
          <w:caps/>
          <w:color w:val="000000"/>
          <w:szCs w:val="21"/>
        </w:rPr>
        <w:t>…</w:t>
      </w:r>
      <w:r>
        <w:rPr>
          <w:rFonts w:ascii="宋体" w:hAnsi="宋体"/>
          <w:caps/>
          <w:color w:val="000000"/>
          <w:szCs w:val="21"/>
        </w:rPr>
        <w:t>……………………………………</w:t>
      </w:r>
      <w:r>
        <w:rPr>
          <w:rFonts w:hint="eastAsia" w:ascii="宋体" w:hAnsi="宋体"/>
          <w:caps/>
          <w:color w:val="000000"/>
          <w:szCs w:val="21"/>
        </w:rPr>
        <w:t xml:space="preserve">   21</w:t>
      </w:r>
    </w:p>
    <w:p w14:paraId="27286DD8">
      <w:pPr>
        <w:spacing w:before="100" w:beforeAutospacing="1" w:after="100" w:afterAutospacing="1"/>
        <w:ind w:left="280"/>
        <w:jc w:val="left"/>
        <w:rPr>
          <w:color w:val="000000"/>
          <w:szCs w:val="21"/>
        </w:rPr>
      </w:pPr>
      <w:r>
        <w:rPr>
          <w:rFonts w:hint="eastAsia" w:ascii="宋体" w:hAnsi="宋体"/>
          <w:smallCaps/>
          <w:color w:val="000000"/>
          <w:szCs w:val="21"/>
        </w:rPr>
        <w:t>一、投标函…</w:t>
      </w:r>
      <w:r>
        <w:rPr>
          <w:rFonts w:ascii="宋体" w:hAnsi="宋体"/>
          <w:smallCaps/>
          <w:color w:val="000000"/>
          <w:szCs w:val="21"/>
        </w:rPr>
        <w:t>…………………………………………………………………………………</w:t>
      </w:r>
      <w:r>
        <w:rPr>
          <w:smallCaps/>
          <w:color w:val="000000"/>
          <w:szCs w:val="21"/>
        </w:rPr>
        <w:tab/>
      </w:r>
      <w:r>
        <w:rPr>
          <w:rFonts w:hint="eastAsia"/>
          <w:smallCaps/>
          <w:color w:val="000000"/>
          <w:szCs w:val="21"/>
        </w:rPr>
        <w:t>22</w:t>
      </w:r>
    </w:p>
    <w:p w14:paraId="7BB1E371">
      <w:pPr>
        <w:spacing w:before="100" w:beforeAutospacing="1" w:after="100" w:afterAutospacing="1"/>
        <w:ind w:left="280"/>
        <w:jc w:val="left"/>
        <w:rPr>
          <w:color w:val="000000"/>
          <w:szCs w:val="21"/>
        </w:rPr>
      </w:pPr>
      <w:r>
        <w:rPr>
          <w:rFonts w:hint="eastAsia" w:ascii="宋体" w:hAnsi="宋体"/>
          <w:smallCaps/>
          <w:color w:val="000000"/>
          <w:szCs w:val="21"/>
        </w:rPr>
        <w:t>二、法定代表人身份证明书</w:t>
      </w:r>
      <w:r>
        <w:rPr>
          <w:rFonts w:ascii="宋体" w:hAnsi="宋体"/>
          <w:smallCaps/>
          <w:color w:val="000000"/>
          <w:szCs w:val="21"/>
        </w:rPr>
        <w:t>…………………………………………………………………</w:t>
      </w:r>
      <w:r>
        <w:rPr>
          <w:smallCaps/>
          <w:color w:val="000000"/>
          <w:szCs w:val="21"/>
        </w:rPr>
        <w:tab/>
      </w:r>
      <w:r>
        <w:rPr>
          <w:rFonts w:hint="eastAsia"/>
          <w:smallCaps/>
          <w:color w:val="000000"/>
          <w:szCs w:val="21"/>
        </w:rPr>
        <w:t>23</w:t>
      </w:r>
    </w:p>
    <w:p w14:paraId="28EF7233">
      <w:pPr>
        <w:spacing w:before="100" w:beforeAutospacing="1" w:after="100" w:afterAutospacing="1"/>
        <w:ind w:left="280"/>
        <w:jc w:val="left"/>
        <w:rPr>
          <w:rFonts w:ascii="宋体" w:hAnsi="宋体"/>
          <w:color w:val="000000"/>
          <w:szCs w:val="21"/>
        </w:rPr>
      </w:pPr>
      <w:r>
        <w:rPr>
          <w:rFonts w:hint="eastAsia" w:ascii="宋体" w:hAnsi="宋体"/>
          <w:smallCaps/>
          <w:color w:val="000000"/>
          <w:szCs w:val="21"/>
        </w:rPr>
        <w:t>三、法定代表人授权委托书</w:t>
      </w:r>
      <w:r>
        <w:rPr>
          <w:rFonts w:ascii="宋体" w:hAnsi="宋体"/>
          <w:smallCaps/>
          <w:color w:val="000000"/>
          <w:szCs w:val="21"/>
        </w:rPr>
        <w:t>…………………………………………………………………</w:t>
      </w:r>
      <w:r>
        <w:rPr>
          <w:smallCaps/>
          <w:color w:val="000000"/>
          <w:szCs w:val="21"/>
        </w:rPr>
        <w:tab/>
      </w:r>
      <w:r>
        <w:rPr>
          <w:rFonts w:hint="eastAsia" w:ascii="宋体" w:hAnsi="宋体"/>
          <w:smallCaps/>
          <w:color w:val="000000"/>
          <w:szCs w:val="21"/>
        </w:rPr>
        <w:t>24</w:t>
      </w:r>
    </w:p>
    <w:p w14:paraId="7E9C6C0A">
      <w:pPr>
        <w:spacing w:before="100" w:beforeAutospacing="1" w:after="100" w:afterAutospacing="1"/>
        <w:ind w:left="280"/>
        <w:jc w:val="left"/>
        <w:rPr>
          <w:rFonts w:ascii="宋体" w:hAnsi="宋体"/>
          <w:smallCaps/>
          <w:color w:val="000000"/>
          <w:szCs w:val="21"/>
        </w:rPr>
      </w:pPr>
      <w:r>
        <w:rPr>
          <w:rFonts w:hint="eastAsia" w:ascii="宋体" w:hAnsi="宋体"/>
          <w:smallCaps/>
          <w:color w:val="000000"/>
          <w:szCs w:val="21"/>
        </w:rPr>
        <w:t>四、报价函</w:t>
      </w:r>
      <w:r>
        <w:rPr>
          <w:rFonts w:ascii="宋体" w:hAnsi="宋体"/>
          <w:smallCaps/>
          <w:color w:val="000000"/>
          <w:szCs w:val="21"/>
        </w:rPr>
        <w:t>……………………………………………………………………………………</w:t>
      </w:r>
      <w:r>
        <w:rPr>
          <w:smallCaps/>
          <w:color w:val="000000"/>
          <w:szCs w:val="21"/>
        </w:rPr>
        <w:tab/>
      </w:r>
      <w:r>
        <w:rPr>
          <w:rFonts w:hint="eastAsia" w:ascii="宋体" w:hAnsi="宋体"/>
          <w:smallCaps/>
          <w:color w:val="000000"/>
          <w:szCs w:val="21"/>
        </w:rPr>
        <w:t>25</w:t>
      </w:r>
    </w:p>
    <w:p w14:paraId="7A5A6B6C">
      <w:pPr>
        <w:spacing w:before="100" w:beforeAutospacing="1" w:after="100" w:afterAutospacing="1"/>
        <w:ind w:left="280"/>
        <w:jc w:val="left"/>
        <w:rPr>
          <w:rFonts w:ascii="宋体" w:hAnsi="宋体"/>
          <w:smallCaps/>
          <w:color w:val="000000"/>
          <w:szCs w:val="21"/>
        </w:rPr>
      </w:pPr>
      <w:r>
        <w:rPr>
          <w:rFonts w:hint="eastAsia" w:ascii="宋体" w:hAnsi="宋体"/>
          <w:smallCaps/>
          <w:color w:val="000000"/>
          <w:szCs w:val="21"/>
        </w:rPr>
        <w:t>五、诚信声明…</w:t>
      </w:r>
      <w:r>
        <w:rPr>
          <w:rFonts w:ascii="宋体" w:hAnsi="宋体"/>
          <w:smallCaps/>
          <w:color w:val="000000"/>
          <w:szCs w:val="21"/>
        </w:rPr>
        <w:t>………………………………………………………………………………</w:t>
      </w:r>
      <w:r>
        <w:rPr>
          <w:smallCaps/>
          <w:color w:val="000000"/>
          <w:szCs w:val="21"/>
        </w:rPr>
        <w:tab/>
      </w:r>
      <w:r>
        <w:rPr>
          <w:rFonts w:hint="eastAsia" w:ascii="宋体" w:hAnsi="宋体"/>
          <w:smallCaps/>
          <w:color w:val="000000"/>
          <w:szCs w:val="21"/>
        </w:rPr>
        <w:t>26</w:t>
      </w:r>
    </w:p>
    <w:p w14:paraId="47991A57">
      <w:pPr>
        <w:widowControl/>
        <w:jc w:val="left"/>
        <w:rPr>
          <w:rFonts w:ascii="仿宋_GB2312" w:hAnsi="宋体" w:eastAsia="仿宋_GB2312" w:cs="宋体"/>
          <w:color w:val="000000"/>
          <w:sz w:val="32"/>
          <w:szCs w:val="32"/>
        </w:rPr>
        <w:sectPr>
          <w:pgSz w:w="11907" w:h="16840"/>
          <w:pgMar w:top="1440" w:right="1127" w:bottom="1440" w:left="1797" w:header="720" w:footer="720" w:gutter="0"/>
          <w:cols w:space="720" w:num="1"/>
          <w:docGrid w:type="lines" w:linePitch="312" w:charSpace="0"/>
        </w:sectPr>
      </w:pPr>
    </w:p>
    <w:p w14:paraId="05F3E1F8">
      <w:pPr>
        <w:snapToGrid w:val="0"/>
        <w:spacing w:line="500" w:lineRule="exact"/>
        <w:jc w:val="center"/>
        <w:outlineLvl w:val="0"/>
        <w:rPr>
          <w:rFonts w:ascii="仿宋" w:hAnsi="仿宋" w:eastAsia="仿宋"/>
          <w:b/>
          <w:color w:val="000000"/>
          <w:sz w:val="28"/>
          <w:szCs w:val="28"/>
        </w:rPr>
      </w:pPr>
      <w:bookmarkStart w:id="0" w:name="_Toc271791963"/>
      <w:bookmarkEnd w:id="0"/>
      <w:bookmarkStart w:id="1" w:name="_Toc311729654"/>
      <w:r>
        <w:rPr>
          <w:rFonts w:hint="eastAsia" w:ascii="仿宋" w:hAnsi="仿宋" w:eastAsia="仿宋"/>
          <w:b/>
          <w:color w:val="000000"/>
          <w:sz w:val="28"/>
          <w:szCs w:val="28"/>
        </w:rPr>
        <w:t>第一篇 投标邀请书</w:t>
      </w:r>
      <w:bookmarkEnd w:id="1"/>
    </w:p>
    <w:p w14:paraId="51776621">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 xml:space="preserve"> </w:t>
      </w:r>
      <w:r>
        <w:rPr>
          <w:rFonts w:hint="eastAsia" w:ascii="仿宋" w:hAnsi="仿宋" w:eastAsia="仿宋"/>
          <w:color w:val="000000"/>
          <w:sz w:val="28"/>
          <w:szCs w:val="28"/>
          <w:lang w:eastAsia="zh-CN"/>
        </w:rPr>
        <w:t>重庆博宁房地产开发有限公司</w:t>
      </w:r>
      <w:r>
        <w:rPr>
          <w:rFonts w:hint="eastAsia" w:ascii="仿宋" w:hAnsi="仿宋" w:eastAsia="仿宋"/>
          <w:color w:val="000000"/>
          <w:sz w:val="28"/>
          <w:szCs w:val="28"/>
        </w:rPr>
        <w:t>现对</w:t>
      </w:r>
      <w:r>
        <w:rPr>
          <w:rFonts w:hint="eastAsia" w:ascii="仿宋" w:hAnsi="仿宋" w:eastAsia="仿宋"/>
          <w:color w:val="000000"/>
          <w:sz w:val="28"/>
          <w:szCs w:val="28"/>
          <w:lang w:eastAsia="zh-CN"/>
        </w:rPr>
        <w:t>渝能新城</w:t>
      </w:r>
      <w:r>
        <w:rPr>
          <w:rFonts w:hint="eastAsia" w:ascii="仿宋" w:hAnsi="仿宋" w:eastAsia="仿宋"/>
          <w:color w:val="000000"/>
          <w:sz w:val="28"/>
          <w:szCs w:val="28"/>
        </w:rPr>
        <w:t>前期物业管理服务进行公开招标，欢迎合格的投标人参与投标。</w:t>
      </w:r>
    </w:p>
    <w:p w14:paraId="5CBC98F9">
      <w:pPr>
        <w:spacing w:line="400" w:lineRule="exact"/>
        <w:ind w:right="12" w:firstLine="480"/>
        <w:rPr>
          <w:rFonts w:ascii="仿宋" w:hAnsi="仿宋" w:eastAsia="仿宋"/>
          <w:color w:val="000000"/>
          <w:sz w:val="28"/>
          <w:szCs w:val="28"/>
        </w:rPr>
      </w:pPr>
      <w:bookmarkStart w:id="2" w:name="_Toc403569644"/>
      <w:r>
        <w:rPr>
          <w:rFonts w:hint="eastAsia" w:ascii="仿宋" w:hAnsi="仿宋" w:eastAsia="仿宋"/>
          <w:color w:val="000000"/>
          <w:sz w:val="28"/>
          <w:szCs w:val="28"/>
        </w:rPr>
        <w:t>一、招标项目内容</w:t>
      </w:r>
      <w:bookmarkEnd w:id="2"/>
    </w:p>
    <w:tbl>
      <w:tblPr>
        <w:tblStyle w:val="11"/>
        <w:tblW w:w="8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6"/>
        <w:gridCol w:w="1379"/>
        <w:gridCol w:w="4768"/>
        <w:gridCol w:w="810"/>
      </w:tblGrid>
      <w:tr w14:paraId="746FD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1916" w:type="dxa"/>
            <w:vAlign w:val="center"/>
          </w:tcPr>
          <w:p w14:paraId="67EC4BD4">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项目名称</w:t>
            </w:r>
          </w:p>
        </w:tc>
        <w:tc>
          <w:tcPr>
            <w:tcW w:w="1379" w:type="dxa"/>
            <w:vAlign w:val="center"/>
          </w:tcPr>
          <w:p w14:paraId="6BEA510D">
            <w:pPr>
              <w:spacing w:line="400" w:lineRule="exact"/>
              <w:ind w:right="12"/>
              <w:jc w:val="center"/>
              <w:rPr>
                <w:rFonts w:ascii="仿宋" w:hAnsi="仿宋" w:eastAsia="仿宋"/>
                <w:color w:val="000000"/>
                <w:sz w:val="28"/>
                <w:szCs w:val="28"/>
              </w:rPr>
            </w:pPr>
            <w:r>
              <w:rPr>
                <w:rFonts w:hint="eastAsia" w:ascii="仿宋" w:hAnsi="仿宋" w:eastAsia="仿宋"/>
                <w:color w:val="000000"/>
                <w:sz w:val="28"/>
                <w:szCs w:val="28"/>
              </w:rPr>
              <w:t>项目内容</w:t>
            </w:r>
          </w:p>
        </w:tc>
        <w:tc>
          <w:tcPr>
            <w:tcW w:w="4768" w:type="dxa"/>
            <w:vAlign w:val="center"/>
          </w:tcPr>
          <w:p w14:paraId="0077FA5D">
            <w:pPr>
              <w:spacing w:line="400" w:lineRule="exact"/>
              <w:ind w:right="12"/>
              <w:jc w:val="center"/>
              <w:rPr>
                <w:rFonts w:ascii="仿宋" w:hAnsi="仿宋" w:eastAsia="仿宋"/>
                <w:color w:val="000000"/>
                <w:sz w:val="28"/>
                <w:szCs w:val="28"/>
              </w:rPr>
            </w:pPr>
            <w:r>
              <w:rPr>
                <w:rFonts w:hint="eastAsia" w:ascii="仿宋" w:hAnsi="仿宋" w:eastAsia="仿宋"/>
                <w:color w:val="000000"/>
                <w:sz w:val="28"/>
                <w:szCs w:val="28"/>
                <w:lang w:val="en-US" w:eastAsia="zh-CN"/>
              </w:rPr>
              <w:t>报价范围</w:t>
            </w:r>
            <w:r>
              <w:rPr>
                <w:rFonts w:hint="eastAsia" w:ascii="仿宋" w:hAnsi="仿宋" w:eastAsia="仿宋"/>
                <w:color w:val="000000"/>
                <w:sz w:val="28"/>
                <w:szCs w:val="28"/>
              </w:rPr>
              <w:t>（非经济标标底）</w:t>
            </w:r>
          </w:p>
        </w:tc>
        <w:tc>
          <w:tcPr>
            <w:tcW w:w="810" w:type="dxa"/>
            <w:vAlign w:val="center"/>
          </w:tcPr>
          <w:p w14:paraId="4127A4FB">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合同期限</w:t>
            </w:r>
          </w:p>
        </w:tc>
      </w:tr>
      <w:tr w14:paraId="1C408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916" w:type="dxa"/>
            <w:vAlign w:val="center"/>
          </w:tcPr>
          <w:p w14:paraId="6F0B3BE6">
            <w:pPr>
              <w:spacing w:line="400" w:lineRule="exact"/>
              <w:ind w:right="12"/>
              <w:rPr>
                <w:rFonts w:ascii="仿宋" w:hAnsi="仿宋" w:eastAsia="仿宋"/>
                <w:color w:val="000000"/>
                <w:sz w:val="28"/>
                <w:szCs w:val="28"/>
              </w:rPr>
            </w:pPr>
            <w:r>
              <w:rPr>
                <w:rFonts w:hint="eastAsia" w:ascii="仿宋" w:hAnsi="仿宋" w:eastAsia="仿宋"/>
                <w:color w:val="000000"/>
                <w:sz w:val="28"/>
                <w:szCs w:val="28"/>
                <w:lang w:eastAsia="zh-CN"/>
              </w:rPr>
              <w:t>渝能新城</w:t>
            </w:r>
            <w:r>
              <w:rPr>
                <w:rFonts w:hint="eastAsia" w:ascii="仿宋" w:hAnsi="仿宋" w:eastAsia="仿宋"/>
                <w:color w:val="000000"/>
                <w:sz w:val="28"/>
                <w:szCs w:val="28"/>
              </w:rPr>
              <w:t>前期物业管理服务</w:t>
            </w:r>
          </w:p>
        </w:tc>
        <w:tc>
          <w:tcPr>
            <w:tcW w:w="1379" w:type="dxa"/>
            <w:vAlign w:val="center"/>
          </w:tcPr>
          <w:p w14:paraId="270195EC">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小区前期物业服务</w:t>
            </w:r>
          </w:p>
        </w:tc>
        <w:tc>
          <w:tcPr>
            <w:tcW w:w="4768" w:type="dxa"/>
            <w:vAlign w:val="center"/>
          </w:tcPr>
          <w:p w14:paraId="2AD0D3FA">
            <w:pPr>
              <w:spacing w:line="400" w:lineRule="exact"/>
              <w:ind w:right="12"/>
              <w:rPr>
                <w:rFonts w:hint="eastAsia" w:ascii="仿宋" w:hAnsi="仿宋" w:eastAsia="仿宋"/>
                <w:color w:val="000000"/>
                <w:sz w:val="24"/>
                <w:szCs w:val="24"/>
              </w:rPr>
            </w:pPr>
            <w:r>
              <w:rPr>
                <w:rFonts w:hint="eastAsia" w:ascii="仿宋" w:hAnsi="仿宋" w:eastAsia="仿宋"/>
                <w:color w:val="000000"/>
                <w:sz w:val="24"/>
                <w:szCs w:val="24"/>
                <w:lang w:val="en-US" w:eastAsia="zh-CN"/>
              </w:rPr>
              <w:t>电梯住宅1.2-1.65</w:t>
            </w:r>
            <w:r>
              <w:rPr>
                <w:rFonts w:hint="eastAsia" w:ascii="仿宋" w:hAnsi="仿宋" w:eastAsia="仿宋"/>
                <w:color w:val="000000"/>
                <w:sz w:val="24"/>
                <w:szCs w:val="24"/>
              </w:rPr>
              <w:t>元/月/平方米</w:t>
            </w:r>
          </w:p>
          <w:p w14:paraId="461F5DFB">
            <w:pPr>
              <w:spacing w:line="400" w:lineRule="exact"/>
              <w:ind w:right="12"/>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无电梯住宅0.8-1.15</w:t>
            </w:r>
            <w:r>
              <w:rPr>
                <w:rFonts w:hint="eastAsia" w:ascii="仿宋" w:hAnsi="仿宋" w:eastAsia="仿宋"/>
                <w:color w:val="000000"/>
                <w:sz w:val="24"/>
                <w:szCs w:val="24"/>
              </w:rPr>
              <w:t>元/月/平方米</w:t>
            </w:r>
          </w:p>
          <w:p w14:paraId="6E045D08">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商业</w:t>
            </w:r>
            <w:r>
              <w:rPr>
                <w:rFonts w:hint="eastAsia" w:ascii="仿宋" w:hAnsi="仿宋" w:eastAsia="仿宋"/>
                <w:color w:val="000000"/>
                <w:sz w:val="24"/>
                <w:szCs w:val="24"/>
                <w:lang w:val="en-US" w:eastAsia="zh-CN"/>
              </w:rPr>
              <w:t>2.0-3.5</w:t>
            </w:r>
            <w:r>
              <w:rPr>
                <w:rFonts w:hint="eastAsia" w:ascii="仿宋" w:hAnsi="仿宋" w:eastAsia="仿宋"/>
                <w:color w:val="000000"/>
                <w:sz w:val="24"/>
                <w:szCs w:val="24"/>
              </w:rPr>
              <w:t>元/月/平方米元/月/平方米</w:t>
            </w:r>
          </w:p>
          <w:p w14:paraId="5AA29665">
            <w:pPr>
              <w:spacing w:line="400" w:lineRule="exact"/>
              <w:ind w:right="12"/>
              <w:rPr>
                <w:rFonts w:ascii="仿宋" w:hAnsi="仿宋" w:eastAsia="仿宋"/>
                <w:color w:val="000000"/>
                <w:sz w:val="28"/>
                <w:szCs w:val="28"/>
              </w:rPr>
            </w:pPr>
            <w:r>
              <w:rPr>
                <w:rFonts w:hint="eastAsia" w:ascii="仿宋" w:hAnsi="仿宋" w:eastAsia="仿宋"/>
                <w:color w:val="000000"/>
                <w:sz w:val="24"/>
                <w:szCs w:val="24"/>
              </w:rPr>
              <w:t>车位</w:t>
            </w:r>
            <w:r>
              <w:rPr>
                <w:rFonts w:hint="eastAsia" w:ascii="仿宋" w:hAnsi="仿宋" w:eastAsia="仿宋"/>
                <w:color w:val="000000"/>
                <w:sz w:val="24"/>
                <w:szCs w:val="24"/>
                <w:lang w:val="en-US" w:eastAsia="zh-CN"/>
              </w:rPr>
              <w:t>50-8</w:t>
            </w:r>
            <w:r>
              <w:rPr>
                <w:rFonts w:hint="eastAsia" w:ascii="仿宋" w:hAnsi="仿宋" w:eastAsia="仿宋"/>
                <w:color w:val="000000"/>
                <w:sz w:val="24"/>
                <w:szCs w:val="24"/>
              </w:rPr>
              <w:t>0元/月/个</w:t>
            </w:r>
          </w:p>
        </w:tc>
        <w:tc>
          <w:tcPr>
            <w:tcW w:w="810" w:type="dxa"/>
            <w:vAlign w:val="center"/>
          </w:tcPr>
          <w:p w14:paraId="33A2BD00">
            <w:pPr>
              <w:spacing w:line="400" w:lineRule="exact"/>
              <w:ind w:right="12"/>
              <w:jc w:val="center"/>
              <w:rPr>
                <w:rFonts w:ascii="仿宋" w:hAnsi="仿宋" w:eastAsia="仿宋"/>
                <w:color w:val="000000"/>
                <w:sz w:val="28"/>
                <w:szCs w:val="28"/>
              </w:rPr>
            </w:pPr>
            <w:r>
              <w:rPr>
                <w:rFonts w:ascii="仿宋" w:hAnsi="仿宋" w:eastAsia="仿宋"/>
                <w:color w:val="000000"/>
                <w:sz w:val="28"/>
                <w:szCs w:val="28"/>
              </w:rPr>
              <w:t>三年</w:t>
            </w:r>
          </w:p>
        </w:tc>
      </w:tr>
    </w:tbl>
    <w:p w14:paraId="1DBE15DF">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注：投标人投标单价报价</w:t>
      </w:r>
      <w:r>
        <w:rPr>
          <w:rFonts w:hint="eastAsia" w:ascii="仿宋" w:hAnsi="仿宋" w:eastAsia="仿宋"/>
          <w:color w:val="000000"/>
          <w:sz w:val="28"/>
          <w:szCs w:val="28"/>
          <w:lang w:val="en-US" w:eastAsia="zh-CN"/>
        </w:rPr>
        <w:t>必须在报价范围内，</w:t>
      </w:r>
      <w:r>
        <w:rPr>
          <w:rFonts w:hint="eastAsia" w:ascii="仿宋" w:hAnsi="仿宋" w:eastAsia="仿宋"/>
          <w:color w:val="000000"/>
          <w:sz w:val="28"/>
          <w:szCs w:val="28"/>
        </w:rPr>
        <w:t>不得高于规定的单价最高限价</w:t>
      </w:r>
      <w:r>
        <w:rPr>
          <w:rFonts w:hint="eastAsia" w:ascii="仿宋" w:hAnsi="仿宋" w:eastAsia="仿宋"/>
          <w:color w:val="000000"/>
          <w:sz w:val="28"/>
          <w:szCs w:val="28"/>
          <w:lang w:val="en-US" w:eastAsia="zh-CN"/>
        </w:rPr>
        <w:t>和低于规定的单价最低限价</w:t>
      </w:r>
      <w:r>
        <w:rPr>
          <w:rFonts w:hint="eastAsia" w:ascii="仿宋" w:hAnsi="仿宋" w:eastAsia="仿宋"/>
          <w:color w:val="000000"/>
          <w:sz w:val="28"/>
          <w:szCs w:val="28"/>
        </w:rPr>
        <w:t>，单价报价高于</w:t>
      </w:r>
      <w:r>
        <w:rPr>
          <w:rFonts w:hint="eastAsia" w:ascii="仿宋" w:hAnsi="仿宋" w:eastAsia="仿宋"/>
          <w:color w:val="000000"/>
          <w:sz w:val="28"/>
          <w:szCs w:val="28"/>
          <w:lang w:val="en-US" w:eastAsia="zh-CN"/>
        </w:rPr>
        <w:t>或低于报价范围</w:t>
      </w:r>
      <w:r>
        <w:rPr>
          <w:rFonts w:hint="eastAsia" w:ascii="仿宋" w:hAnsi="仿宋" w:eastAsia="仿宋"/>
          <w:color w:val="000000"/>
          <w:sz w:val="28"/>
          <w:szCs w:val="28"/>
        </w:rPr>
        <w:t>的，将视为无效投标。</w:t>
      </w:r>
    </w:p>
    <w:p w14:paraId="1AC1EFF8">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二、投标人资格要求及有关规定</w:t>
      </w:r>
    </w:p>
    <w:p w14:paraId="590162B7">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（一）投标人基本资格要求</w:t>
      </w:r>
    </w:p>
    <w:p w14:paraId="014FBF65">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1.具有独立承担民事责任的能力；</w:t>
      </w:r>
    </w:p>
    <w:p w14:paraId="20C2DB7D">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2.具有良好的商业信誉和健全的财务会计制度；</w:t>
      </w:r>
    </w:p>
    <w:p w14:paraId="04016D16">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3.具有履行合同所必需的设备和专业技术能力；</w:t>
      </w:r>
    </w:p>
    <w:p w14:paraId="74613A30">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4.有依法缴纳税收的良好记录。</w:t>
      </w:r>
    </w:p>
    <w:p w14:paraId="6B966AEB">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（二）特定资格条件</w:t>
      </w:r>
    </w:p>
    <w:p w14:paraId="1729B02B">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1.投标人提供有效的《营业执照》副本（复印件必须是原件复印或扫描且加盖印章，装订至投标文件中，原件备查）。</w:t>
      </w:r>
    </w:p>
    <w:p w14:paraId="40D54DFC">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2.投标人营业执照经营范围必须有物业管理。</w:t>
      </w:r>
    </w:p>
    <w:p w14:paraId="42EC9D7F">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（三）投标有关规定</w:t>
      </w:r>
    </w:p>
    <w:p w14:paraId="041A52D1">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1.法定代表人为同一个人的，两个及两个以上法人，母公司、全资子公司及其控股公司，都不得在招标中同时投标。</w:t>
      </w:r>
    </w:p>
    <w:p w14:paraId="62363D6E">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2.本招标项目所有补遗文件（如果有）一律在重庆市潼南区住房和城乡建设委员会网站（http://</w:t>
      </w:r>
      <w:r>
        <w:rPr>
          <w:rFonts w:ascii="仿宋" w:hAnsi="仿宋" w:eastAsia="仿宋"/>
          <w:color w:val="000000"/>
          <w:sz w:val="28"/>
          <w:szCs w:val="28"/>
        </w:rPr>
        <w:t>www.cqtn.gov.cn/www/tncxjw</w:t>
      </w:r>
      <w:r>
        <w:rPr>
          <w:rFonts w:hint="eastAsia" w:ascii="仿宋" w:hAnsi="仿宋" w:eastAsia="仿宋"/>
          <w:color w:val="000000"/>
          <w:sz w:val="28"/>
          <w:szCs w:val="28"/>
        </w:rPr>
        <w:t>）上发布，请各投标人注意下载，无论是否下载，我公司视为投标人知晓。</w:t>
      </w:r>
    </w:p>
    <w:p w14:paraId="1C9E559A">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(四)特别说明：</w:t>
      </w:r>
    </w:p>
    <w:p w14:paraId="58AA13D4">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招标文件要求的所有材料的复印件加盖鲜章装订到投标文件中（复印件必须清晰），原件备查，评标若审查原件，于审查结束后退还各投标人，评委需审查原件时而未提供原件者视为无效投标。</w:t>
      </w:r>
    </w:p>
    <w:p w14:paraId="221CB2FC">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三、投标、开标有关说明</w:t>
      </w:r>
      <w:r>
        <w:rPr>
          <w:rFonts w:hint="eastAsia" w:ascii="仿宋" w:hAnsi="仿宋" w:eastAsia="仿宋"/>
          <w:color w:val="000000"/>
          <w:sz w:val="28"/>
          <w:szCs w:val="28"/>
        </w:rPr>
        <w:tab/>
      </w:r>
    </w:p>
    <w:p w14:paraId="5738F567">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（一）凡有意参加投标的投标人，请在重庆市潼南区住房和城乡建设委员会网站（http://</w:t>
      </w:r>
      <w:r>
        <w:rPr>
          <w:rFonts w:ascii="仿宋" w:hAnsi="仿宋" w:eastAsia="仿宋"/>
          <w:color w:val="000000"/>
          <w:sz w:val="28"/>
          <w:szCs w:val="28"/>
        </w:rPr>
        <w:t>www.cqtn.gov.cn/www/tncxjw</w:t>
      </w:r>
      <w:r>
        <w:rPr>
          <w:rFonts w:hint="eastAsia" w:ascii="仿宋" w:hAnsi="仿宋" w:eastAsia="仿宋"/>
          <w:color w:val="000000"/>
          <w:sz w:val="28"/>
          <w:szCs w:val="28"/>
        </w:rPr>
        <w:t>）上下载本项目招标文件和补遗等开标前公布的所有项目资料，无论投标人下载与否，均视为已知晓所有招标内容。</w:t>
      </w:r>
    </w:p>
    <w:p w14:paraId="3E6DFE23">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（二）招标文件公告期限：</w:t>
      </w:r>
      <w:r>
        <w:rPr>
          <w:rFonts w:hint="eastAsia" w:ascii="仿宋" w:hAnsi="仿宋" w:eastAsia="仿宋"/>
          <w:sz w:val="28"/>
          <w:szCs w:val="28"/>
        </w:rPr>
        <w:t>2021年</w:t>
      </w:r>
      <w:r>
        <w:rPr>
          <w:rFonts w:hint="eastAsia" w:ascii="仿宋" w:hAnsi="仿宋" w:eastAsia="仿宋"/>
          <w:sz w:val="28"/>
          <w:szCs w:val="28"/>
          <w:lang w:val="en-US" w:eastAsia="zh-CN"/>
        </w:rPr>
        <w:t>8</w:t>
      </w:r>
      <w:r>
        <w:rPr>
          <w:rFonts w:hint="eastAsia" w:ascii="仿宋" w:hAnsi="仿宋" w:eastAsia="仿宋"/>
          <w:sz w:val="28"/>
          <w:szCs w:val="28"/>
        </w:rPr>
        <w:t>月</w:t>
      </w:r>
      <w:r>
        <w:rPr>
          <w:rFonts w:hint="eastAsia" w:ascii="仿宋" w:hAnsi="仿宋" w:eastAsia="仿宋"/>
          <w:sz w:val="28"/>
          <w:szCs w:val="28"/>
          <w:lang w:val="en-US" w:eastAsia="zh-CN"/>
        </w:rPr>
        <w:t>31</w:t>
      </w:r>
      <w:r>
        <w:rPr>
          <w:rFonts w:hint="eastAsia" w:ascii="仿宋" w:hAnsi="仿宋" w:eastAsia="仿宋"/>
          <w:sz w:val="28"/>
          <w:szCs w:val="28"/>
        </w:rPr>
        <w:t>日至2021年</w:t>
      </w:r>
      <w:r>
        <w:rPr>
          <w:rFonts w:hint="eastAsia" w:ascii="仿宋" w:hAnsi="仿宋" w:eastAsia="仿宋"/>
          <w:sz w:val="28"/>
          <w:szCs w:val="28"/>
          <w:lang w:val="en-US" w:eastAsia="zh-CN"/>
        </w:rPr>
        <w:t>9</w:t>
      </w:r>
      <w:r>
        <w:rPr>
          <w:rFonts w:hint="eastAsia" w:ascii="仿宋" w:hAnsi="仿宋" w:eastAsia="仿宋"/>
          <w:sz w:val="28"/>
          <w:szCs w:val="28"/>
        </w:rPr>
        <w:t>月</w:t>
      </w:r>
      <w:r>
        <w:rPr>
          <w:rFonts w:hint="eastAsia" w:ascii="仿宋" w:hAnsi="仿宋" w:eastAsia="仿宋"/>
          <w:sz w:val="28"/>
          <w:szCs w:val="28"/>
          <w:lang w:val="en-US" w:eastAsia="zh-CN"/>
        </w:rPr>
        <w:t>8</w:t>
      </w:r>
      <w:r>
        <w:rPr>
          <w:rFonts w:hint="eastAsia" w:ascii="仿宋" w:hAnsi="仿宋" w:eastAsia="仿宋"/>
          <w:sz w:val="28"/>
          <w:szCs w:val="28"/>
        </w:rPr>
        <w:t>日</w:t>
      </w:r>
      <w:r>
        <w:rPr>
          <w:rFonts w:hint="eastAsia" w:ascii="仿宋" w:hAnsi="仿宋" w:eastAsia="仿宋"/>
          <w:color w:val="000000"/>
          <w:sz w:val="28"/>
          <w:szCs w:val="28"/>
        </w:rPr>
        <w:t>。</w:t>
      </w:r>
    </w:p>
    <w:p w14:paraId="767B035D">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（三）招标文件购买费为： 0元/份；。</w:t>
      </w:r>
    </w:p>
    <w:p w14:paraId="52B9B08D">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（四）投标人须在投标截止时间前满足以下三种要件，其投标才被接受：</w:t>
      </w:r>
    </w:p>
    <w:p w14:paraId="5CC1A690">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1、按时成功报名，报名截止时间</w:t>
      </w:r>
      <w:r>
        <w:rPr>
          <w:rFonts w:hint="eastAsia" w:ascii="仿宋" w:hAnsi="仿宋" w:eastAsia="仿宋"/>
          <w:sz w:val="28"/>
          <w:szCs w:val="28"/>
        </w:rPr>
        <w:t>2021年</w:t>
      </w:r>
      <w:r>
        <w:rPr>
          <w:rFonts w:hint="eastAsia" w:ascii="仿宋" w:hAnsi="仿宋" w:eastAsia="仿宋"/>
          <w:sz w:val="28"/>
          <w:szCs w:val="28"/>
          <w:lang w:val="en-US" w:eastAsia="zh-CN"/>
        </w:rPr>
        <w:t>9</w:t>
      </w:r>
      <w:r>
        <w:rPr>
          <w:rFonts w:hint="eastAsia" w:ascii="仿宋" w:hAnsi="仿宋" w:eastAsia="仿宋"/>
          <w:sz w:val="28"/>
          <w:szCs w:val="28"/>
        </w:rPr>
        <w:t>月</w:t>
      </w:r>
      <w:r>
        <w:rPr>
          <w:rFonts w:hint="eastAsia" w:ascii="仿宋" w:hAnsi="仿宋" w:eastAsia="仿宋"/>
          <w:sz w:val="28"/>
          <w:szCs w:val="28"/>
          <w:lang w:val="en-US" w:eastAsia="zh-CN"/>
        </w:rPr>
        <w:t>3</w:t>
      </w:r>
      <w:r>
        <w:rPr>
          <w:rFonts w:hint="eastAsia" w:ascii="仿宋" w:hAnsi="仿宋" w:eastAsia="仿宋"/>
          <w:sz w:val="28"/>
          <w:szCs w:val="28"/>
        </w:rPr>
        <w:t>日</w:t>
      </w:r>
      <w:r>
        <w:rPr>
          <w:rFonts w:hint="eastAsia" w:ascii="仿宋" w:hAnsi="仿宋" w:eastAsia="仿宋"/>
          <w:color w:val="000000"/>
          <w:sz w:val="28"/>
          <w:szCs w:val="28"/>
        </w:rPr>
        <w:t>；</w:t>
      </w:r>
    </w:p>
    <w:p w14:paraId="047BE7BB">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2、按时递交了投标文件；</w:t>
      </w:r>
    </w:p>
    <w:p w14:paraId="53D2C607">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3、按时签到。</w:t>
      </w:r>
    </w:p>
    <w:p w14:paraId="3D2D20F3">
      <w:pPr>
        <w:spacing w:line="400" w:lineRule="exact"/>
        <w:ind w:right="12" w:firstLine="480"/>
        <w:rPr>
          <w:rFonts w:ascii="仿宋" w:hAnsi="仿宋" w:eastAsia="仿宋"/>
          <w:sz w:val="28"/>
          <w:szCs w:val="28"/>
        </w:rPr>
      </w:pPr>
      <w:r>
        <w:rPr>
          <w:rFonts w:hint="eastAsia" w:ascii="仿宋" w:hAnsi="仿宋" w:eastAsia="仿宋"/>
          <w:sz w:val="28"/>
          <w:szCs w:val="28"/>
        </w:rPr>
        <w:t>（五）报名方式：提供报名单位的营业执照复印件盖公章（鲜章），扫描后以附件形式发送至reagan100@qq.com ,邮件标题请使用“</w:t>
      </w:r>
      <w:r>
        <w:rPr>
          <w:rFonts w:hint="eastAsia" w:ascii="仿宋_GB2312" w:eastAsia="仿宋_GB2312"/>
          <w:sz w:val="32"/>
          <w:szCs w:val="32"/>
          <w:lang w:val="en-US" w:eastAsia="zh-CN"/>
        </w:rPr>
        <w:t>YYNZX</w:t>
      </w:r>
      <w:r>
        <w:rPr>
          <w:rFonts w:hint="eastAsia" w:ascii="仿宋_GB2312" w:eastAsia="仿宋_GB2312"/>
          <w:sz w:val="32"/>
          <w:szCs w:val="32"/>
        </w:rPr>
        <w:t>2021-</w:t>
      </w:r>
      <w:r>
        <w:rPr>
          <w:rFonts w:hint="eastAsia" w:ascii="仿宋_GB2312" w:eastAsia="仿宋_GB2312"/>
          <w:sz w:val="32"/>
          <w:szCs w:val="32"/>
          <w:lang w:val="en-US" w:eastAsia="zh-CN"/>
        </w:rPr>
        <w:t>8</w:t>
      </w:r>
      <w:r>
        <w:rPr>
          <w:rFonts w:hint="eastAsia" w:ascii="仿宋_GB2312" w:eastAsia="仿宋_GB2312"/>
          <w:sz w:val="32"/>
          <w:szCs w:val="32"/>
        </w:rPr>
        <w:t>-1</w:t>
      </w:r>
      <w:r>
        <w:rPr>
          <w:rFonts w:hint="eastAsia" w:ascii="仿宋" w:hAnsi="仿宋" w:eastAsia="仿宋"/>
          <w:sz w:val="28"/>
          <w:szCs w:val="28"/>
        </w:rPr>
        <w:t>投标报名”，并在邮件正文注明本项目名称</w:t>
      </w:r>
      <w:r>
        <w:rPr>
          <w:rFonts w:hint="eastAsia" w:ascii="仿宋" w:hAnsi="仿宋" w:eastAsia="仿宋"/>
          <w:sz w:val="28"/>
          <w:szCs w:val="28"/>
          <w:lang w:eastAsia="zh-CN"/>
        </w:rPr>
        <w:t>、</w:t>
      </w:r>
      <w:r>
        <w:rPr>
          <w:rFonts w:hint="eastAsia" w:ascii="仿宋" w:hAnsi="仿宋" w:eastAsia="仿宋"/>
          <w:sz w:val="28"/>
          <w:szCs w:val="28"/>
        </w:rPr>
        <w:t>招标编号</w:t>
      </w:r>
      <w:r>
        <w:rPr>
          <w:rFonts w:hint="eastAsia" w:ascii="仿宋" w:hAnsi="仿宋" w:eastAsia="仿宋"/>
          <w:sz w:val="28"/>
          <w:szCs w:val="28"/>
          <w:lang w:val="en-US" w:eastAsia="zh-CN"/>
        </w:rPr>
        <w:t>和投标人代表姓名和电话</w:t>
      </w:r>
      <w:r>
        <w:rPr>
          <w:rFonts w:hint="eastAsia" w:ascii="仿宋" w:hAnsi="仿宋" w:eastAsia="仿宋"/>
          <w:sz w:val="28"/>
          <w:szCs w:val="28"/>
        </w:rPr>
        <w:t>，以报名截止时间前收到该邮箱回复的报名成功确认邮件为报名成功的标志，如报名后未收到确认邮件，请报名截止时间前通过本篇第八条的联系方式与招标人进行联系咨询。</w:t>
      </w:r>
    </w:p>
    <w:p w14:paraId="26B08732">
      <w:pPr>
        <w:spacing w:line="400" w:lineRule="exact"/>
        <w:ind w:right="12" w:firstLine="480"/>
        <w:rPr>
          <w:rFonts w:ascii="仿宋" w:hAnsi="仿宋" w:eastAsia="仿宋"/>
          <w:sz w:val="28"/>
          <w:szCs w:val="28"/>
        </w:rPr>
      </w:pPr>
      <w:r>
        <w:rPr>
          <w:rFonts w:hint="eastAsia" w:ascii="仿宋" w:hAnsi="仿宋" w:eastAsia="仿宋"/>
          <w:sz w:val="28"/>
          <w:szCs w:val="28"/>
        </w:rPr>
        <w:t>（六）投标签到时间：北京时间2021年</w:t>
      </w:r>
      <w:r>
        <w:rPr>
          <w:rFonts w:hint="eastAsia" w:ascii="仿宋" w:hAnsi="仿宋" w:eastAsia="仿宋"/>
          <w:sz w:val="28"/>
          <w:szCs w:val="28"/>
          <w:lang w:val="en-US" w:eastAsia="zh-CN"/>
        </w:rPr>
        <w:t>9</w:t>
      </w:r>
      <w:r>
        <w:rPr>
          <w:rFonts w:hint="eastAsia" w:ascii="仿宋" w:hAnsi="仿宋" w:eastAsia="仿宋"/>
          <w:sz w:val="28"/>
          <w:szCs w:val="28"/>
        </w:rPr>
        <w:t>月</w:t>
      </w:r>
      <w:r>
        <w:rPr>
          <w:rFonts w:hint="eastAsia" w:ascii="仿宋" w:hAnsi="仿宋" w:eastAsia="仿宋"/>
          <w:sz w:val="28"/>
          <w:szCs w:val="28"/>
          <w:lang w:val="en-US" w:eastAsia="zh-CN"/>
        </w:rPr>
        <w:t>9</w:t>
      </w:r>
      <w:r>
        <w:rPr>
          <w:rFonts w:hint="eastAsia" w:ascii="仿宋" w:hAnsi="仿宋" w:eastAsia="仿宋"/>
          <w:sz w:val="28"/>
          <w:szCs w:val="28"/>
        </w:rPr>
        <w:t>日9:00-9:30 ，报名成功的投标人必须在截止时间前将投标文件交到投标地点。</w:t>
      </w:r>
    </w:p>
    <w:p w14:paraId="4E6EE21C">
      <w:pPr>
        <w:spacing w:line="400" w:lineRule="exact"/>
        <w:ind w:right="12" w:firstLine="480"/>
        <w:rPr>
          <w:rFonts w:ascii="仿宋" w:hAnsi="仿宋" w:eastAsia="仿宋"/>
          <w:sz w:val="28"/>
          <w:szCs w:val="28"/>
        </w:rPr>
      </w:pPr>
      <w:r>
        <w:rPr>
          <w:rFonts w:hint="eastAsia" w:ascii="仿宋" w:hAnsi="仿宋" w:eastAsia="仿宋"/>
          <w:sz w:val="28"/>
          <w:szCs w:val="28"/>
        </w:rPr>
        <w:t>（七）开标会时间：北京时间2021年</w:t>
      </w:r>
      <w:r>
        <w:rPr>
          <w:rFonts w:hint="eastAsia" w:ascii="仿宋" w:hAnsi="仿宋" w:eastAsia="仿宋"/>
          <w:sz w:val="28"/>
          <w:szCs w:val="28"/>
          <w:lang w:val="en-US" w:eastAsia="zh-CN"/>
        </w:rPr>
        <w:t>9</w:t>
      </w:r>
      <w:r>
        <w:rPr>
          <w:rFonts w:hint="eastAsia" w:ascii="仿宋" w:hAnsi="仿宋" w:eastAsia="仿宋"/>
          <w:sz w:val="28"/>
          <w:szCs w:val="28"/>
        </w:rPr>
        <w:t>月</w:t>
      </w:r>
      <w:r>
        <w:rPr>
          <w:rFonts w:hint="eastAsia" w:ascii="仿宋" w:hAnsi="仿宋" w:eastAsia="仿宋"/>
          <w:sz w:val="28"/>
          <w:szCs w:val="28"/>
          <w:lang w:val="en-US" w:eastAsia="zh-CN"/>
        </w:rPr>
        <w:t>9</w:t>
      </w:r>
      <w:r>
        <w:rPr>
          <w:rFonts w:hint="eastAsia" w:ascii="仿宋" w:hAnsi="仿宋" w:eastAsia="仿宋"/>
          <w:sz w:val="28"/>
          <w:szCs w:val="28"/>
        </w:rPr>
        <w:t>日9:30。</w:t>
      </w:r>
    </w:p>
    <w:p w14:paraId="17AC1AE8">
      <w:pPr>
        <w:spacing w:line="400" w:lineRule="exact"/>
        <w:ind w:right="12" w:firstLine="480"/>
        <w:rPr>
          <w:rFonts w:ascii="仿宋" w:hAnsi="仿宋" w:eastAsia="仿宋"/>
          <w:sz w:val="28"/>
          <w:szCs w:val="28"/>
        </w:rPr>
      </w:pPr>
      <w:r>
        <w:rPr>
          <w:rFonts w:hint="eastAsia" w:ascii="仿宋" w:hAnsi="仿宋" w:eastAsia="仿宋"/>
          <w:sz w:val="28"/>
          <w:szCs w:val="28"/>
        </w:rPr>
        <w:t>（八）开标会地点：重庆市潼南区</w:t>
      </w:r>
      <w:r>
        <w:rPr>
          <w:rFonts w:hint="eastAsia" w:ascii="仿宋" w:hAnsi="仿宋" w:eastAsia="仿宋"/>
          <w:sz w:val="28"/>
          <w:szCs w:val="28"/>
          <w:lang w:val="en-US" w:eastAsia="zh-CN"/>
        </w:rPr>
        <w:t>梓潼</w:t>
      </w:r>
      <w:r>
        <w:rPr>
          <w:rFonts w:hint="eastAsia" w:ascii="仿宋" w:hAnsi="仿宋" w:eastAsia="仿宋"/>
          <w:sz w:val="28"/>
          <w:szCs w:val="28"/>
        </w:rPr>
        <w:t>街道办事处</w:t>
      </w:r>
      <w:r>
        <w:rPr>
          <w:rFonts w:hint="eastAsia" w:ascii="仿宋" w:hAnsi="仿宋" w:eastAsia="仿宋"/>
          <w:sz w:val="28"/>
          <w:szCs w:val="28"/>
          <w:lang w:val="en-US" w:eastAsia="zh-CN"/>
        </w:rPr>
        <w:t>渝能新城</w:t>
      </w:r>
      <w:r>
        <w:rPr>
          <w:rFonts w:hint="eastAsia" w:ascii="仿宋" w:hAnsi="仿宋" w:eastAsia="仿宋"/>
          <w:sz w:val="28"/>
          <w:szCs w:val="28"/>
          <w:lang w:eastAsia="zh-CN"/>
        </w:rPr>
        <w:t>售楼</w:t>
      </w:r>
      <w:r>
        <w:rPr>
          <w:rFonts w:hint="eastAsia" w:ascii="仿宋" w:hAnsi="仿宋" w:eastAsia="仿宋"/>
          <w:sz w:val="28"/>
          <w:szCs w:val="28"/>
        </w:rPr>
        <w:t>部会议室，如有更改，会电话通知报名成功单位，请保持报名电话通畅。</w:t>
      </w:r>
    </w:p>
    <w:p w14:paraId="37A61FF2">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四、超过投标截止时间的投标，招标人恕不接受。</w:t>
      </w:r>
    </w:p>
    <w:p w14:paraId="43AC0EE3">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五、投标人应在招标文件发出后对项目现场及周围环境自行踏勘。无论投标人是否踏勘过现场，均被认为在递交投标文件之前已踏勘现场，对本项目的风险和义务已经了解，并在投标文件中已充分考虑了现场和环境因素。踏勘现场所发生的费用由投标人自行承担。</w:t>
      </w:r>
    </w:p>
    <w:p w14:paraId="0902DAF9">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六、投标人及其相关人员经过招标人的许可，可因踏勘目的进入工程现场，但投标人及其相关人员不得因此使招标人及其相关人员承担有关的责任和损失。投标人并应对由此而造成的死亡、人身伤害、财产损失、损害以及任何其它损失、损害和引起的费用和开支承担责任。</w:t>
      </w:r>
    </w:p>
    <w:p w14:paraId="6E5F1ACA">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七、投标费用：投标人应承担其编制与递交投标文件所涉及的一切费用，无论投标结果如何，招标人对上述费用概不负责，均由投标人承担。</w:t>
      </w:r>
    </w:p>
    <w:p w14:paraId="70872AC6">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八、联系方式</w:t>
      </w:r>
    </w:p>
    <w:p w14:paraId="63383CA0">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（一）招标代理机构：重庆</w:t>
      </w:r>
      <w:r>
        <w:rPr>
          <w:rFonts w:hint="eastAsia" w:ascii="仿宋" w:hAnsi="仿宋" w:eastAsia="仿宋"/>
          <w:color w:val="000000"/>
          <w:sz w:val="28"/>
          <w:szCs w:val="28"/>
          <w:lang w:val="en-US" w:eastAsia="zh-CN"/>
        </w:rPr>
        <w:t>奕有诺</w:t>
      </w:r>
      <w:r>
        <w:rPr>
          <w:rFonts w:hint="eastAsia" w:ascii="仿宋" w:hAnsi="仿宋" w:eastAsia="仿宋"/>
          <w:color w:val="000000"/>
          <w:sz w:val="28"/>
          <w:szCs w:val="28"/>
        </w:rPr>
        <w:t>企业管理咨询服务有限公司</w:t>
      </w:r>
    </w:p>
    <w:p w14:paraId="35220434">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联系人：</w:t>
      </w:r>
      <w:r>
        <w:rPr>
          <w:rFonts w:hint="eastAsia" w:ascii="仿宋" w:hAnsi="仿宋" w:eastAsia="仿宋"/>
          <w:color w:val="000000"/>
          <w:sz w:val="28"/>
          <w:szCs w:val="28"/>
          <w:lang w:val="en-US" w:eastAsia="zh-CN"/>
        </w:rPr>
        <w:t>李</w:t>
      </w:r>
      <w:r>
        <w:rPr>
          <w:rFonts w:hint="eastAsia" w:ascii="仿宋" w:hAnsi="仿宋" w:eastAsia="仿宋"/>
          <w:color w:val="000000"/>
          <w:sz w:val="28"/>
          <w:szCs w:val="28"/>
        </w:rPr>
        <w:t xml:space="preserve">先生 </w:t>
      </w:r>
    </w:p>
    <w:p w14:paraId="26C178AA">
      <w:pPr>
        <w:spacing w:line="400" w:lineRule="exact"/>
        <w:ind w:right="12" w:firstLine="480"/>
        <w:rPr>
          <w:rFonts w:hint="default" w:ascii="仿宋" w:hAnsi="仿宋" w:eastAsia="仿宋"/>
          <w:color w:val="000000"/>
          <w:sz w:val="28"/>
          <w:szCs w:val="28"/>
          <w:lang w:val="en-US" w:eastAsia="zh-CN"/>
        </w:rPr>
      </w:pPr>
      <w:r>
        <w:rPr>
          <w:rFonts w:hint="eastAsia" w:ascii="仿宋" w:hAnsi="仿宋" w:eastAsia="仿宋"/>
          <w:color w:val="000000"/>
          <w:sz w:val="28"/>
          <w:szCs w:val="28"/>
        </w:rPr>
        <w:t>电  话：1</w:t>
      </w:r>
      <w:r>
        <w:rPr>
          <w:rFonts w:hint="eastAsia" w:ascii="仿宋" w:hAnsi="仿宋" w:eastAsia="仿宋"/>
          <w:color w:val="000000"/>
          <w:sz w:val="28"/>
          <w:szCs w:val="28"/>
          <w:lang w:val="en-US" w:eastAsia="zh-CN"/>
        </w:rPr>
        <w:t>5340588088</w:t>
      </w:r>
    </w:p>
    <w:p w14:paraId="6C9CD380">
      <w:pPr>
        <w:spacing w:line="400" w:lineRule="exact"/>
        <w:ind w:right="12" w:firstLine="480"/>
        <w:rPr>
          <w:rFonts w:hint="eastAsia" w:ascii="仿宋" w:hAnsi="仿宋" w:eastAsia="仿宋"/>
          <w:color w:val="000000"/>
          <w:sz w:val="28"/>
          <w:szCs w:val="28"/>
          <w:lang w:eastAsia="zh-CN"/>
        </w:rPr>
      </w:pPr>
      <w:r>
        <w:rPr>
          <w:rFonts w:hint="eastAsia" w:ascii="仿宋" w:hAnsi="仿宋" w:eastAsia="仿宋"/>
          <w:color w:val="000000"/>
          <w:sz w:val="28"/>
          <w:szCs w:val="28"/>
        </w:rPr>
        <w:t>（二）招标人：</w:t>
      </w:r>
      <w:r>
        <w:rPr>
          <w:rFonts w:hint="eastAsia" w:ascii="仿宋" w:hAnsi="仿宋" w:eastAsia="仿宋"/>
          <w:color w:val="000000"/>
          <w:sz w:val="28"/>
          <w:szCs w:val="28"/>
          <w:lang w:eastAsia="zh-CN"/>
        </w:rPr>
        <w:t>重庆博宁房地产开发有限公司</w:t>
      </w:r>
    </w:p>
    <w:p w14:paraId="7758A439">
      <w:pPr>
        <w:spacing w:line="400" w:lineRule="exact"/>
        <w:ind w:right="12" w:firstLine="480"/>
        <w:rPr>
          <w:rFonts w:hint="eastAsia" w:ascii="仿宋" w:hAnsi="仿宋" w:eastAsia="仿宋"/>
          <w:sz w:val="28"/>
          <w:szCs w:val="28"/>
          <w:lang w:eastAsia="zh-CN"/>
        </w:rPr>
      </w:pPr>
      <w:r>
        <w:rPr>
          <w:rFonts w:hint="eastAsia" w:ascii="仿宋" w:hAnsi="仿宋" w:eastAsia="仿宋"/>
          <w:sz w:val="28"/>
          <w:szCs w:val="28"/>
        </w:rPr>
        <w:t>联系人：</w:t>
      </w:r>
      <w:r>
        <w:rPr>
          <w:rFonts w:hint="eastAsia" w:ascii="仿宋" w:hAnsi="仿宋" w:eastAsia="仿宋"/>
          <w:sz w:val="28"/>
          <w:szCs w:val="28"/>
          <w:lang w:val="en-US" w:eastAsia="zh-CN"/>
        </w:rPr>
        <w:t>周晋</w:t>
      </w:r>
    </w:p>
    <w:p w14:paraId="3AF45121">
      <w:pPr>
        <w:spacing w:line="400" w:lineRule="exact"/>
        <w:ind w:right="12" w:firstLine="480"/>
        <w:rPr>
          <w:rFonts w:ascii="仿宋" w:hAnsi="仿宋" w:eastAsia="仿宋"/>
          <w:sz w:val="28"/>
          <w:szCs w:val="28"/>
        </w:rPr>
      </w:pPr>
      <w:r>
        <w:rPr>
          <w:rFonts w:hint="eastAsia" w:ascii="仿宋" w:hAnsi="仿宋" w:eastAsia="仿宋"/>
          <w:sz w:val="28"/>
          <w:szCs w:val="28"/>
        </w:rPr>
        <w:t>电  话：18623337167</w:t>
      </w:r>
    </w:p>
    <w:p w14:paraId="5500D237">
      <w:pPr>
        <w:spacing w:line="400" w:lineRule="exact"/>
        <w:ind w:right="12" w:firstLine="480"/>
        <w:rPr>
          <w:rFonts w:ascii="仿宋" w:hAnsi="仿宋" w:eastAsia="仿宋"/>
          <w:sz w:val="28"/>
          <w:szCs w:val="28"/>
        </w:rPr>
      </w:pPr>
    </w:p>
    <w:p w14:paraId="4B8DB9E0">
      <w:pPr>
        <w:snapToGrid w:val="0"/>
        <w:spacing w:line="500" w:lineRule="exact"/>
        <w:jc w:val="center"/>
        <w:outlineLvl w:val="0"/>
        <w:rPr>
          <w:rFonts w:ascii="仿宋" w:hAnsi="仿宋" w:eastAsia="仿宋"/>
          <w:b/>
          <w:color w:val="000000"/>
          <w:sz w:val="28"/>
          <w:szCs w:val="28"/>
        </w:rPr>
      </w:pPr>
      <w:bookmarkStart w:id="3" w:name="_Toc311729655"/>
      <w:bookmarkEnd w:id="3"/>
      <w:r>
        <w:rPr>
          <w:rFonts w:hint="eastAsia" w:ascii="仿宋" w:hAnsi="仿宋" w:eastAsia="仿宋"/>
          <w:b/>
          <w:color w:val="000000"/>
          <w:sz w:val="28"/>
          <w:szCs w:val="28"/>
        </w:rPr>
        <w:t>第二篇 项目介绍和服务要求</w:t>
      </w:r>
    </w:p>
    <w:p w14:paraId="2125F593">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投标人须明确承诺提供</w:t>
      </w:r>
      <w:r>
        <w:rPr>
          <w:rFonts w:hint="eastAsia" w:ascii="仿宋" w:hAnsi="仿宋" w:eastAsia="仿宋"/>
          <w:color w:val="000000"/>
          <w:sz w:val="28"/>
          <w:szCs w:val="28"/>
          <w:lang w:val="en-US" w:eastAsia="zh-CN"/>
        </w:rPr>
        <w:t>二</w:t>
      </w:r>
      <w:r>
        <w:rPr>
          <w:rFonts w:hint="eastAsia" w:ascii="仿宋" w:hAnsi="仿宋" w:eastAsia="仿宋"/>
          <w:color w:val="000000"/>
          <w:sz w:val="28"/>
          <w:szCs w:val="28"/>
        </w:rPr>
        <w:t>级住宅物业服务以上等级标准，具体服务方案请在投标文件中制作体现。</w:t>
      </w:r>
    </w:p>
    <w:p w14:paraId="3DD96108">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项目介绍</w:t>
      </w:r>
    </w:p>
    <w:p w14:paraId="19BE1CC1">
      <w:pPr>
        <w:spacing w:line="400" w:lineRule="exact"/>
        <w:ind w:right="12" w:firstLine="480"/>
        <w:rPr>
          <w:rFonts w:hint="eastAsia" w:ascii="仿宋" w:hAnsi="仿宋" w:eastAsia="仿宋"/>
          <w:sz w:val="28"/>
          <w:szCs w:val="28"/>
        </w:rPr>
      </w:pPr>
      <w:r>
        <w:rPr>
          <w:rFonts w:hint="eastAsia" w:ascii="仿宋" w:hAnsi="仿宋" w:eastAsia="仿宋"/>
          <w:sz w:val="28"/>
          <w:szCs w:val="28"/>
        </w:rPr>
        <w:t>一、名称：渝能新城</w:t>
      </w:r>
    </w:p>
    <w:p w14:paraId="20484919">
      <w:pPr>
        <w:spacing w:line="400" w:lineRule="exact"/>
        <w:ind w:right="12" w:firstLine="480"/>
        <w:rPr>
          <w:rFonts w:hint="eastAsia" w:ascii="仿宋" w:hAnsi="仿宋" w:eastAsia="仿宋"/>
          <w:sz w:val="28"/>
          <w:szCs w:val="28"/>
        </w:rPr>
      </w:pPr>
      <w:r>
        <w:rPr>
          <w:rFonts w:hint="eastAsia" w:ascii="仿宋" w:hAnsi="仿宋" w:eastAsia="仿宋"/>
          <w:sz w:val="28"/>
          <w:szCs w:val="28"/>
        </w:rPr>
        <w:t>二、物业位置：项目位于潼南区凉风垭经济园区锅铺湾至25队加油站</w:t>
      </w:r>
    </w:p>
    <w:p w14:paraId="445521EF">
      <w:pPr>
        <w:spacing w:line="400" w:lineRule="exact"/>
        <w:ind w:right="12" w:firstLine="480"/>
        <w:rPr>
          <w:rFonts w:hint="eastAsia" w:ascii="仿宋" w:hAnsi="仿宋" w:eastAsia="仿宋"/>
          <w:sz w:val="28"/>
          <w:szCs w:val="28"/>
        </w:rPr>
      </w:pPr>
      <w:r>
        <w:rPr>
          <w:rFonts w:hint="eastAsia" w:ascii="仿宋" w:hAnsi="仿宋" w:eastAsia="仿宋"/>
          <w:sz w:val="28"/>
          <w:szCs w:val="28"/>
        </w:rPr>
        <w:t xml:space="preserve">三、物业类型：商住 </w:t>
      </w:r>
    </w:p>
    <w:p w14:paraId="5C65D8B0">
      <w:pPr>
        <w:spacing w:line="400" w:lineRule="exact"/>
        <w:ind w:right="12" w:firstLine="480"/>
        <w:rPr>
          <w:rFonts w:hint="eastAsia" w:ascii="仿宋" w:hAnsi="仿宋" w:eastAsia="仿宋"/>
          <w:sz w:val="28"/>
          <w:szCs w:val="28"/>
        </w:rPr>
      </w:pPr>
      <w:r>
        <w:rPr>
          <w:rFonts w:hint="eastAsia" w:ascii="仿宋" w:hAnsi="仿宋" w:eastAsia="仿宋"/>
          <w:sz w:val="28"/>
          <w:szCs w:val="28"/>
        </w:rPr>
        <w:t>四、物业数据：</w:t>
      </w:r>
    </w:p>
    <w:p w14:paraId="093E80EE">
      <w:pPr>
        <w:spacing w:line="400" w:lineRule="exact"/>
        <w:ind w:right="12" w:firstLine="480"/>
        <w:rPr>
          <w:rFonts w:hint="eastAsia" w:ascii="仿宋" w:hAnsi="仿宋" w:eastAsia="仿宋"/>
          <w:sz w:val="28"/>
          <w:szCs w:val="28"/>
        </w:rPr>
      </w:pPr>
      <w:r>
        <w:rPr>
          <w:rFonts w:hint="eastAsia" w:ascii="仿宋" w:hAnsi="仿宋" w:eastAsia="仿宋"/>
          <w:sz w:val="28"/>
          <w:szCs w:val="28"/>
        </w:rPr>
        <w:t>渝能新城规划设计的物业类型主要为商住，区域四至：西：待开发空地，东：广宇路，北：中石化凉风垭加油站，南：公园世家。</w:t>
      </w:r>
    </w:p>
    <w:p w14:paraId="62C2687F">
      <w:pPr>
        <w:spacing w:line="400" w:lineRule="exact"/>
        <w:ind w:right="12" w:firstLine="480"/>
        <w:rPr>
          <w:rFonts w:hint="eastAsia" w:ascii="仿宋" w:hAnsi="仿宋" w:eastAsia="仿宋"/>
          <w:sz w:val="28"/>
          <w:szCs w:val="28"/>
        </w:rPr>
      </w:pPr>
      <w:r>
        <w:rPr>
          <w:rFonts w:hint="eastAsia" w:ascii="仿宋" w:hAnsi="仿宋" w:eastAsia="仿宋"/>
          <w:sz w:val="28"/>
          <w:szCs w:val="28"/>
        </w:rPr>
        <w:t>规划建设净用地面积为26980平方米，项目绿地率为35.01%，整体容积率为3.18，建筑密度29.99%。总建筑面积108691.82平方米，其中：住宅建筑面积约79670.39平方米（电梯房66547.85平方米，无电梯房13122.54平方米），商业建筑面积约5118.41平方米；建筑物总面积23696.81平方米；地下设备房面积1766.43平方米；绿化面积9460平方米。项目共有10栋楼（其中高层4栋，洋房6栋），共718户住宅，社区配套用房433.76平方米，物业管理用房774.14平方米，地下停车位590个。主要功能为居民住宅、休闲设施和停车场等。</w:t>
      </w:r>
    </w:p>
    <w:p w14:paraId="7B2CF83D">
      <w:pPr>
        <w:spacing w:line="400" w:lineRule="exact"/>
        <w:ind w:right="12" w:firstLine="480"/>
        <w:rPr>
          <w:rFonts w:hint="eastAsia" w:ascii="仿宋" w:hAnsi="仿宋" w:eastAsia="仿宋"/>
          <w:sz w:val="28"/>
          <w:szCs w:val="28"/>
        </w:rPr>
      </w:pPr>
      <w:r>
        <w:rPr>
          <w:rFonts w:hint="eastAsia" w:ascii="仿宋" w:hAnsi="仿宋" w:eastAsia="仿宋"/>
          <w:sz w:val="28"/>
          <w:szCs w:val="28"/>
        </w:rPr>
        <w:t>五、规划建设基本情况</w:t>
      </w:r>
    </w:p>
    <w:p w14:paraId="5A70881E">
      <w:pPr>
        <w:spacing w:line="400" w:lineRule="exact"/>
        <w:ind w:right="12" w:firstLine="480"/>
        <w:rPr>
          <w:rFonts w:hint="eastAsia" w:ascii="仿宋" w:hAnsi="仿宋" w:eastAsia="仿宋"/>
          <w:sz w:val="28"/>
          <w:szCs w:val="28"/>
        </w:rPr>
      </w:pPr>
      <w:r>
        <w:rPr>
          <w:rFonts w:hint="eastAsia" w:ascii="仿宋" w:hAnsi="仿宋" w:eastAsia="仿宋"/>
          <w:sz w:val="28"/>
          <w:szCs w:val="28"/>
        </w:rPr>
        <w:t>（一）建设单位及交付时间</w:t>
      </w:r>
    </w:p>
    <w:p w14:paraId="778A7ED3">
      <w:pPr>
        <w:spacing w:line="400" w:lineRule="exact"/>
        <w:ind w:right="12" w:firstLine="480"/>
        <w:rPr>
          <w:rFonts w:hint="eastAsia" w:ascii="仿宋" w:hAnsi="仿宋" w:eastAsia="仿宋"/>
          <w:sz w:val="28"/>
          <w:szCs w:val="28"/>
        </w:rPr>
      </w:pPr>
      <w:r>
        <w:rPr>
          <w:rFonts w:hint="eastAsia" w:ascii="仿宋" w:hAnsi="仿宋" w:eastAsia="仿宋"/>
          <w:sz w:val="28"/>
          <w:szCs w:val="28"/>
        </w:rPr>
        <w:t>1、开发单位：重庆博宁房地产开发有限公司</w:t>
      </w:r>
    </w:p>
    <w:p w14:paraId="4D84E2E2">
      <w:pPr>
        <w:spacing w:line="400" w:lineRule="exact"/>
        <w:ind w:right="12" w:firstLine="480"/>
        <w:rPr>
          <w:rFonts w:hint="eastAsia" w:ascii="仿宋" w:hAnsi="仿宋" w:eastAsia="仿宋"/>
          <w:sz w:val="28"/>
          <w:szCs w:val="28"/>
        </w:rPr>
      </w:pPr>
      <w:r>
        <w:rPr>
          <w:rFonts w:hint="eastAsia" w:ascii="仿宋" w:hAnsi="仿宋" w:eastAsia="仿宋"/>
          <w:sz w:val="28"/>
          <w:szCs w:val="28"/>
        </w:rPr>
        <w:t>2、设计单位：四川构想建筑工程设计有限公司</w:t>
      </w:r>
    </w:p>
    <w:p w14:paraId="113E89DE">
      <w:pPr>
        <w:spacing w:line="400" w:lineRule="exact"/>
        <w:ind w:right="12" w:firstLine="480"/>
        <w:rPr>
          <w:rFonts w:hint="eastAsia" w:ascii="仿宋" w:hAnsi="仿宋" w:eastAsia="仿宋"/>
          <w:sz w:val="28"/>
          <w:szCs w:val="28"/>
        </w:rPr>
      </w:pPr>
      <w:r>
        <w:rPr>
          <w:rFonts w:hint="eastAsia" w:ascii="仿宋" w:hAnsi="仿宋" w:eastAsia="仿宋"/>
          <w:sz w:val="28"/>
          <w:szCs w:val="28"/>
        </w:rPr>
        <w:t xml:space="preserve">3、计划竣工日期：一期已竣工完成，二期2022年12月31日，三期2023年12月31日。        </w:t>
      </w:r>
    </w:p>
    <w:p w14:paraId="69F35DCD">
      <w:pPr>
        <w:spacing w:line="400" w:lineRule="exact"/>
        <w:ind w:right="12" w:firstLine="480"/>
        <w:rPr>
          <w:rFonts w:hint="eastAsia" w:ascii="仿宋" w:hAnsi="仿宋" w:eastAsia="仿宋"/>
          <w:sz w:val="28"/>
          <w:szCs w:val="28"/>
        </w:rPr>
      </w:pPr>
      <w:r>
        <w:rPr>
          <w:rFonts w:hint="eastAsia" w:ascii="仿宋" w:hAnsi="仿宋" w:eastAsia="仿宋"/>
          <w:sz w:val="28"/>
          <w:szCs w:val="28"/>
        </w:rPr>
        <w:t>（二）物业设施设备</w:t>
      </w:r>
    </w:p>
    <w:p w14:paraId="76396925">
      <w:pPr>
        <w:spacing w:line="400" w:lineRule="exact"/>
        <w:ind w:right="12" w:firstLine="480"/>
        <w:rPr>
          <w:rFonts w:hint="eastAsia" w:ascii="仿宋" w:hAnsi="仿宋" w:eastAsia="仿宋"/>
          <w:sz w:val="28"/>
          <w:szCs w:val="28"/>
        </w:rPr>
      </w:pPr>
      <w:r>
        <w:rPr>
          <w:rFonts w:hint="eastAsia" w:ascii="仿宋" w:hAnsi="仿宋" w:eastAsia="仿宋"/>
          <w:sz w:val="28"/>
          <w:szCs w:val="28"/>
        </w:rPr>
        <w:t>1.化粪池：3个，2400立方米。</w:t>
      </w:r>
    </w:p>
    <w:p w14:paraId="788C7BCB">
      <w:pPr>
        <w:spacing w:line="400" w:lineRule="exact"/>
        <w:ind w:right="12" w:firstLine="480"/>
        <w:rPr>
          <w:rFonts w:hint="eastAsia" w:ascii="仿宋" w:hAnsi="仿宋" w:eastAsia="仿宋"/>
          <w:sz w:val="28"/>
          <w:szCs w:val="28"/>
        </w:rPr>
      </w:pPr>
      <w:r>
        <w:rPr>
          <w:rFonts w:hint="eastAsia" w:ascii="仿宋" w:hAnsi="仿宋" w:eastAsia="仿宋"/>
          <w:sz w:val="28"/>
          <w:szCs w:val="28"/>
        </w:rPr>
        <w:t>2. 2个人行出入口和2个车行出入口（一期1个人行出入口和1个车行出入口）。</w:t>
      </w:r>
    </w:p>
    <w:p w14:paraId="4317E9D4">
      <w:pPr>
        <w:spacing w:line="400" w:lineRule="exact"/>
        <w:ind w:right="12" w:firstLine="480"/>
        <w:rPr>
          <w:rFonts w:hint="eastAsia" w:ascii="仿宋" w:hAnsi="仿宋" w:eastAsia="仿宋"/>
          <w:sz w:val="28"/>
          <w:szCs w:val="28"/>
        </w:rPr>
      </w:pPr>
      <w:r>
        <w:rPr>
          <w:rFonts w:hint="eastAsia" w:ascii="仿宋" w:hAnsi="仿宋" w:eastAsia="仿宋"/>
          <w:sz w:val="28"/>
          <w:szCs w:val="28"/>
        </w:rPr>
        <w:t>3. 电梯台数共14台，28F的8台；24F的2台；6F的4台。</w:t>
      </w:r>
    </w:p>
    <w:p w14:paraId="1DAB0A13">
      <w:pPr>
        <w:spacing w:line="400" w:lineRule="exact"/>
        <w:ind w:right="12" w:firstLine="480"/>
        <w:rPr>
          <w:rFonts w:hint="eastAsia" w:ascii="仿宋" w:hAnsi="仿宋" w:eastAsia="仿宋"/>
          <w:sz w:val="28"/>
          <w:szCs w:val="28"/>
        </w:rPr>
      </w:pPr>
      <w:r>
        <w:rPr>
          <w:rFonts w:hint="eastAsia" w:ascii="仿宋" w:hAnsi="仿宋" w:eastAsia="仿宋"/>
          <w:sz w:val="28"/>
          <w:szCs w:val="28"/>
        </w:rPr>
        <w:t>（三）配套情况</w:t>
      </w:r>
    </w:p>
    <w:p w14:paraId="34A843EF">
      <w:pPr>
        <w:spacing w:line="400" w:lineRule="exact"/>
        <w:ind w:right="12" w:firstLine="480"/>
        <w:rPr>
          <w:rFonts w:ascii="仿宋" w:hAnsi="仿宋" w:eastAsia="仿宋"/>
          <w:sz w:val="28"/>
          <w:szCs w:val="28"/>
        </w:rPr>
      </w:pPr>
      <w:r>
        <w:rPr>
          <w:rFonts w:hint="eastAsia" w:ascii="仿宋" w:hAnsi="仿宋" w:eastAsia="仿宋"/>
          <w:sz w:val="28"/>
          <w:szCs w:val="28"/>
        </w:rPr>
        <w:t>小区设有供配电系统，弱电安防系统，给排水系统，消防水系统（喷淋系统，室内外消火栓系统），通风系统，消防风系统（正压送风系统，排烟及补风系统），燃气系统等。</w:t>
      </w:r>
    </w:p>
    <w:p w14:paraId="093B1E19">
      <w:pPr>
        <w:spacing w:line="500" w:lineRule="exact"/>
        <w:jc w:val="center"/>
        <w:outlineLvl w:val="0"/>
        <w:rPr>
          <w:rFonts w:ascii="仿宋" w:hAnsi="仿宋" w:eastAsia="仿宋"/>
          <w:b/>
          <w:color w:val="000000"/>
          <w:sz w:val="28"/>
          <w:szCs w:val="28"/>
        </w:rPr>
      </w:pPr>
      <w:r>
        <w:rPr>
          <w:rFonts w:hint="eastAsia" w:ascii="仿宋" w:hAnsi="仿宋" w:eastAsia="仿宋"/>
          <w:b/>
          <w:color w:val="000000"/>
          <w:sz w:val="28"/>
          <w:szCs w:val="28"/>
        </w:rPr>
        <w:t>第三篇 项目商务要求</w:t>
      </w:r>
    </w:p>
    <w:p w14:paraId="719E452E">
      <w:pPr>
        <w:spacing w:line="400" w:lineRule="exact"/>
        <w:ind w:right="12" w:firstLine="480"/>
        <w:rPr>
          <w:rFonts w:ascii="仿宋" w:hAnsi="仿宋" w:eastAsia="仿宋"/>
          <w:color w:val="000000"/>
          <w:sz w:val="28"/>
          <w:szCs w:val="28"/>
        </w:rPr>
      </w:pPr>
      <w:bookmarkStart w:id="4" w:name="_Toc271791968"/>
      <w:bookmarkEnd w:id="4"/>
      <w:r>
        <w:rPr>
          <w:rFonts w:hint="eastAsia" w:ascii="仿宋" w:hAnsi="仿宋" w:eastAsia="仿宋"/>
          <w:color w:val="000000"/>
          <w:sz w:val="28"/>
          <w:szCs w:val="28"/>
        </w:rPr>
        <w:t>一、服务时间：从项目交房入伙开始计算，服务时间三年。</w:t>
      </w:r>
    </w:p>
    <w:p w14:paraId="5DFCD8D5">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二、地点：</w:t>
      </w:r>
      <w:r>
        <w:rPr>
          <w:rFonts w:hint="eastAsia" w:ascii="仿宋" w:hAnsi="仿宋" w:eastAsia="仿宋"/>
          <w:color w:val="000000"/>
          <w:sz w:val="28"/>
          <w:szCs w:val="28"/>
          <w:lang w:eastAsia="zh-CN"/>
        </w:rPr>
        <w:t>渝能新城</w:t>
      </w:r>
      <w:r>
        <w:rPr>
          <w:rFonts w:hint="eastAsia" w:ascii="仿宋" w:hAnsi="仿宋" w:eastAsia="仿宋"/>
          <w:color w:val="000000"/>
          <w:sz w:val="28"/>
          <w:szCs w:val="28"/>
        </w:rPr>
        <w:t>小区。</w:t>
      </w:r>
    </w:p>
    <w:p w14:paraId="4BB194C6">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三、质量保证及售后服务内容：</w:t>
      </w:r>
    </w:p>
    <w:p w14:paraId="5956F69D">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投标人应承诺提供的服务满足招标人要求。</w:t>
      </w:r>
    </w:p>
    <w:p w14:paraId="3FD860B3">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投标人应承诺根据招标人的合理建议，做好物业服务工作。</w:t>
      </w:r>
    </w:p>
    <w:p w14:paraId="413D87F7">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投标人应承诺对服务人员进行培训，以提高服务人员的服务意识和服务质量。</w:t>
      </w:r>
    </w:p>
    <w:p w14:paraId="18E4A9BB">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投标人可根据自身实力，作更为优惠的服务承诺。</w:t>
      </w:r>
    </w:p>
    <w:p w14:paraId="706B569E">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四、知识产权</w:t>
      </w:r>
    </w:p>
    <w:p w14:paraId="3D70F9F0">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招标人在中华人民共和国境内使用投标人提供的货物及服务时免受第三方提出的侵犯其专利权或其它知识产权的起诉。如果第三方提出侵权指控，中标人应承担由此而引起的一切法律责任和费用。</w:t>
      </w:r>
    </w:p>
    <w:p w14:paraId="5FB037BC">
      <w:pPr>
        <w:spacing w:line="400" w:lineRule="exact"/>
        <w:ind w:right="12" w:firstLine="480"/>
        <w:rPr>
          <w:rFonts w:ascii="仿宋" w:hAnsi="仿宋" w:eastAsia="仿宋"/>
          <w:color w:val="000000"/>
          <w:sz w:val="28"/>
          <w:szCs w:val="28"/>
        </w:rPr>
      </w:pPr>
      <w:bookmarkStart w:id="5" w:name="_Toc271791971"/>
      <w:bookmarkEnd w:id="5"/>
      <w:bookmarkStart w:id="6" w:name="_Toc271791969"/>
      <w:bookmarkEnd w:id="6"/>
      <w:r>
        <w:rPr>
          <w:rFonts w:hint="eastAsia" w:ascii="仿宋" w:hAnsi="仿宋" w:eastAsia="仿宋"/>
          <w:color w:val="000000"/>
          <w:sz w:val="28"/>
          <w:szCs w:val="28"/>
        </w:rPr>
        <w:t>五、其他未尽事宜由供需双方在商务合同中详细约定。</w:t>
      </w:r>
      <w:bookmarkStart w:id="7" w:name="_Toc311729662"/>
      <w:bookmarkEnd w:id="7"/>
    </w:p>
    <w:p w14:paraId="0B7F18BF">
      <w:pPr>
        <w:spacing w:line="500" w:lineRule="exact"/>
        <w:ind w:firstLine="560" w:firstLineChars="200"/>
        <w:jc w:val="left"/>
        <w:rPr>
          <w:rFonts w:ascii="仿宋" w:hAnsi="仿宋" w:eastAsia="仿宋"/>
          <w:color w:val="000000"/>
          <w:sz w:val="28"/>
          <w:szCs w:val="28"/>
        </w:rPr>
      </w:pPr>
    </w:p>
    <w:p w14:paraId="12E7E677">
      <w:pPr>
        <w:snapToGrid w:val="0"/>
        <w:spacing w:line="500" w:lineRule="exact"/>
        <w:jc w:val="center"/>
        <w:outlineLvl w:val="0"/>
        <w:rPr>
          <w:rFonts w:ascii="仿宋" w:hAnsi="仿宋" w:eastAsia="仿宋"/>
          <w:b/>
          <w:color w:val="000000"/>
          <w:sz w:val="28"/>
          <w:szCs w:val="28"/>
        </w:rPr>
      </w:pPr>
      <w:r>
        <w:rPr>
          <w:rFonts w:hint="eastAsia" w:ascii="仿宋" w:hAnsi="仿宋" w:eastAsia="仿宋"/>
          <w:b/>
          <w:color w:val="000000"/>
          <w:sz w:val="28"/>
          <w:szCs w:val="28"/>
        </w:rPr>
        <w:t xml:space="preserve">第四篇 </w:t>
      </w:r>
      <w:bookmarkStart w:id="8" w:name="_Toc271791973"/>
      <w:bookmarkEnd w:id="8"/>
      <w:r>
        <w:rPr>
          <w:rFonts w:hint="eastAsia" w:ascii="仿宋" w:hAnsi="仿宋" w:eastAsia="仿宋"/>
          <w:b/>
          <w:color w:val="000000"/>
          <w:sz w:val="28"/>
          <w:szCs w:val="28"/>
        </w:rPr>
        <w:t>评标方法、评标标准、无效投标条款和废标条款</w:t>
      </w:r>
    </w:p>
    <w:p w14:paraId="434A112D">
      <w:pPr>
        <w:spacing w:line="400" w:lineRule="exact"/>
        <w:ind w:right="12" w:firstLine="480"/>
        <w:rPr>
          <w:rFonts w:ascii="仿宋" w:hAnsi="仿宋" w:eastAsia="仿宋"/>
          <w:color w:val="000000"/>
          <w:sz w:val="28"/>
          <w:szCs w:val="28"/>
        </w:rPr>
      </w:pPr>
      <w:bookmarkStart w:id="9" w:name="_Toc316654047"/>
      <w:bookmarkEnd w:id="9"/>
      <w:bookmarkStart w:id="10" w:name="_Toc311729664"/>
      <w:r>
        <w:rPr>
          <w:rFonts w:hint="eastAsia" w:ascii="仿宋" w:hAnsi="仿宋" w:eastAsia="仿宋"/>
          <w:color w:val="000000"/>
          <w:sz w:val="28"/>
          <w:szCs w:val="28"/>
        </w:rPr>
        <w:t>一、评标方法</w:t>
      </w:r>
      <w:bookmarkEnd w:id="10"/>
    </w:p>
    <w:p w14:paraId="7AD30BD6">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（一）评标方法定义</w:t>
      </w:r>
    </w:p>
    <w:p w14:paraId="25DC3025">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本项目采用综合评分法进行评标。综合评分法是指投标文件满足招标文件全部实质性要求且按照评审因素的量化指标评审得分最高的投标人为中标候选人的评标方法。投标人总得分为价格、技术、答辩等评定因素分别按照相应权重值计算分项得分后相加，满分为100分。</w:t>
      </w:r>
    </w:p>
    <w:p w14:paraId="33079FFF">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（二）评标程序</w:t>
      </w:r>
    </w:p>
    <w:p w14:paraId="1FCDED46">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评标工作由招标机构负责组织，具体评标事务由依法组建的评标委员会负责（评标委员会成员由招标人到区物业科评标专家库随机抽取4名评标专家和1名招标人代表组成）。</w:t>
      </w:r>
    </w:p>
    <w:p w14:paraId="01A5BB1E">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评标委员会成员到位后，推举其中一位评审专家担任评审组长，并由评审组长牵头组织该项目评审工作。评标委员会按以下程序独立履行评审职责：</w:t>
      </w:r>
    </w:p>
    <w:p w14:paraId="4D388F4B">
      <w:pPr>
        <w:numPr>
          <w:ilvl w:val="0"/>
          <w:numId w:val="1"/>
        </w:num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资格性检查。依据法律法规和招标文件的规定，对投标文件中的资格证明等进行审查，以确定投标人是否具备投标资格。请投标人代表手持一份法定代表人授权委托书和身份证原件，以便监标人在评标会现场确认身份。</w:t>
      </w:r>
    </w:p>
    <w:p w14:paraId="4BA6300F">
      <w:pPr>
        <w:spacing w:line="400" w:lineRule="exact"/>
        <w:ind w:right="12"/>
        <w:rPr>
          <w:rFonts w:ascii="仿宋" w:hAnsi="仿宋" w:eastAsia="仿宋"/>
          <w:color w:val="000000"/>
          <w:sz w:val="28"/>
          <w:szCs w:val="28"/>
        </w:rPr>
      </w:pPr>
    </w:p>
    <w:p w14:paraId="205291D3">
      <w:pPr>
        <w:spacing w:line="400" w:lineRule="exact"/>
        <w:ind w:right="12"/>
        <w:rPr>
          <w:rFonts w:ascii="仿宋" w:hAnsi="仿宋" w:eastAsia="仿宋"/>
          <w:color w:val="000000"/>
          <w:sz w:val="28"/>
          <w:szCs w:val="28"/>
        </w:rPr>
      </w:pPr>
    </w:p>
    <w:p w14:paraId="5BB6D26A">
      <w:pPr>
        <w:spacing w:line="400" w:lineRule="exact"/>
        <w:ind w:right="12"/>
        <w:rPr>
          <w:rFonts w:ascii="仿宋" w:hAnsi="仿宋" w:eastAsia="仿宋"/>
          <w:color w:val="000000"/>
          <w:sz w:val="28"/>
          <w:szCs w:val="28"/>
        </w:rPr>
      </w:pPr>
    </w:p>
    <w:p w14:paraId="559BA2EC">
      <w:pPr>
        <w:spacing w:line="400" w:lineRule="exact"/>
        <w:ind w:right="12"/>
        <w:rPr>
          <w:rFonts w:ascii="仿宋" w:hAnsi="仿宋" w:eastAsia="仿宋"/>
          <w:color w:val="000000"/>
          <w:sz w:val="28"/>
          <w:szCs w:val="28"/>
        </w:rPr>
      </w:pPr>
    </w:p>
    <w:p w14:paraId="2B606243">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资格性检查资料表如下：</w:t>
      </w:r>
    </w:p>
    <w:tbl>
      <w:tblPr>
        <w:tblStyle w:val="11"/>
        <w:tblW w:w="10200" w:type="dxa"/>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877"/>
        <w:gridCol w:w="4110"/>
        <w:gridCol w:w="4433"/>
      </w:tblGrid>
      <w:tr w14:paraId="0035D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80" w:type="dxa"/>
            <w:vAlign w:val="center"/>
          </w:tcPr>
          <w:p w14:paraId="67AA117C">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序号</w:t>
            </w:r>
          </w:p>
        </w:tc>
        <w:tc>
          <w:tcPr>
            <w:tcW w:w="4987" w:type="dxa"/>
            <w:gridSpan w:val="2"/>
            <w:vAlign w:val="center"/>
          </w:tcPr>
          <w:p w14:paraId="4C113E47">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检查因素</w:t>
            </w:r>
          </w:p>
        </w:tc>
        <w:tc>
          <w:tcPr>
            <w:tcW w:w="4433" w:type="dxa"/>
            <w:vAlign w:val="center"/>
          </w:tcPr>
          <w:p w14:paraId="51CA1521">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检查内容</w:t>
            </w:r>
          </w:p>
        </w:tc>
      </w:tr>
      <w:tr w14:paraId="3F0BB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trPr>
        <w:tc>
          <w:tcPr>
            <w:tcW w:w="780" w:type="dxa"/>
            <w:vMerge w:val="restart"/>
            <w:vAlign w:val="center"/>
          </w:tcPr>
          <w:p w14:paraId="4D09566B">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1</w:t>
            </w:r>
          </w:p>
        </w:tc>
        <w:tc>
          <w:tcPr>
            <w:tcW w:w="877" w:type="dxa"/>
            <w:vMerge w:val="restart"/>
            <w:vAlign w:val="center"/>
          </w:tcPr>
          <w:p w14:paraId="14D767D6">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投标人应符合的基本资格条件</w:t>
            </w:r>
          </w:p>
        </w:tc>
        <w:tc>
          <w:tcPr>
            <w:tcW w:w="4110" w:type="dxa"/>
            <w:vAlign w:val="center"/>
          </w:tcPr>
          <w:p w14:paraId="18148734">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（1）具有独立承担民事责任的能力</w:t>
            </w:r>
          </w:p>
        </w:tc>
        <w:tc>
          <w:tcPr>
            <w:tcW w:w="4433" w:type="dxa"/>
            <w:vAlign w:val="center"/>
          </w:tcPr>
          <w:p w14:paraId="5320A570">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投标人法人营业执照；</w:t>
            </w:r>
          </w:p>
          <w:p w14:paraId="0799252B">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投标人法定代表人身份证明或法定代表人授权代表委托书。</w:t>
            </w:r>
          </w:p>
        </w:tc>
      </w:tr>
      <w:tr w14:paraId="5B421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780" w:type="dxa"/>
            <w:vMerge w:val="continue"/>
            <w:vAlign w:val="center"/>
          </w:tcPr>
          <w:p w14:paraId="587692ED">
            <w:pPr>
              <w:spacing w:line="400" w:lineRule="exact"/>
              <w:ind w:right="12" w:firstLine="480"/>
              <w:rPr>
                <w:rFonts w:ascii="仿宋" w:hAnsi="仿宋" w:eastAsia="仿宋"/>
                <w:color w:val="000000"/>
                <w:sz w:val="28"/>
                <w:szCs w:val="28"/>
              </w:rPr>
            </w:pPr>
          </w:p>
        </w:tc>
        <w:tc>
          <w:tcPr>
            <w:tcW w:w="877" w:type="dxa"/>
            <w:vMerge w:val="continue"/>
            <w:vAlign w:val="center"/>
          </w:tcPr>
          <w:p w14:paraId="58F6E5FA">
            <w:pPr>
              <w:spacing w:line="400" w:lineRule="exact"/>
              <w:ind w:right="12" w:firstLine="480"/>
              <w:rPr>
                <w:rFonts w:ascii="仿宋" w:hAnsi="仿宋" w:eastAsia="仿宋"/>
                <w:color w:val="000000"/>
                <w:sz w:val="28"/>
                <w:szCs w:val="28"/>
              </w:rPr>
            </w:pPr>
          </w:p>
        </w:tc>
        <w:tc>
          <w:tcPr>
            <w:tcW w:w="4110" w:type="dxa"/>
            <w:vAlign w:val="center"/>
          </w:tcPr>
          <w:p w14:paraId="31ED73C9">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（2）具有良好的商业信誉和健全的财务会计制度</w:t>
            </w:r>
          </w:p>
        </w:tc>
        <w:tc>
          <w:tcPr>
            <w:tcW w:w="4433" w:type="dxa"/>
            <w:vMerge w:val="restart"/>
            <w:vAlign w:val="center"/>
          </w:tcPr>
          <w:p w14:paraId="08C715D8">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投标人提供诚信声明</w:t>
            </w:r>
          </w:p>
        </w:tc>
      </w:tr>
      <w:tr w14:paraId="696AC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780" w:type="dxa"/>
            <w:vMerge w:val="continue"/>
            <w:vAlign w:val="center"/>
          </w:tcPr>
          <w:p w14:paraId="433D1E67">
            <w:pPr>
              <w:spacing w:line="400" w:lineRule="exact"/>
              <w:ind w:right="12" w:firstLine="480"/>
              <w:rPr>
                <w:rFonts w:ascii="仿宋" w:hAnsi="仿宋" w:eastAsia="仿宋"/>
                <w:color w:val="000000"/>
                <w:sz w:val="28"/>
                <w:szCs w:val="28"/>
              </w:rPr>
            </w:pPr>
          </w:p>
        </w:tc>
        <w:tc>
          <w:tcPr>
            <w:tcW w:w="877" w:type="dxa"/>
            <w:vMerge w:val="continue"/>
            <w:vAlign w:val="center"/>
          </w:tcPr>
          <w:p w14:paraId="442D5470">
            <w:pPr>
              <w:spacing w:line="400" w:lineRule="exact"/>
              <w:ind w:right="12" w:firstLine="480"/>
              <w:rPr>
                <w:rFonts w:ascii="仿宋" w:hAnsi="仿宋" w:eastAsia="仿宋"/>
                <w:color w:val="000000"/>
                <w:sz w:val="28"/>
                <w:szCs w:val="28"/>
              </w:rPr>
            </w:pPr>
          </w:p>
        </w:tc>
        <w:tc>
          <w:tcPr>
            <w:tcW w:w="4110" w:type="dxa"/>
            <w:vAlign w:val="center"/>
          </w:tcPr>
          <w:p w14:paraId="526E1174">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（3）具有履行合同所必需的设备和专业技术能力</w:t>
            </w:r>
          </w:p>
        </w:tc>
        <w:tc>
          <w:tcPr>
            <w:tcW w:w="4433" w:type="dxa"/>
            <w:vMerge w:val="continue"/>
            <w:vAlign w:val="center"/>
          </w:tcPr>
          <w:p w14:paraId="3ADFCEFF">
            <w:pPr>
              <w:spacing w:line="400" w:lineRule="exact"/>
              <w:ind w:right="12" w:firstLine="480"/>
              <w:rPr>
                <w:rFonts w:ascii="仿宋" w:hAnsi="仿宋" w:eastAsia="仿宋"/>
                <w:color w:val="000000"/>
                <w:sz w:val="28"/>
                <w:szCs w:val="28"/>
              </w:rPr>
            </w:pPr>
          </w:p>
        </w:tc>
      </w:tr>
      <w:tr w14:paraId="0DDFF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780" w:type="dxa"/>
            <w:vMerge w:val="continue"/>
            <w:vAlign w:val="center"/>
          </w:tcPr>
          <w:p w14:paraId="132CEFCF">
            <w:pPr>
              <w:spacing w:line="400" w:lineRule="exact"/>
              <w:ind w:right="12" w:firstLine="480"/>
              <w:rPr>
                <w:rFonts w:ascii="仿宋" w:hAnsi="仿宋" w:eastAsia="仿宋"/>
                <w:color w:val="000000"/>
                <w:sz w:val="28"/>
                <w:szCs w:val="28"/>
              </w:rPr>
            </w:pPr>
          </w:p>
        </w:tc>
        <w:tc>
          <w:tcPr>
            <w:tcW w:w="877" w:type="dxa"/>
            <w:vMerge w:val="continue"/>
            <w:vAlign w:val="center"/>
          </w:tcPr>
          <w:p w14:paraId="47F154C1">
            <w:pPr>
              <w:spacing w:line="400" w:lineRule="exact"/>
              <w:ind w:right="12" w:firstLine="480"/>
              <w:rPr>
                <w:rFonts w:ascii="仿宋" w:hAnsi="仿宋" w:eastAsia="仿宋"/>
                <w:color w:val="000000"/>
                <w:sz w:val="28"/>
                <w:szCs w:val="28"/>
              </w:rPr>
            </w:pPr>
          </w:p>
        </w:tc>
        <w:tc>
          <w:tcPr>
            <w:tcW w:w="4110" w:type="dxa"/>
            <w:vAlign w:val="center"/>
          </w:tcPr>
          <w:p w14:paraId="4135AF81">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（4）有依法缴纳税收的良好记录</w:t>
            </w:r>
          </w:p>
        </w:tc>
        <w:tc>
          <w:tcPr>
            <w:tcW w:w="4433" w:type="dxa"/>
            <w:vMerge w:val="continue"/>
            <w:vAlign w:val="center"/>
          </w:tcPr>
          <w:p w14:paraId="04D25000">
            <w:pPr>
              <w:spacing w:line="400" w:lineRule="exact"/>
              <w:ind w:right="12" w:firstLine="480"/>
              <w:rPr>
                <w:rFonts w:ascii="仿宋" w:hAnsi="仿宋" w:eastAsia="仿宋"/>
                <w:color w:val="000000"/>
                <w:sz w:val="28"/>
                <w:szCs w:val="28"/>
              </w:rPr>
            </w:pPr>
          </w:p>
        </w:tc>
      </w:tr>
      <w:tr w14:paraId="661FE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780" w:type="dxa"/>
            <w:vAlign w:val="center"/>
          </w:tcPr>
          <w:p w14:paraId="572EC0F8">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2</w:t>
            </w:r>
          </w:p>
        </w:tc>
        <w:tc>
          <w:tcPr>
            <w:tcW w:w="4987" w:type="dxa"/>
            <w:gridSpan w:val="2"/>
            <w:vAlign w:val="center"/>
          </w:tcPr>
          <w:p w14:paraId="1830597A">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特定资格条件：投标人营业执照经营范围必须有物业管理。</w:t>
            </w:r>
          </w:p>
        </w:tc>
        <w:tc>
          <w:tcPr>
            <w:tcW w:w="4433" w:type="dxa"/>
            <w:vAlign w:val="center"/>
          </w:tcPr>
          <w:p w14:paraId="455793CE">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证明材料的复印件（加盖投标人公章），原件备查</w:t>
            </w:r>
          </w:p>
        </w:tc>
      </w:tr>
      <w:tr w14:paraId="6A43F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780" w:type="dxa"/>
            <w:vAlign w:val="center"/>
          </w:tcPr>
          <w:p w14:paraId="3C3CE5DE">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3</w:t>
            </w:r>
          </w:p>
        </w:tc>
        <w:tc>
          <w:tcPr>
            <w:tcW w:w="4987" w:type="dxa"/>
            <w:gridSpan w:val="2"/>
            <w:vAlign w:val="center"/>
          </w:tcPr>
          <w:p w14:paraId="695739FC">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投标人明确承诺提供</w:t>
            </w:r>
            <w:r>
              <w:rPr>
                <w:rFonts w:hint="eastAsia" w:ascii="仿宋" w:hAnsi="仿宋" w:eastAsia="仿宋"/>
                <w:color w:val="000000"/>
                <w:sz w:val="28"/>
                <w:szCs w:val="28"/>
                <w:lang w:val="en-US" w:eastAsia="zh-CN"/>
              </w:rPr>
              <w:t>二</w:t>
            </w:r>
            <w:r>
              <w:rPr>
                <w:rFonts w:hint="eastAsia" w:ascii="仿宋" w:hAnsi="仿宋" w:eastAsia="仿宋"/>
                <w:color w:val="000000"/>
                <w:sz w:val="28"/>
                <w:szCs w:val="28"/>
              </w:rPr>
              <w:t>级住宅物业服务或以上服务标准</w:t>
            </w:r>
          </w:p>
        </w:tc>
        <w:tc>
          <w:tcPr>
            <w:tcW w:w="4433" w:type="dxa"/>
            <w:vAlign w:val="center"/>
          </w:tcPr>
          <w:p w14:paraId="45B9CE69">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投标人在投标文件中明确承诺提供</w:t>
            </w:r>
            <w:r>
              <w:rPr>
                <w:rFonts w:hint="eastAsia" w:ascii="仿宋" w:hAnsi="仿宋" w:eastAsia="仿宋"/>
                <w:color w:val="000000"/>
                <w:sz w:val="28"/>
                <w:szCs w:val="28"/>
                <w:lang w:val="en-US" w:eastAsia="zh-CN"/>
              </w:rPr>
              <w:t>二</w:t>
            </w:r>
            <w:r>
              <w:rPr>
                <w:rFonts w:hint="eastAsia" w:ascii="仿宋" w:hAnsi="仿宋" w:eastAsia="仿宋"/>
                <w:color w:val="000000"/>
                <w:sz w:val="28"/>
                <w:szCs w:val="28"/>
              </w:rPr>
              <w:t>级住宅物业服务以上服务标准，并清楚列举条款</w:t>
            </w:r>
          </w:p>
        </w:tc>
      </w:tr>
      <w:tr w14:paraId="5D47C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780" w:type="dxa"/>
            <w:vAlign w:val="center"/>
          </w:tcPr>
          <w:p w14:paraId="222EC093">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4</w:t>
            </w:r>
          </w:p>
        </w:tc>
        <w:tc>
          <w:tcPr>
            <w:tcW w:w="4987" w:type="dxa"/>
            <w:gridSpan w:val="2"/>
            <w:vAlign w:val="center"/>
          </w:tcPr>
          <w:p w14:paraId="33AE2988">
            <w:pPr>
              <w:spacing w:line="400" w:lineRule="exact"/>
              <w:ind w:right="12"/>
              <w:rPr>
                <w:rFonts w:ascii="仿宋" w:hAnsi="仿宋" w:eastAsia="仿宋"/>
                <w:color w:val="000000"/>
                <w:sz w:val="28"/>
                <w:szCs w:val="28"/>
              </w:rPr>
            </w:pPr>
            <w:r>
              <w:rPr>
                <w:rFonts w:ascii="仿宋" w:hAnsi="仿宋" w:eastAsia="仿宋"/>
                <w:color w:val="000000"/>
                <w:sz w:val="28"/>
                <w:szCs w:val="28"/>
              </w:rPr>
              <w:t>投标人</w:t>
            </w:r>
            <w:r>
              <w:rPr>
                <w:rFonts w:hint="eastAsia" w:ascii="仿宋" w:hAnsi="仿宋" w:eastAsia="仿宋"/>
                <w:color w:val="000000"/>
                <w:sz w:val="28"/>
                <w:szCs w:val="28"/>
              </w:rPr>
              <w:t>对应</w:t>
            </w:r>
            <w:r>
              <w:rPr>
                <w:rFonts w:ascii="仿宋" w:hAnsi="仿宋" w:eastAsia="仿宋"/>
                <w:color w:val="000000"/>
                <w:sz w:val="28"/>
                <w:szCs w:val="28"/>
              </w:rPr>
              <w:t>第三篇要求提供商务响应差异情况表</w:t>
            </w:r>
          </w:p>
        </w:tc>
        <w:tc>
          <w:tcPr>
            <w:tcW w:w="4433" w:type="dxa"/>
            <w:vAlign w:val="center"/>
          </w:tcPr>
          <w:p w14:paraId="156C4463">
            <w:pPr>
              <w:spacing w:line="400" w:lineRule="exact"/>
              <w:ind w:right="12"/>
              <w:rPr>
                <w:rFonts w:ascii="仿宋" w:hAnsi="仿宋" w:eastAsia="仿宋"/>
                <w:color w:val="000000"/>
                <w:sz w:val="28"/>
                <w:szCs w:val="28"/>
              </w:rPr>
            </w:pPr>
            <w:r>
              <w:rPr>
                <w:rFonts w:ascii="仿宋" w:hAnsi="仿宋" w:eastAsia="仿宋"/>
                <w:color w:val="000000"/>
                <w:sz w:val="28"/>
                <w:szCs w:val="28"/>
              </w:rPr>
              <w:t>投标人</w:t>
            </w:r>
            <w:r>
              <w:rPr>
                <w:rFonts w:hint="eastAsia" w:ascii="仿宋" w:hAnsi="仿宋" w:eastAsia="仿宋"/>
                <w:color w:val="000000"/>
                <w:sz w:val="28"/>
                <w:szCs w:val="28"/>
              </w:rPr>
              <w:t>对应</w:t>
            </w:r>
            <w:r>
              <w:rPr>
                <w:rFonts w:ascii="仿宋" w:hAnsi="仿宋" w:eastAsia="仿宋"/>
                <w:color w:val="000000"/>
                <w:sz w:val="28"/>
                <w:szCs w:val="28"/>
              </w:rPr>
              <w:t>第三篇要求提供商务响应差异情况表</w:t>
            </w:r>
            <w:r>
              <w:rPr>
                <w:rFonts w:hint="eastAsia" w:ascii="仿宋" w:hAnsi="仿宋" w:eastAsia="仿宋"/>
                <w:color w:val="000000"/>
                <w:sz w:val="28"/>
                <w:szCs w:val="28"/>
              </w:rPr>
              <w:t>，</w:t>
            </w:r>
            <w:r>
              <w:rPr>
                <w:rFonts w:ascii="仿宋" w:hAnsi="仿宋" w:eastAsia="仿宋"/>
                <w:color w:val="000000"/>
                <w:sz w:val="28"/>
                <w:szCs w:val="28"/>
              </w:rPr>
              <w:t>且只允许</w:t>
            </w:r>
            <w:r>
              <w:rPr>
                <w:rFonts w:hint="eastAsia" w:ascii="仿宋" w:hAnsi="仿宋" w:eastAsia="仿宋"/>
                <w:color w:val="000000"/>
                <w:sz w:val="28"/>
                <w:szCs w:val="28"/>
              </w:rPr>
              <w:t>无差异或</w:t>
            </w:r>
            <w:r>
              <w:rPr>
                <w:rFonts w:ascii="仿宋" w:hAnsi="仿宋" w:eastAsia="仿宋"/>
                <w:color w:val="000000"/>
                <w:sz w:val="28"/>
                <w:szCs w:val="28"/>
              </w:rPr>
              <w:t>正差异</w:t>
            </w:r>
          </w:p>
        </w:tc>
      </w:tr>
    </w:tbl>
    <w:p w14:paraId="3C1C06BB">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2、符合性检查。依据招标文件的规定，从投标文件的有效性、完整性和对招标文件的响应程度进行审查，以确定是否对招标文件的要求作出响应。</w:t>
      </w:r>
    </w:p>
    <w:p w14:paraId="71E418EF">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符合性检查资料表如下：</w:t>
      </w:r>
    </w:p>
    <w:tbl>
      <w:tblPr>
        <w:tblStyle w:val="1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2410"/>
        <w:gridCol w:w="5409"/>
      </w:tblGrid>
      <w:tr w14:paraId="70C4A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3E6F7304">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序号</w:t>
            </w:r>
          </w:p>
        </w:tc>
        <w:tc>
          <w:tcPr>
            <w:tcW w:w="3544" w:type="dxa"/>
            <w:gridSpan w:val="2"/>
            <w:vAlign w:val="center"/>
          </w:tcPr>
          <w:p w14:paraId="40A3634D">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评审因素</w:t>
            </w:r>
          </w:p>
        </w:tc>
        <w:tc>
          <w:tcPr>
            <w:tcW w:w="5409" w:type="dxa"/>
            <w:vAlign w:val="center"/>
          </w:tcPr>
          <w:p w14:paraId="78B1CD0A">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评审标准</w:t>
            </w:r>
          </w:p>
        </w:tc>
      </w:tr>
      <w:tr w14:paraId="72B93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2DBFB380">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1</w:t>
            </w:r>
          </w:p>
        </w:tc>
        <w:tc>
          <w:tcPr>
            <w:tcW w:w="1134" w:type="dxa"/>
            <w:vMerge w:val="restart"/>
            <w:vAlign w:val="center"/>
          </w:tcPr>
          <w:p w14:paraId="406EE063">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有效性审查</w:t>
            </w:r>
          </w:p>
        </w:tc>
        <w:tc>
          <w:tcPr>
            <w:tcW w:w="2410" w:type="dxa"/>
            <w:vAlign w:val="center"/>
          </w:tcPr>
          <w:p w14:paraId="6DE94C48">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投标文件签署</w:t>
            </w:r>
          </w:p>
        </w:tc>
        <w:tc>
          <w:tcPr>
            <w:tcW w:w="5409" w:type="dxa"/>
            <w:vAlign w:val="center"/>
          </w:tcPr>
          <w:p w14:paraId="41CD6FB2">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投标文件内法定代表人或其授权代表人的签字和公章齐全。封面和签字盖章页内，对招标人、代理公司和投标公司必须以全称称呼和落款。</w:t>
            </w:r>
          </w:p>
        </w:tc>
      </w:tr>
      <w:tr w14:paraId="345A3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55247A7F">
            <w:pPr>
              <w:spacing w:line="400" w:lineRule="exact"/>
              <w:ind w:right="12" w:firstLine="480"/>
              <w:rPr>
                <w:rFonts w:ascii="仿宋" w:hAnsi="仿宋" w:eastAsia="仿宋"/>
                <w:color w:val="000000"/>
                <w:sz w:val="28"/>
                <w:szCs w:val="28"/>
              </w:rPr>
            </w:pPr>
          </w:p>
        </w:tc>
        <w:tc>
          <w:tcPr>
            <w:tcW w:w="1134" w:type="dxa"/>
            <w:vMerge w:val="continue"/>
            <w:vAlign w:val="center"/>
          </w:tcPr>
          <w:p w14:paraId="747EDC62">
            <w:pPr>
              <w:spacing w:line="400" w:lineRule="exact"/>
              <w:ind w:right="12" w:firstLine="480"/>
              <w:rPr>
                <w:rFonts w:ascii="仿宋" w:hAnsi="仿宋" w:eastAsia="仿宋"/>
                <w:color w:val="000000"/>
                <w:sz w:val="28"/>
                <w:szCs w:val="28"/>
              </w:rPr>
            </w:pPr>
          </w:p>
        </w:tc>
        <w:tc>
          <w:tcPr>
            <w:tcW w:w="2410" w:type="dxa"/>
            <w:vAlign w:val="center"/>
          </w:tcPr>
          <w:p w14:paraId="76DF9F41">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法定代表人身份证明或授权委托书</w:t>
            </w:r>
          </w:p>
        </w:tc>
        <w:tc>
          <w:tcPr>
            <w:tcW w:w="5409" w:type="dxa"/>
            <w:vAlign w:val="center"/>
          </w:tcPr>
          <w:p w14:paraId="74286514">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法定代表人身份证明或授权委托书有效，符合招标文件规定的格式且签章齐全。</w:t>
            </w:r>
          </w:p>
        </w:tc>
      </w:tr>
      <w:tr w14:paraId="2A669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5F97BEF6">
            <w:pPr>
              <w:spacing w:line="400" w:lineRule="exact"/>
              <w:ind w:right="12" w:firstLine="480"/>
              <w:rPr>
                <w:rFonts w:ascii="仿宋" w:hAnsi="仿宋" w:eastAsia="仿宋"/>
                <w:color w:val="000000"/>
                <w:sz w:val="28"/>
                <w:szCs w:val="28"/>
              </w:rPr>
            </w:pPr>
          </w:p>
        </w:tc>
        <w:tc>
          <w:tcPr>
            <w:tcW w:w="1134" w:type="dxa"/>
            <w:vMerge w:val="continue"/>
            <w:vAlign w:val="center"/>
          </w:tcPr>
          <w:p w14:paraId="6777B6DC">
            <w:pPr>
              <w:spacing w:line="400" w:lineRule="exact"/>
              <w:ind w:right="12" w:firstLine="480"/>
              <w:rPr>
                <w:rFonts w:ascii="仿宋" w:hAnsi="仿宋" w:eastAsia="仿宋"/>
                <w:color w:val="000000"/>
                <w:sz w:val="28"/>
                <w:szCs w:val="28"/>
              </w:rPr>
            </w:pPr>
          </w:p>
        </w:tc>
        <w:tc>
          <w:tcPr>
            <w:tcW w:w="2410" w:type="dxa"/>
            <w:vAlign w:val="center"/>
          </w:tcPr>
          <w:p w14:paraId="4DD837C3">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投标方案</w:t>
            </w:r>
          </w:p>
        </w:tc>
        <w:tc>
          <w:tcPr>
            <w:tcW w:w="5409" w:type="dxa"/>
            <w:vAlign w:val="center"/>
          </w:tcPr>
          <w:p w14:paraId="46EFFDC0">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每个合同包只能有一个方案投标。</w:t>
            </w:r>
          </w:p>
        </w:tc>
      </w:tr>
      <w:tr w14:paraId="1E935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6D32077E">
            <w:pPr>
              <w:spacing w:line="400" w:lineRule="exact"/>
              <w:ind w:right="12" w:firstLine="480"/>
              <w:rPr>
                <w:rFonts w:ascii="仿宋" w:hAnsi="仿宋" w:eastAsia="仿宋"/>
                <w:color w:val="000000"/>
                <w:sz w:val="28"/>
                <w:szCs w:val="28"/>
              </w:rPr>
            </w:pPr>
          </w:p>
        </w:tc>
        <w:tc>
          <w:tcPr>
            <w:tcW w:w="1134" w:type="dxa"/>
            <w:vMerge w:val="continue"/>
            <w:vAlign w:val="center"/>
          </w:tcPr>
          <w:p w14:paraId="1C37FE3B">
            <w:pPr>
              <w:spacing w:line="400" w:lineRule="exact"/>
              <w:ind w:right="12" w:firstLine="480"/>
              <w:rPr>
                <w:rFonts w:ascii="仿宋" w:hAnsi="仿宋" w:eastAsia="仿宋"/>
                <w:color w:val="000000"/>
                <w:sz w:val="28"/>
                <w:szCs w:val="28"/>
              </w:rPr>
            </w:pPr>
          </w:p>
        </w:tc>
        <w:tc>
          <w:tcPr>
            <w:tcW w:w="2410" w:type="dxa"/>
            <w:vAlign w:val="center"/>
          </w:tcPr>
          <w:p w14:paraId="723105F5">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报价唯一</w:t>
            </w:r>
          </w:p>
        </w:tc>
        <w:tc>
          <w:tcPr>
            <w:tcW w:w="5409" w:type="dxa"/>
            <w:vAlign w:val="center"/>
          </w:tcPr>
          <w:p w14:paraId="3F4DD6B4">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只能在限价范围内报价，只能有一个有效报价，不得提交选择性报价。</w:t>
            </w:r>
          </w:p>
        </w:tc>
      </w:tr>
      <w:tr w14:paraId="5A303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Merge w:val="restart"/>
            <w:vAlign w:val="center"/>
          </w:tcPr>
          <w:p w14:paraId="13C17718">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2</w:t>
            </w:r>
          </w:p>
        </w:tc>
        <w:tc>
          <w:tcPr>
            <w:tcW w:w="1134" w:type="dxa"/>
            <w:vMerge w:val="restart"/>
            <w:vAlign w:val="center"/>
          </w:tcPr>
          <w:p w14:paraId="0EA2B83D">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完整性审查</w:t>
            </w:r>
          </w:p>
        </w:tc>
        <w:tc>
          <w:tcPr>
            <w:tcW w:w="2410" w:type="dxa"/>
            <w:vAlign w:val="center"/>
          </w:tcPr>
          <w:p w14:paraId="40D6E43B">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投标文件份数</w:t>
            </w:r>
          </w:p>
        </w:tc>
        <w:tc>
          <w:tcPr>
            <w:tcW w:w="5409" w:type="dxa"/>
            <w:vAlign w:val="center"/>
          </w:tcPr>
          <w:p w14:paraId="7C80907E">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投标文件正、副本数量符合招标文件要求。</w:t>
            </w:r>
          </w:p>
        </w:tc>
      </w:tr>
      <w:tr w14:paraId="21DDF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vAlign w:val="center"/>
          </w:tcPr>
          <w:p w14:paraId="187C49FC">
            <w:pPr>
              <w:spacing w:line="400" w:lineRule="exact"/>
              <w:ind w:right="12" w:firstLine="480"/>
              <w:rPr>
                <w:rFonts w:ascii="仿宋" w:hAnsi="仿宋" w:eastAsia="仿宋"/>
                <w:color w:val="000000"/>
                <w:sz w:val="28"/>
                <w:szCs w:val="28"/>
              </w:rPr>
            </w:pPr>
          </w:p>
        </w:tc>
        <w:tc>
          <w:tcPr>
            <w:tcW w:w="1134" w:type="dxa"/>
            <w:vMerge w:val="continue"/>
            <w:vAlign w:val="center"/>
          </w:tcPr>
          <w:p w14:paraId="6021EC02">
            <w:pPr>
              <w:spacing w:line="400" w:lineRule="exact"/>
              <w:ind w:right="12" w:firstLine="480"/>
              <w:rPr>
                <w:rFonts w:ascii="仿宋" w:hAnsi="仿宋" w:eastAsia="仿宋"/>
                <w:color w:val="000000"/>
                <w:sz w:val="28"/>
                <w:szCs w:val="28"/>
              </w:rPr>
            </w:pPr>
          </w:p>
        </w:tc>
        <w:tc>
          <w:tcPr>
            <w:tcW w:w="2410" w:type="dxa"/>
            <w:vAlign w:val="center"/>
          </w:tcPr>
          <w:p w14:paraId="57B8E918">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投标文件内容</w:t>
            </w:r>
          </w:p>
        </w:tc>
        <w:tc>
          <w:tcPr>
            <w:tcW w:w="5409" w:type="dxa"/>
            <w:vAlign w:val="center"/>
          </w:tcPr>
          <w:p w14:paraId="0FE6AABF">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投标文件封面、目录、技术部分、经济部分齐全、无遗漏。</w:t>
            </w:r>
          </w:p>
        </w:tc>
      </w:tr>
      <w:tr w14:paraId="6F2E4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675" w:type="dxa"/>
            <w:vMerge w:val="restart"/>
            <w:vAlign w:val="center"/>
          </w:tcPr>
          <w:p w14:paraId="5160A582">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3</w:t>
            </w:r>
          </w:p>
        </w:tc>
        <w:tc>
          <w:tcPr>
            <w:tcW w:w="1134" w:type="dxa"/>
            <w:vMerge w:val="restart"/>
            <w:vAlign w:val="center"/>
          </w:tcPr>
          <w:p w14:paraId="2D1E1319">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招标文件的响应程度审查</w:t>
            </w:r>
          </w:p>
        </w:tc>
        <w:tc>
          <w:tcPr>
            <w:tcW w:w="2410" w:type="dxa"/>
            <w:vAlign w:val="center"/>
          </w:tcPr>
          <w:p w14:paraId="4FF51CD7">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投标文件内容</w:t>
            </w:r>
          </w:p>
        </w:tc>
        <w:tc>
          <w:tcPr>
            <w:tcW w:w="5409" w:type="dxa"/>
            <w:vAlign w:val="center"/>
          </w:tcPr>
          <w:p w14:paraId="4BA12EB4">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对招标文件规定的招标内容全部作出响应。</w:t>
            </w:r>
          </w:p>
        </w:tc>
      </w:tr>
      <w:tr w14:paraId="0F7DE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2485C6CF">
            <w:pPr>
              <w:spacing w:line="400" w:lineRule="exact"/>
              <w:ind w:right="12" w:firstLine="480"/>
              <w:rPr>
                <w:rFonts w:ascii="仿宋" w:hAnsi="仿宋" w:eastAsia="仿宋"/>
                <w:color w:val="000000"/>
                <w:sz w:val="28"/>
                <w:szCs w:val="28"/>
              </w:rPr>
            </w:pPr>
          </w:p>
        </w:tc>
        <w:tc>
          <w:tcPr>
            <w:tcW w:w="1134" w:type="dxa"/>
            <w:vMerge w:val="continue"/>
            <w:vAlign w:val="center"/>
          </w:tcPr>
          <w:p w14:paraId="30E624D6">
            <w:pPr>
              <w:spacing w:line="400" w:lineRule="exact"/>
              <w:ind w:right="12" w:firstLine="480"/>
              <w:rPr>
                <w:rFonts w:ascii="仿宋" w:hAnsi="仿宋" w:eastAsia="仿宋"/>
                <w:color w:val="000000"/>
                <w:sz w:val="28"/>
                <w:szCs w:val="28"/>
              </w:rPr>
            </w:pPr>
          </w:p>
        </w:tc>
        <w:tc>
          <w:tcPr>
            <w:tcW w:w="2410" w:type="dxa"/>
            <w:vAlign w:val="center"/>
          </w:tcPr>
          <w:p w14:paraId="5E196FF6">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投标有效期</w:t>
            </w:r>
          </w:p>
        </w:tc>
        <w:tc>
          <w:tcPr>
            <w:tcW w:w="5409" w:type="dxa"/>
            <w:vAlign w:val="center"/>
          </w:tcPr>
          <w:p w14:paraId="0535F3AB">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满足招标文件规定。</w:t>
            </w:r>
          </w:p>
        </w:tc>
      </w:tr>
    </w:tbl>
    <w:p w14:paraId="1BCDEC90">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3、澄清有关问题。对投标文件中含义不明确、同类问题表述不一致或者有明显文字和计算错误的内容，评标委员会可以现场要求投标人作出必要澄清、说明或者纠正。投标人的澄清、说明或者补正应当采用书面形式，由其法人或法人授权代表签字，其澄清的内容不得超出投标文件的范围或者改变投标文件的实质性内容。</w:t>
      </w:r>
    </w:p>
    <w:p w14:paraId="2DB61A39">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4、比较与评价。按招标文件中规定的评标方法和标准，对资格性检查和符合性检查合格的投标文件进行商务和技术评估。</w:t>
      </w:r>
    </w:p>
    <w:p w14:paraId="5DCD46B4">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评标委员会各成员独立对每个有效投标人的投标文件进行评价、打分，然后由评审组长组织评标委员会成员对各评委打分情况进行核查及复核，个别评委对同一投标人同一评分项的打分偏离较大的，应对投标人的投标文件进行再次核对，确属打分有误的，应及时进行修正。</w:t>
      </w:r>
    </w:p>
    <w:p w14:paraId="0A811188">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复核后，招标代理机构汇总每个投标人每项评分因素的得分。</w:t>
      </w:r>
    </w:p>
    <w:p w14:paraId="4992ED84">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5、推荐中标候选人名单。按评审后得分由高到低的排列顺序推荐综合得分排名前三的投标人为本分包（项目）中标候选人，排名第一的为第一中标候选人。得分相同的，按经济标得分由高到低顺序排列。</w:t>
      </w:r>
    </w:p>
    <w:p w14:paraId="2AEE03D2">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二、评标标准</w:t>
      </w:r>
      <w:bookmarkStart w:id="11" w:name="_Toc311729665"/>
      <w:bookmarkEnd w:id="11"/>
      <w:r>
        <w:rPr>
          <w:rFonts w:hint="eastAsia" w:ascii="仿宋" w:hAnsi="仿宋" w:eastAsia="仿宋"/>
          <w:color w:val="000000"/>
          <w:sz w:val="28"/>
          <w:szCs w:val="28"/>
        </w:rPr>
        <w:t>：</w:t>
      </w:r>
    </w:p>
    <w:tbl>
      <w:tblPr>
        <w:tblStyle w:val="11"/>
        <w:tblW w:w="9921" w:type="dxa"/>
        <w:tblInd w:w="-34" w:type="dxa"/>
        <w:tblLayout w:type="fixed"/>
        <w:tblCellMar>
          <w:top w:w="0" w:type="dxa"/>
          <w:left w:w="108" w:type="dxa"/>
          <w:bottom w:w="0" w:type="dxa"/>
          <w:right w:w="108" w:type="dxa"/>
        </w:tblCellMar>
      </w:tblPr>
      <w:tblGrid>
        <w:gridCol w:w="1359"/>
        <w:gridCol w:w="585"/>
        <w:gridCol w:w="6920"/>
        <w:gridCol w:w="1057"/>
      </w:tblGrid>
      <w:tr w14:paraId="2F151AF0">
        <w:tblPrEx>
          <w:tblCellMar>
            <w:top w:w="0" w:type="dxa"/>
            <w:left w:w="108" w:type="dxa"/>
            <w:bottom w:w="0" w:type="dxa"/>
            <w:right w:w="108" w:type="dxa"/>
          </w:tblCellMar>
        </w:tblPrEx>
        <w:trPr>
          <w:trHeight w:val="361" w:hRule="atLeast"/>
        </w:trPr>
        <w:tc>
          <w:tcPr>
            <w:tcW w:w="1359" w:type="dxa"/>
            <w:tcBorders>
              <w:top w:val="single" w:color="000000" w:sz="4" w:space="0"/>
              <w:left w:val="single" w:color="000000" w:sz="4" w:space="0"/>
              <w:bottom w:val="single" w:color="auto" w:sz="4" w:space="0"/>
              <w:right w:val="single" w:color="auto" w:sz="4" w:space="0"/>
            </w:tcBorders>
            <w:vAlign w:val="center"/>
          </w:tcPr>
          <w:p w14:paraId="36DE8431">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评分因素及权重</w:t>
            </w:r>
          </w:p>
        </w:tc>
        <w:tc>
          <w:tcPr>
            <w:tcW w:w="585" w:type="dxa"/>
            <w:tcBorders>
              <w:top w:val="single" w:color="000000" w:sz="4" w:space="0"/>
              <w:left w:val="single" w:color="auto" w:sz="4" w:space="0"/>
              <w:bottom w:val="single" w:color="auto" w:sz="4" w:space="0"/>
              <w:right w:val="single" w:color="000000" w:sz="4" w:space="0"/>
            </w:tcBorders>
            <w:vAlign w:val="center"/>
          </w:tcPr>
          <w:p w14:paraId="7B861539">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 xml:space="preserve">分值 </w:t>
            </w:r>
          </w:p>
        </w:tc>
        <w:tc>
          <w:tcPr>
            <w:tcW w:w="6920" w:type="dxa"/>
            <w:tcBorders>
              <w:top w:val="single" w:color="000000" w:sz="4" w:space="0"/>
              <w:left w:val="nil"/>
              <w:bottom w:val="single" w:color="auto" w:sz="4" w:space="0"/>
              <w:right w:val="single" w:color="000000" w:sz="4" w:space="0"/>
            </w:tcBorders>
            <w:vAlign w:val="center"/>
          </w:tcPr>
          <w:p w14:paraId="50F76B19">
            <w:pPr>
              <w:spacing w:line="400" w:lineRule="exact"/>
              <w:ind w:right="12"/>
              <w:jc w:val="center"/>
              <w:rPr>
                <w:rFonts w:ascii="仿宋" w:hAnsi="仿宋" w:eastAsia="仿宋"/>
                <w:color w:val="000000"/>
                <w:sz w:val="28"/>
                <w:szCs w:val="28"/>
              </w:rPr>
            </w:pPr>
            <w:r>
              <w:rPr>
                <w:rFonts w:hint="eastAsia" w:ascii="仿宋" w:hAnsi="仿宋" w:eastAsia="仿宋"/>
                <w:color w:val="000000"/>
                <w:sz w:val="28"/>
                <w:szCs w:val="28"/>
              </w:rPr>
              <w:t>评分标准</w:t>
            </w:r>
          </w:p>
        </w:tc>
        <w:tc>
          <w:tcPr>
            <w:tcW w:w="1057" w:type="dxa"/>
            <w:tcBorders>
              <w:top w:val="single" w:color="000000" w:sz="4" w:space="0"/>
              <w:left w:val="nil"/>
              <w:bottom w:val="single" w:color="000000" w:sz="4" w:space="0"/>
              <w:right w:val="single" w:color="000000" w:sz="4" w:space="0"/>
            </w:tcBorders>
            <w:vAlign w:val="center"/>
          </w:tcPr>
          <w:p w14:paraId="65F2D840">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 xml:space="preserve">说明 </w:t>
            </w:r>
          </w:p>
        </w:tc>
      </w:tr>
      <w:tr w14:paraId="0D254E0E">
        <w:tblPrEx>
          <w:tblCellMar>
            <w:top w:w="0" w:type="dxa"/>
            <w:left w:w="108" w:type="dxa"/>
            <w:bottom w:w="0" w:type="dxa"/>
            <w:right w:w="108" w:type="dxa"/>
          </w:tblCellMar>
        </w:tblPrEx>
        <w:trPr>
          <w:trHeight w:val="129" w:hRule="atLeast"/>
        </w:trPr>
        <w:tc>
          <w:tcPr>
            <w:tcW w:w="1359" w:type="dxa"/>
            <w:tcBorders>
              <w:top w:val="single" w:color="auto" w:sz="4" w:space="0"/>
              <w:left w:val="single" w:color="000000" w:sz="4" w:space="0"/>
              <w:bottom w:val="single" w:color="auto" w:sz="4" w:space="0"/>
              <w:right w:val="single" w:color="auto" w:sz="4" w:space="0"/>
            </w:tcBorders>
            <w:vAlign w:val="center"/>
          </w:tcPr>
          <w:p w14:paraId="7F93F3A6">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技术</w:t>
            </w:r>
          </w:p>
          <w:p w14:paraId="215995C1">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部分</w:t>
            </w:r>
          </w:p>
          <w:p w14:paraId="27B8B757">
            <w:pPr>
              <w:spacing w:line="400" w:lineRule="exact"/>
              <w:ind w:right="12"/>
              <w:rPr>
                <w:rFonts w:ascii="仿宋" w:hAnsi="仿宋" w:eastAsia="仿宋"/>
                <w:color w:val="000000"/>
                <w:sz w:val="28"/>
                <w:szCs w:val="28"/>
              </w:rPr>
            </w:pPr>
            <w:r>
              <w:rPr>
                <w:rFonts w:hint="eastAsia" w:ascii="仿宋" w:hAnsi="仿宋" w:eastAsia="仿宋"/>
                <w:color w:val="000000"/>
                <w:sz w:val="28"/>
                <w:szCs w:val="28"/>
                <w:lang w:val="en-US" w:eastAsia="zh-CN"/>
              </w:rPr>
              <w:t>60</w:t>
            </w:r>
            <w:r>
              <w:rPr>
                <w:rFonts w:hint="eastAsia" w:ascii="仿宋" w:hAnsi="仿宋" w:eastAsia="仿宋"/>
                <w:color w:val="000000"/>
                <w:sz w:val="28"/>
                <w:szCs w:val="28"/>
              </w:rPr>
              <w:t>%</w:t>
            </w:r>
          </w:p>
        </w:tc>
        <w:tc>
          <w:tcPr>
            <w:tcW w:w="585" w:type="dxa"/>
            <w:tcBorders>
              <w:top w:val="single" w:color="auto" w:sz="4" w:space="0"/>
              <w:left w:val="single" w:color="auto" w:sz="4" w:space="0"/>
              <w:bottom w:val="single" w:color="auto" w:sz="4" w:space="0"/>
              <w:right w:val="single" w:color="000000" w:sz="4" w:space="0"/>
            </w:tcBorders>
            <w:vAlign w:val="center"/>
          </w:tcPr>
          <w:p w14:paraId="47A1DD22">
            <w:pPr>
              <w:spacing w:line="400" w:lineRule="exact"/>
              <w:ind w:right="12"/>
              <w:rPr>
                <w:rFonts w:ascii="仿宋" w:hAnsi="仿宋" w:eastAsia="仿宋"/>
                <w:color w:val="000000"/>
                <w:sz w:val="28"/>
                <w:szCs w:val="28"/>
              </w:rPr>
            </w:pPr>
            <w:r>
              <w:rPr>
                <w:rFonts w:hint="eastAsia" w:ascii="仿宋" w:hAnsi="仿宋" w:eastAsia="仿宋"/>
                <w:color w:val="000000"/>
                <w:sz w:val="28"/>
                <w:szCs w:val="28"/>
                <w:lang w:val="en-US" w:eastAsia="zh-CN"/>
              </w:rPr>
              <w:t>60</w:t>
            </w:r>
            <w:r>
              <w:rPr>
                <w:rFonts w:hint="eastAsia" w:ascii="仿宋" w:hAnsi="仿宋" w:eastAsia="仿宋"/>
                <w:color w:val="000000"/>
                <w:sz w:val="28"/>
                <w:szCs w:val="28"/>
              </w:rPr>
              <w:t>分</w:t>
            </w:r>
          </w:p>
        </w:tc>
        <w:tc>
          <w:tcPr>
            <w:tcW w:w="6920" w:type="dxa"/>
            <w:tcBorders>
              <w:top w:val="single" w:color="auto" w:sz="4" w:space="0"/>
              <w:left w:val="nil"/>
              <w:bottom w:val="single" w:color="auto" w:sz="4" w:space="0"/>
              <w:right w:val="single" w:color="000000" w:sz="4" w:space="0"/>
            </w:tcBorders>
            <w:vAlign w:val="center"/>
          </w:tcPr>
          <w:p w14:paraId="3AA1684A">
            <w:pPr>
              <w:spacing w:line="400" w:lineRule="exact"/>
              <w:ind w:right="12" w:firstLine="480"/>
              <w:rPr>
                <w:rFonts w:ascii="方正仿宋_GBK" w:hAnsi="宋体" w:eastAsia="方正仿宋_GBK"/>
                <w:color w:val="000000"/>
                <w:szCs w:val="21"/>
              </w:rPr>
            </w:pPr>
            <w:r>
              <w:rPr>
                <w:rFonts w:hint="eastAsia" w:ascii="方正仿宋_GBK" w:hAnsi="宋体" w:eastAsia="方正仿宋_GBK"/>
                <w:color w:val="000000"/>
                <w:szCs w:val="21"/>
              </w:rPr>
              <w:t>以下</w:t>
            </w:r>
            <w:r>
              <w:rPr>
                <w:rFonts w:ascii="方正仿宋_GBK" w:hAnsi="宋体" w:eastAsia="方正仿宋_GBK"/>
                <w:color w:val="000000"/>
                <w:szCs w:val="21"/>
              </w:rPr>
              <w:t>各方面</w:t>
            </w:r>
            <w:r>
              <w:rPr>
                <w:rFonts w:hint="eastAsia" w:ascii="方正仿宋_GBK" w:hAnsi="宋体" w:eastAsia="方正仿宋_GBK"/>
                <w:color w:val="000000"/>
                <w:szCs w:val="21"/>
              </w:rPr>
              <w:t>，投标文件必须作出实质性响应，未响应条款按0分处理。评分标准如下：</w:t>
            </w:r>
          </w:p>
          <w:p w14:paraId="1B562DAB">
            <w:pPr>
              <w:spacing w:line="400" w:lineRule="exact"/>
              <w:ind w:right="12" w:firstLine="480"/>
              <w:rPr>
                <w:rFonts w:ascii="方正仿宋_GBK" w:hAnsi="宋体" w:eastAsia="方正仿宋_GBK"/>
                <w:color w:val="000000"/>
                <w:szCs w:val="21"/>
              </w:rPr>
            </w:pPr>
            <w:r>
              <w:rPr>
                <w:rFonts w:hint="eastAsia" w:ascii="方正仿宋_GBK" w:hAnsi="宋体" w:eastAsia="方正仿宋_GBK"/>
                <w:color w:val="000000"/>
                <w:szCs w:val="21"/>
              </w:rPr>
              <w:t>1.物业管理的整体设想（</w:t>
            </w:r>
            <w:r>
              <w:rPr>
                <w:rFonts w:hint="eastAsia" w:ascii="方正仿宋_GBK" w:hAnsi="宋体" w:eastAsia="方正仿宋_GBK"/>
                <w:color w:val="000000"/>
                <w:szCs w:val="21"/>
                <w:lang w:val="en-US" w:eastAsia="zh-CN"/>
              </w:rPr>
              <w:t>6</w:t>
            </w:r>
            <w:r>
              <w:rPr>
                <w:rFonts w:hint="eastAsia" w:ascii="方正仿宋_GBK" w:hAnsi="宋体" w:eastAsia="方正仿宋_GBK"/>
                <w:color w:val="000000"/>
                <w:szCs w:val="21"/>
              </w:rPr>
              <w:t>分）</w:t>
            </w:r>
          </w:p>
          <w:p w14:paraId="7AA285E0">
            <w:pPr>
              <w:spacing w:line="400" w:lineRule="exact"/>
              <w:ind w:right="12" w:firstLine="480"/>
              <w:rPr>
                <w:rFonts w:ascii="方正仿宋_GBK" w:hAnsi="宋体" w:eastAsia="方正仿宋_GBK"/>
                <w:color w:val="000000"/>
                <w:szCs w:val="21"/>
              </w:rPr>
            </w:pPr>
            <w:r>
              <w:rPr>
                <w:rFonts w:hint="eastAsia" w:ascii="方正仿宋_GBK" w:hAnsi="宋体" w:eastAsia="方正仿宋_GBK"/>
                <w:color w:val="000000"/>
                <w:szCs w:val="21"/>
              </w:rPr>
              <w:t>2.项目组织机构设置和人员配置方案（</w:t>
            </w:r>
            <w:r>
              <w:rPr>
                <w:rFonts w:hint="eastAsia" w:ascii="方正仿宋_GBK" w:hAnsi="宋体" w:eastAsia="方正仿宋_GBK"/>
                <w:color w:val="000000"/>
                <w:szCs w:val="21"/>
                <w:lang w:val="en-US" w:eastAsia="zh-CN"/>
              </w:rPr>
              <w:t>6</w:t>
            </w:r>
            <w:r>
              <w:rPr>
                <w:rFonts w:hint="eastAsia" w:ascii="方正仿宋_GBK" w:hAnsi="宋体" w:eastAsia="方正仿宋_GBK"/>
                <w:color w:val="000000"/>
                <w:szCs w:val="21"/>
              </w:rPr>
              <w:t>分）</w:t>
            </w:r>
          </w:p>
          <w:p w14:paraId="3ED28D52">
            <w:pPr>
              <w:spacing w:line="400" w:lineRule="exact"/>
              <w:ind w:right="12" w:firstLine="480"/>
              <w:rPr>
                <w:rFonts w:ascii="方正仿宋_GBK" w:hAnsi="宋体" w:eastAsia="方正仿宋_GBK"/>
                <w:color w:val="000000"/>
                <w:szCs w:val="21"/>
              </w:rPr>
            </w:pPr>
            <w:r>
              <w:rPr>
                <w:rFonts w:hint="eastAsia" w:ascii="方正仿宋_GBK" w:hAnsi="宋体" w:eastAsia="方正仿宋_GBK"/>
                <w:color w:val="000000"/>
                <w:szCs w:val="21"/>
              </w:rPr>
              <w:t>3.物业服务人员招募、培训、上岗、培养教育、日常管理方案（</w:t>
            </w:r>
            <w:r>
              <w:rPr>
                <w:rFonts w:hint="eastAsia" w:ascii="方正仿宋_GBK" w:hAnsi="宋体" w:eastAsia="方正仿宋_GBK"/>
                <w:color w:val="000000"/>
                <w:szCs w:val="21"/>
                <w:lang w:val="en-US" w:eastAsia="zh-CN"/>
              </w:rPr>
              <w:t>8</w:t>
            </w:r>
            <w:r>
              <w:rPr>
                <w:rFonts w:hint="eastAsia" w:ascii="方正仿宋_GBK" w:hAnsi="宋体" w:eastAsia="方正仿宋_GBK"/>
                <w:color w:val="000000"/>
                <w:szCs w:val="21"/>
              </w:rPr>
              <w:t>分）</w:t>
            </w:r>
          </w:p>
          <w:p w14:paraId="2A47ACDE">
            <w:pPr>
              <w:spacing w:line="400" w:lineRule="exact"/>
              <w:ind w:right="12" w:firstLine="480"/>
              <w:rPr>
                <w:rFonts w:ascii="方正仿宋_GBK" w:hAnsi="宋体" w:eastAsia="方正仿宋_GBK"/>
                <w:color w:val="000000"/>
                <w:szCs w:val="21"/>
              </w:rPr>
            </w:pPr>
            <w:r>
              <w:rPr>
                <w:rFonts w:hint="eastAsia" w:ascii="方正仿宋_GBK" w:hAnsi="宋体" w:eastAsia="方正仿宋_GBK"/>
                <w:color w:val="000000"/>
                <w:szCs w:val="21"/>
              </w:rPr>
              <w:t>4.早期介入和档案资料管理（</w:t>
            </w:r>
            <w:r>
              <w:rPr>
                <w:rFonts w:hint="eastAsia" w:ascii="方正仿宋_GBK" w:hAnsi="宋体" w:eastAsia="方正仿宋_GBK"/>
                <w:color w:val="000000"/>
                <w:szCs w:val="21"/>
                <w:lang w:val="en-US" w:eastAsia="zh-CN"/>
              </w:rPr>
              <w:t>8</w:t>
            </w:r>
            <w:r>
              <w:rPr>
                <w:rFonts w:hint="eastAsia" w:ascii="方正仿宋_GBK" w:hAnsi="宋体" w:eastAsia="方正仿宋_GBK"/>
                <w:color w:val="000000"/>
                <w:szCs w:val="21"/>
              </w:rPr>
              <w:t>分）</w:t>
            </w:r>
          </w:p>
          <w:p w14:paraId="71DC37B1">
            <w:pPr>
              <w:spacing w:line="400" w:lineRule="exact"/>
              <w:ind w:right="12" w:firstLine="480"/>
              <w:rPr>
                <w:rFonts w:ascii="方正仿宋_GBK" w:hAnsi="宋体" w:eastAsia="方正仿宋_GBK"/>
                <w:color w:val="000000"/>
                <w:szCs w:val="21"/>
              </w:rPr>
            </w:pPr>
            <w:r>
              <w:rPr>
                <w:rFonts w:hint="eastAsia" w:ascii="方正仿宋_GBK" w:hAnsi="宋体" w:eastAsia="方正仿宋_GBK"/>
                <w:color w:val="000000"/>
                <w:szCs w:val="21"/>
              </w:rPr>
              <w:t>5.</w:t>
            </w:r>
            <w:r>
              <w:rPr>
                <w:rFonts w:hint="eastAsia" w:ascii="方正仿宋_GBK" w:hAnsi="宋体" w:eastAsia="方正仿宋_GBK"/>
                <w:color w:val="000000"/>
                <w:szCs w:val="21"/>
                <w:lang w:val="en-US" w:eastAsia="zh-CN"/>
              </w:rPr>
              <w:t>承接查验方案</w:t>
            </w:r>
            <w:r>
              <w:rPr>
                <w:rFonts w:hint="eastAsia" w:ascii="方正仿宋_GBK" w:hAnsi="宋体" w:eastAsia="方正仿宋_GBK"/>
                <w:color w:val="000000"/>
                <w:szCs w:val="21"/>
              </w:rPr>
              <w:t>（</w:t>
            </w:r>
            <w:r>
              <w:rPr>
                <w:rFonts w:hint="eastAsia" w:ascii="方正仿宋_GBK" w:hAnsi="宋体" w:eastAsia="方正仿宋_GBK"/>
                <w:color w:val="000000"/>
                <w:szCs w:val="21"/>
                <w:lang w:val="en-US" w:eastAsia="zh-CN"/>
              </w:rPr>
              <w:t>6</w:t>
            </w:r>
            <w:r>
              <w:rPr>
                <w:rFonts w:hint="eastAsia" w:ascii="方正仿宋_GBK" w:hAnsi="宋体" w:eastAsia="方正仿宋_GBK"/>
                <w:color w:val="000000"/>
                <w:szCs w:val="21"/>
              </w:rPr>
              <w:t>分）</w:t>
            </w:r>
          </w:p>
          <w:p w14:paraId="3AF0DB1B">
            <w:pPr>
              <w:spacing w:line="400" w:lineRule="exact"/>
              <w:ind w:right="12" w:firstLine="480"/>
              <w:rPr>
                <w:rFonts w:hint="eastAsia" w:ascii="方正仿宋_GBK" w:hAnsi="宋体" w:eastAsia="方正仿宋_GBK"/>
                <w:color w:val="000000"/>
                <w:szCs w:val="21"/>
              </w:rPr>
            </w:pPr>
            <w:r>
              <w:rPr>
                <w:rFonts w:hint="eastAsia" w:ascii="方正仿宋_GBK" w:hAnsi="宋体" w:eastAsia="方正仿宋_GBK"/>
                <w:color w:val="000000"/>
                <w:szCs w:val="21"/>
              </w:rPr>
              <w:t>6.服务内容和管理措施（</w:t>
            </w:r>
            <w:r>
              <w:rPr>
                <w:rFonts w:hint="eastAsia" w:ascii="方正仿宋_GBK" w:hAnsi="宋体" w:eastAsia="方正仿宋_GBK"/>
                <w:color w:val="000000"/>
                <w:szCs w:val="21"/>
                <w:lang w:val="en-US" w:eastAsia="zh-CN"/>
              </w:rPr>
              <w:t>8</w:t>
            </w:r>
            <w:r>
              <w:rPr>
                <w:rFonts w:hint="eastAsia" w:ascii="方正仿宋_GBK" w:hAnsi="宋体" w:eastAsia="方正仿宋_GBK"/>
                <w:color w:val="000000"/>
                <w:szCs w:val="21"/>
              </w:rPr>
              <w:t>分）</w:t>
            </w:r>
          </w:p>
          <w:p w14:paraId="2D8E4014">
            <w:pPr>
              <w:spacing w:line="400" w:lineRule="exact"/>
              <w:ind w:right="12" w:firstLine="480"/>
              <w:rPr>
                <w:rFonts w:hint="default" w:ascii="方正仿宋_GBK" w:hAnsi="宋体" w:eastAsia="方正仿宋_GBK"/>
                <w:color w:val="000000"/>
                <w:szCs w:val="21"/>
                <w:lang w:val="en-US" w:eastAsia="zh-CN"/>
              </w:rPr>
            </w:pPr>
            <w:r>
              <w:rPr>
                <w:rFonts w:hint="eastAsia" w:ascii="方正仿宋_GBK" w:hAnsi="宋体" w:eastAsia="方正仿宋_GBK"/>
                <w:color w:val="000000"/>
                <w:szCs w:val="21"/>
              </w:rPr>
              <w:t>7.</w:t>
            </w:r>
            <w:r>
              <w:rPr>
                <w:rFonts w:hint="eastAsia" w:ascii="方正仿宋_GBK" w:hAnsi="宋体" w:eastAsia="方正仿宋_GBK"/>
                <w:color w:val="000000"/>
                <w:szCs w:val="21"/>
                <w:lang w:val="en-US" w:eastAsia="zh-CN"/>
              </w:rPr>
              <w:t>小区智能化建设（4分）</w:t>
            </w:r>
          </w:p>
          <w:p w14:paraId="258E4D06">
            <w:pPr>
              <w:spacing w:line="400" w:lineRule="exact"/>
              <w:ind w:right="12" w:firstLine="480"/>
              <w:rPr>
                <w:rFonts w:hint="eastAsia" w:ascii="方正仿宋_GBK" w:hAnsi="宋体" w:eastAsia="方正仿宋_GBK"/>
                <w:color w:val="000000"/>
                <w:szCs w:val="21"/>
              </w:rPr>
            </w:pPr>
            <w:r>
              <w:rPr>
                <w:rFonts w:hint="eastAsia" w:ascii="方正仿宋_GBK" w:hAnsi="宋体" w:eastAsia="方正仿宋_GBK"/>
                <w:color w:val="000000"/>
                <w:szCs w:val="21"/>
                <w:lang w:val="en-US" w:eastAsia="zh-CN"/>
              </w:rPr>
              <w:t>8.</w:t>
            </w:r>
            <w:r>
              <w:rPr>
                <w:rFonts w:hint="eastAsia" w:ascii="方正仿宋_GBK" w:hAnsi="宋体" w:eastAsia="方正仿宋_GBK"/>
                <w:color w:val="000000"/>
                <w:szCs w:val="21"/>
              </w:rPr>
              <w:t>突发应急预案（</w:t>
            </w:r>
            <w:r>
              <w:rPr>
                <w:rFonts w:hint="eastAsia" w:ascii="方正仿宋_GBK" w:hAnsi="宋体" w:eastAsia="方正仿宋_GBK"/>
                <w:color w:val="000000"/>
                <w:szCs w:val="21"/>
                <w:lang w:val="en-US" w:eastAsia="zh-CN"/>
              </w:rPr>
              <w:t>8</w:t>
            </w:r>
            <w:r>
              <w:rPr>
                <w:rFonts w:hint="eastAsia" w:ascii="方正仿宋_GBK" w:hAnsi="宋体" w:eastAsia="方正仿宋_GBK"/>
                <w:color w:val="000000"/>
                <w:szCs w:val="21"/>
              </w:rPr>
              <w:t>分）</w:t>
            </w:r>
          </w:p>
          <w:p w14:paraId="01550945">
            <w:pPr>
              <w:spacing w:line="400" w:lineRule="exact"/>
              <w:ind w:right="12" w:firstLine="480"/>
              <w:rPr>
                <w:rFonts w:hint="default" w:ascii="方正仿宋_GBK" w:hAnsi="宋体" w:eastAsia="方正仿宋_GBK"/>
                <w:color w:val="000000"/>
                <w:szCs w:val="21"/>
                <w:lang w:val="en-US" w:eastAsia="zh-CN"/>
              </w:rPr>
            </w:pPr>
            <w:r>
              <w:rPr>
                <w:rFonts w:hint="eastAsia" w:ascii="方正仿宋_GBK" w:hAnsi="宋体" w:eastAsia="方正仿宋_GBK"/>
                <w:color w:val="000000"/>
                <w:szCs w:val="21"/>
                <w:lang w:val="en-US" w:eastAsia="zh-CN"/>
              </w:rPr>
              <w:t>9.</w:t>
            </w:r>
            <w:r>
              <w:rPr>
                <w:rFonts w:hint="eastAsia" w:ascii="方正仿宋_GBK" w:hAnsi="宋体" w:eastAsia="方正仿宋_GBK"/>
                <w:color w:val="000000"/>
                <w:szCs w:val="21"/>
              </w:rPr>
              <w:t>便民服务措施和服务标准承诺（</w:t>
            </w:r>
            <w:r>
              <w:rPr>
                <w:rFonts w:hint="eastAsia" w:ascii="方正仿宋_GBK" w:hAnsi="宋体" w:eastAsia="方正仿宋_GBK"/>
                <w:color w:val="000000"/>
                <w:szCs w:val="21"/>
                <w:lang w:val="en-US" w:eastAsia="zh-CN"/>
              </w:rPr>
              <w:t>6</w:t>
            </w:r>
            <w:r>
              <w:rPr>
                <w:rFonts w:hint="eastAsia" w:ascii="方正仿宋_GBK" w:hAnsi="宋体" w:eastAsia="方正仿宋_GBK"/>
                <w:color w:val="000000"/>
                <w:szCs w:val="21"/>
              </w:rPr>
              <w:t>分）</w:t>
            </w:r>
          </w:p>
          <w:p w14:paraId="3365B0F0">
            <w:pPr>
              <w:spacing w:line="400" w:lineRule="exact"/>
              <w:ind w:right="12"/>
              <w:rPr>
                <w:rFonts w:ascii="方正仿宋_GBK" w:hAnsi="宋体" w:eastAsia="方正仿宋_GBK"/>
                <w:color w:val="000000"/>
                <w:szCs w:val="21"/>
              </w:rPr>
            </w:pPr>
          </w:p>
        </w:tc>
        <w:tc>
          <w:tcPr>
            <w:tcW w:w="1057" w:type="dxa"/>
            <w:tcBorders>
              <w:top w:val="single" w:color="000000" w:sz="4" w:space="0"/>
              <w:left w:val="nil"/>
              <w:bottom w:val="single" w:color="auto" w:sz="4" w:space="0"/>
              <w:right w:val="single" w:color="000000" w:sz="4" w:space="0"/>
            </w:tcBorders>
            <w:vAlign w:val="center"/>
          </w:tcPr>
          <w:p w14:paraId="29A88631">
            <w:pPr>
              <w:spacing w:line="400" w:lineRule="exact"/>
              <w:ind w:right="12"/>
              <w:rPr>
                <w:rFonts w:ascii="仿宋" w:hAnsi="仿宋" w:eastAsia="仿宋"/>
                <w:color w:val="000000"/>
                <w:sz w:val="28"/>
                <w:szCs w:val="28"/>
              </w:rPr>
            </w:pPr>
            <w:r>
              <w:rPr>
                <w:rFonts w:hint="eastAsia" w:ascii="方正仿宋_GBK" w:hAnsi="宋体" w:eastAsia="方正仿宋_GBK"/>
                <w:color w:val="000000"/>
                <w:szCs w:val="21"/>
              </w:rPr>
              <w:t>以上各条根据投标人提供的技术服务方案，由评标委员会各评审专家酌情评分。</w:t>
            </w:r>
          </w:p>
        </w:tc>
      </w:tr>
      <w:tr w14:paraId="074301BA">
        <w:tblPrEx>
          <w:tblCellMar>
            <w:top w:w="0" w:type="dxa"/>
            <w:left w:w="108" w:type="dxa"/>
            <w:bottom w:w="0" w:type="dxa"/>
            <w:right w:w="108" w:type="dxa"/>
          </w:tblCellMar>
        </w:tblPrEx>
        <w:trPr>
          <w:trHeight w:val="445" w:hRule="atLeast"/>
        </w:trPr>
        <w:tc>
          <w:tcPr>
            <w:tcW w:w="1359" w:type="dxa"/>
            <w:vMerge w:val="restart"/>
            <w:tcBorders>
              <w:top w:val="single" w:color="auto" w:sz="4" w:space="0"/>
              <w:left w:val="single" w:color="000000" w:sz="4" w:space="0"/>
              <w:right w:val="single" w:color="auto" w:sz="4" w:space="0"/>
            </w:tcBorders>
            <w:vAlign w:val="center"/>
          </w:tcPr>
          <w:p w14:paraId="549CBDEF">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经济</w:t>
            </w:r>
          </w:p>
          <w:p w14:paraId="1B43A604">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部分</w:t>
            </w:r>
          </w:p>
          <w:p w14:paraId="1268ED34">
            <w:pPr>
              <w:spacing w:line="400" w:lineRule="exact"/>
              <w:ind w:right="12"/>
              <w:rPr>
                <w:rFonts w:ascii="仿宋" w:hAnsi="仿宋" w:eastAsia="仿宋"/>
                <w:color w:val="000000"/>
                <w:sz w:val="28"/>
                <w:szCs w:val="28"/>
              </w:rPr>
            </w:pP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0%</w:t>
            </w:r>
          </w:p>
        </w:tc>
        <w:tc>
          <w:tcPr>
            <w:tcW w:w="585" w:type="dxa"/>
            <w:vMerge w:val="restart"/>
            <w:tcBorders>
              <w:top w:val="single" w:color="auto" w:sz="4" w:space="0"/>
              <w:left w:val="single" w:color="auto" w:sz="4" w:space="0"/>
              <w:right w:val="single" w:color="000000" w:sz="4" w:space="0"/>
            </w:tcBorders>
            <w:vAlign w:val="center"/>
          </w:tcPr>
          <w:p w14:paraId="73CEDF6E">
            <w:pPr>
              <w:spacing w:line="400" w:lineRule="exact"/>
              <w:ind w:right="12"/>
              <w:rPr>
                <w:rFonts w:ascii="仿宋" w:hAnsi="仿宋" w:eastAsia="仿宋"/>
                <w:color w:val="000000"/>
                <w:sz w:val="28"/>
                <w:szCs w:val="28"/>
              </w:rPr>
            </w:pP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0分</w:t>
            </w:r>
          </w:p>
        </w:tc>
        <w:tc>
          <w:tcPr>
            <w:tcW w:w="6920" w:type="dxa"/>
            <w:tcBorders>
              <w:top w:val="single" w:color="auto" w:sz="4" w:space="0"/>
              <w:left w:val="nil"/>
              <w:bottom w:val="single" w:color="auto" w:sz="4" w:space="0"/>
              <w:right w:val="single" w:color="000000" w:sz="4" w:space="0"/>
            </w:tcBorders>
            <w:vAlign w:val="center"/>
          </w:tcPr>
          <w:p w14:paraId="7419F28C">
            <w:pPr>
              <w:spacing w:line="400" w:lineRule="exact"/>
              <w:ind w:right="12" w:firstLine="480"/>
              <w:rPr>
                <w:rFonts w:ascii="方正仿宋_GBK" w:hAnsi="宋体" w:eastAsia="方正仿宋_GBK"/>
                <w:color w:val="000000"/>
                <w:szCs w:val="21"/>
              </w:rPr>
            </w:pPr>
            <w:r>
              <w:rPr>
                <w:rFonts w:hint="eastAsia" w:ascii="方正仿宋_GBK" w:hAnsi="宋体" w:eastAsia="方正仿宋_GBK"/>
                <w:color w:val="000000"/>
                <w:szCs w:val="21"/>
              </w:rPr>
              <w:t>高层</w:t>
            </w:r>
            <w:r>
              <w:rPr>
                <w:rFonts w:hint="eastAsia" w:ascii="方正仿宋_GBK" w:hAnsi="宋体" w:eastAsia="方正仿宋_GBK"/>
                <w:color w:val="000000"/>
                <w:szCs w:val="21"/>
                <w:lang w:eastAsia="zh-CN"/>
              </w:rPr>
              <w:t>（</w:t>
            </w:r>
            <w:r>
              <w:rPr>
                <w:rFonts w:hint="eastAsia" w:ascii="方正仿宋_GBK" w:hAnsi="宋体" w:eastAsia="方正仿宋_GBK"/>
                <w:color w:val="000000"/>
                <w:szCs w:val="21"/>
                <w:lang w:val="en-US" w:eastAsia="zh-CN"/>
              </w:rPr>
              <w:t>含电梯洋房</w:t>
            </w:r>
            <w:r>
              <w:rPr>
                <w:rFonts w:hint="eastAsia" w:ascii="方正仿宋_GBK" w:hAnsi="宋体" w:eastAsia="方正仿宋_GBK"/>
                <w:color w:val="000000"/>
                <w:szCs w:val="21"/>
                <w:lang w:eastAsia="zh-CN"/>
              </w:rPr>
              <w:t>）</w:t>
            </w:r>
            <w:r>
              <w:rPr>
                <w:rFonts w:hint="eastAsia" w:ascii="方正仿宋_GBK" w:hAnsi="宋体" w:eastAsia="方正仿宋_GBK"/>
                <w:color w:val="000000"/>
                <w:szCs w:val="21"/>
              </w:rPr>
              <w:t>住宅8分：与标底相比±0.05元，扣1分</w:t>
            </w:r>
          </w:p>
        </w:tc>
        <w:tc>
          <w:tcPr>
            <w:tcW w:w="1057" w:type="dxa"/>
            <w:vMerge w:val="restart"/>
            <w:tcBorders>
              <w:top w:val="single" w:color="000000" w:sz="4" w:space="0"/>
              <w:left w:val="nil"/>
              <w:right w:val="single" w:color="000000" w:sz="4" w:space="0"/>
            </w:tcBorders>
            <w:vAlign w:val="center"/>
          </w:tcPr>
          <w:p w14:paraId="713C2EBE">
            <w:pPr>
              <w:spacing w:line="400" w:lineRule="exact"/>
              <w:ind w:right="12" w:firstLine="480"/>
              <w:rPr>
                <w:rFonts w:ascii="仿宋" w:hAnsi="仿宋" w:eastAsia="仿宋"/>
                <w:color w:val="000000"/>
                <w:sz w:val="28"/>
                <w:szCs w:val="28"/>
              </w:rPr>
            </w:pPr>
          </w:p>
        </w:tc>
      </w:tr>
      <w:tr w14:paraId="21DABA31">
        <w:tblPrEx>
          <w:tblCellMar>
            <w:top w:w="0" w:type="dxa"/>
            <w:left w:w="108" w:type="dxa"/>
            <w:bottom w:w="0" w:type="dxa"/>
            <w:right w:w="108" w:type="dxa"/>
          </w:tblCellMar>
        </w:tblPrEx>
        <w:trPr>
          <w:trHeight w:val="445" w:hRule="atLeast"/>
        </w:trPr>
        <w:tc>
          <w:tcPr>
            <w:tcW w:w="1359" w:type="dxa"/>
            <w:vMerge w:val="continue"/>
            <w:tcBorders>
              <w:left w:val="single" w:color="000000" w:sz="4" w:space="0"/>
              <w:right w:val="single" w:color="auto" w:sz="4" w:space="0"/>
            </w:tcBorders>
            <w:vAlign w:val="center"/>
          </w:tcPr>
          <w:p w14:paraId="0A3585B1">
            <w:pPr>
              <w:spacing w:line="400" w:lineRule="exact"/>
              <w:ind w:right="12"/>
              <w:rPr>
                <w:rFonts w:ascii="仿宋" w:hAnsi="仿宋" w:eastAsia="仿宋"/>
                <w:color w:val="000000"/>
                <w:sz w:val="28"/>
                <w:szCs w:val="28"/>
              </w:rPr>
            </w:pPr>
          </w:p>
        </w:tc>
        <w:tc>
          <w:tcPr>
            <w:tcW w:w="585" w:type="dxa"/>
            <w:vMerge w:val="continue"/>
            <w:tcBorders>
              <w:left w:val="single" w:color="auto" w:sz="4" w:space="0"/>
              <w:right w:val="single" w:color="000000" w:sz="4" w:space="0"/>
            </w:tcBorders>
            <w:vAlign w:val="center"/>
          </w:tcPr>
          <w:p w14:paraId="0A8935E2">
            <w:pPr>
              <w:spacing w:line="400" w:lineRule="exact"/>
              <w:ind w:right="12"/>
              <w:rPr>
                <w:rFonts w:ascii="仿宋" w:hAnsi="仿宋" w:eastAsia="仿宋"/>
                <w:color w:val="000000"/>
                <w:sz w:val="28"/>
                <w:szCs w:val="28"/>
              </w:rPr>
            </w:pPr>
          </w:p>
        </w:tc>
        <w:tc>
          <w:tcPr>
            <w:tcW w:w="6920" w:type="dxa"/>
            <w:tcBorders>
              <w:top w:val="single" w:color="auto" w:sz="4" w:space="0"/>
              <w:left w:val="nil"/>
              <w:bottom w:val="single" w:color="auto" w:sz="4" w:space="0"/>
              <w:right w:val="single" w:color="000000" w:sz="4" w:space="0"/>
            </w:tcBorders>
            <w:vAlign w:val="center"/>
          </w:tcPr>
          <w:p w14:paraId="060F6202">
            <w:pPr>
              <w:spacing w:line="400" w:lineRule="exact"/>
              <w:ind w:right="12" w:firstLine="480"/>
              <w:rPr>
                <w:rFonts w:ascii="方正仿宋_GBK" w:hAnsi="宋体" w:eastAsia="方正仿宋_GBK"/>
                <w:color w:val="000000"/>
                <w:szCs w:val="21"/>
              </w:rPr>
            </w:pPr>
            <w:r>
              <w:rPr>
                <w:rFonts w:hint="eastAsia" w:ascii="方正仿宋_GBK" w:hAnsi="宋体" w:eastAsia="方正仿宋_GBK"/>
                <w:color w:val="000000"/>
                <w:szCs w:val="21"/>
                <w:lang w:val="en-US" w:eastAsia="zh-CN"/>
              </w:rPr>
              <w:t>无电梯</w:t>
            </w:r>
            <w:r>
              <w:rPr>
                <w:rFonts w:hint="eastAsia" w:ascii="方正仿宋_GBK" w:hAnsi="宋体" w:eastAsia="方正仿宋_GBK"/>
                <w:color w:val="000000"/>
                <w:szCs w:val="21"/>
              </w:rPr>
              <w:t>洋房住宅8分：与标底相比±0.05元，扣1分</w:t>
            </w:r>
          </w:p>
        </w:tc>
        <w:tc>
          <w:tcPr>
            <w:tcW w:w="1057" w:type="dxa"/>
            <w:vMerge w:val="continue"/>
            <w:tcBorders>
              <w:top w:val="single" w:color="000000" w:sz="4" w:space="0"/>
              <w:left w:val="nil"/>
              <w:right w:val="single" w:color="000000" w:sz="4" w:space="0"/>
            </w:tcBorders>
            <w:vAlign w:val="center"/>
          </w:tcPr>
          <w:p w14:paraId="71866953">
            <w:pPr>
              <w:spacing w:line="400" w:lineRule="exact"/>
              <w:ind w:right="12" w:firstLine="480"/>
              <w:rPr>
                <w:rFonts w:ascii="仿宋" w:hAnsi="仿宋" w:eastAsia="仿宋"/>
                <w:color w:val="000000"/>
                <w:sz w:val="28"/>
                <w:szCs w:val="28"/>
              </w:rPr>
            </w:pPr>
          </w:p>
        </w:tc>
      </w:tr>
      <w:tr w14:paraId="798CB448">
        <w:tblPrEx>
          <w:tblCellMar>
            <w:top w:w="0" w:type="dxa"/>
            <w:left w:w="108" w:type="dxa"/>
            <w:bottom w:w="0" w:type="dxa"/>
            <w:right w:w="108" w:type="dxa"/>
          </w:tblCellMar>
        </w:tblPrEx>
        <w:trPr>
          <w:trHeight w:val="423" w:hRule="atLeast"/>
        </w:trPr>
        <w:tc>
          <w:tcPr>
            <w:tcW w:w="1359" w:type="dxa"/>
            <w:vMerge w:val="continue"/>
            <w:tcBorders>
              <w:left w:val="single" w:color="000000" w:sz="4" w:space="0"/>
              <w:right w:val="single" w:color="auto" w:sz="4" w:space="0"/>
            </w:tcBorders>
            <w:vAlign w:val="center"/>
          </w:tcPr>
          <w:p w14:paraId="5804C48E">
            <w:pPr>
              <w:spacing w:line="400" w:lineRule="exact"/>
              <w:ind w:right="12"/>
              <w:rPr>
                <w:rFonts w:ascii="仿宋" w:hAnsi="仿宋" w:eastAsia="仿宋"/>
                <w:color w:val="000000"/>
                <w:sz w:val="28"/>
                <w:szCs w:val="28"/>
              </w:rPr>
            </w:pPr>
          </w:p>
        </w:tc>
        <w:tc>
          <w:tcPr>
            <w:tcW w:w="585" w:type="dxa"/>
            <w:vMerge w:val="continue"/>
            <w:tcBorders>
              <w:left w:val="single" w:color="auto" w:sz="4" w:space="0"/>
              <w:right w:val="single" w:color="000000" w:sz="4" w:space="0"/>
            </w:tcBorders>
            <w:vAlign w:val="center"/>
          </w:tcPr>
          <w:p w14:paraId="52911A1B">
            <w:pPr>
              <w:spacing w:line="400" w:lineRule="exact"/>
              <w:ind w:right="12"/>
              <w:rPr>
                <w:rFonts w:ascii="仿宋" w:hAnsi="仿宋" w:eastAsia="仿宋"/>
                <w:color w:val="000000"/>
                <w:sz w:val="28"/>
                <w:szCs w:val="28"/>
              </w:rPr>
            </w:pPr>
          </w:p>
        </w:tc>
        <w:tc>
          <w:tcPr>
            <w:tcW w:w="6920" w:type="dxa"/>
            <w:tcBorders>
              <w:top w:val="single" w:color="auto" w:sz="4" w:space="0"/>
              <w:left w:val="nil"/>
              <w:bottom w:val="single" w:color="auto" w:sz="4" w:space="0"/>
              <w:right w:val="single" w:color="000000" w:sz="4" w:space="0"/>
            </w:tcBorders>
            <w:vAlign w:val="center"/>
          </w:tcPr>
          <w:p w14:paraId="48F7ED20">
            <w:pPr>
              <w:spacing w:line="400" w:lineRule="exact"/>
              <w:ind w:right="12" w:firstLine="480"/>
              <w:rPr>
                <w:rFonts w:ascii="方正仿宋_GBK" w:hAnsi="宋体" w:eastAsia="方正仿宋_GBK"/>
                <w:color w:val="000000"/>
                <w:szCs w:val="21"/>
              </w:rPr>
            </w:pPr>
            <w:r>
              <w:rPr>
                <w:rFonts w:hint="eastAsia" w:ascii="方正仿宋_GBK" w:hAnsi="宋体" w:eastAsia="方正仿宋_GBK"/>
                <w:color w:val="000000"/>
                <w:szCs w:val="21"/>
              </w:rPr>
              <w:t>商业</w:t>
            </w:r>
            <w:r>
              <w:rPr>
                <w:rFonts w:hint="eastAsia" w:ascii="方正仿宋_GBK" w:hAnsi="宋体" w:eastAsia="方正仿宋_GBK"/>
                <w:color w:val="000000"/>
                <w:szCs w:val="21"/>
                <w:lang w:val="en-US" w:eastAsia="zh-CN"/>
              </w:rPr>
              <w:t>7</w:t>
            </w:r>
            <w:r>
              <w:rPr>
                <w:rFonts w:hint="eastAsia" w:ascii="方正仿宋_GBK" w:hAnsi="宋体" w:eastAsia="方正仿宋_GBK"/>
                <w:color w:val="000000"/>
                <w:szCs w:val="21"/>
              </w:rPr>
              <w:t>分：与标底相比±0.50元，扣1分</w:t>
            </w:r>
          </w:p>
        </w:tc>
        <w:tc>
          <w:tcPr>
            <w:tcW w:w="1057" w:type="dxa"/>
            <w:vMerge w:val="continue"/>
            <w:tcBorders>
              <w:left w:val="nil"/>
              <w:right w:val="single" w:color="000000" w:sz="4" w:space="0"/>
            </w:tcBorders>
            <w:vAlign w:val="center"/>
          </w:tcPr>
          <w:p w14:paraId="256B95FC">
            <w:pPr>
              <w:spacing w:line="400" w:lineRule="exact"/>
              <w:ind w:right="12" w:firstLine="480"/>
              <w:rPr>
                <w:rFonts w:ascii="仿宋" w:hAnsi="仿宋" w:eastAsia="仿宋"/>
                <w:color w:val="000000"/>
                <w:sz w:val="28"/>
                <w:szCs w:val="28"/>
              </w:rPr>
            </w:pPr>
          </w:p>
        </w:tc>
      </w:tr>
      <w:tr w14:paraId="248EE4DE">
        <w:tblPrEx>
          <w:tblCellMar>
            <w:top w:w="0" w:type="dxa"/>
            <w:left w:w="108" w:type="dxa"/>
            <w:bottom w:w="0" w:type="dxa"/>
            <w:right w:w="108" w:type="dxa"/>
          </w:tblCellMar>
        </w:tblPrEx>
        <w:trPr>
          <w:trHeight w:val="415" w:hRule="atLeast"/>
        </w:trPr>
        <w:tc>
          <w:tcPr>
            <w:tcW w:w="1359" w:type="dxa"/>
            <w:vMerge w:val="continue"/>
            <w:tcBorders>
              <w:left w:val="single" w:color="000000" w:sz="4" w:space="0"/>
              <w:right w:val="single" w:color="auto" w:sz="4" w:space="0"/>
            </w:tcBorders>
            <w:vAlign w:val="center"/>
          </w:tcPr>
          <w:p w14:paraId="3D099287">
            <w:pPr>
              <w:spacing w:line="400" w:lineRule="exact"/>
              <w:ind w:right="12"/>
              <w:rPr>
                <w:rFonts w:ascii="仿宋" w:hAnsi="仿宋" w:eastAsia="仿宋"/>
                <w:color w:val="000000"/>
                <w:sz w:val="28"/>
                <w:szCs w:val="28"/>
              </w:rPr>
            </w:pPr>
          </w:p>
        </w:tc>
        <w:tc>
          <w:tcPr>
            <w:tcW w:w="585" w:type="dxa"/>
            <w:vMerge w:val="continue"/>
            <w:tcBorders>
              <w:left w:val="single" w:color="auto" w:sz="4" w:space="0"/>
              <w:right w:val="single" w:color="000000" w:sz="4" w:space="0"/>
            </w:tcBorders>
            <w:vAlign w:val="center"/>
          </w:tcPr>
          <w:p w14:paraId="59149CCF">
            <w:pPr>
              <w:spacing w:line="400" w:lineRule="exact"/>
              <w:ind w:right="12"/>
              <w:rPr>
                <w:rFonts w:ascii="仿宋" w:hAnsi="仿宋" w:eastAsia="仿宋"/>
                <w:color w:val="000000"/>
                <w:sz w:val="28"/>
                <w:szCs w:val="28"/>
              </w:rPr>
            </w:pPr>
          </w:p>
        </w:tc>
        <w:tc>
          <w:tcPr>
            <w:tcW w:w="6920" w:type="dxa"/>
            <w:tcBorders>
              <w:top w:val="single" w:color="auto" w:sz="4" w:space="0"/>
              <w:left w:val="nil"/>
              <w:bottom w:val="single" w:color="auto" w:sz="4" w:space="0"/>
              <w:right w:val="single" w:color="000000" w:sz="4" w:space="0"/>
            </w:tcBorders>
            <w:vAlign w:val="center"/>
          </w:tcPr>
          <w:p w14:paraId="70CA6F5D">
            <w:pPr>
              <w:spacing w:line="400" w:lineRule="exact"/>
              <w:ind w:right="12" w:firstLine="480"/>
              <w:rPr>
                <w:rFonts w:ascii="方正仿宋_GBK" w:hAnsi="宋体" w:eastAsia="方正仿宋_GBK"/>
                <w:color w:val="000000"/>
                <w:szCs w:val="21"/>
              </w:rPr>
            </w:pPr>
            <w:r>
              <w:rPr>
                <w:rFonts w:hint="eastAsia" w:ascii="方正仿宋_GBK" w:hAnsi="宋体" w:eastAsia="方正仿宋_GBK"/>
                <w:color w:val="000000"/>
                <w:szCs w:val="21"/>
              </w:rPr>
              <w:t>车位</w:t>
            </w:r>
            <w:r>
              <w:rPr>
                <w:rFonts w:hint="eastAsia" w:ascii="方正仿宋_GBK" w:hAnsi="宋体" w:eastAsia="方正仿宋_GBK"/>
                <w:color w:val="000000"/>
                <w:szCs w:val="21"/>
                <w:lang w:val="en-US" w:eastAsia="zh-CN"/>
              </w:rPr>
              <w:t>7</w:t>
            </w:r>
            <w:r>
              <w:rPr>
                <w:rFonts w:hint="eastAsia" w:ascii="方正仿宋_GBK" w:hAnsi="宋体" w:eastAsia="方正仿宋_GBK"/>
                <w:color w:val="000000"/>
                <w:szCs w:val="21"/>
              </w:rPr>
              <w:t>分：与标底相比±5.00元，扣1分</w:t>
            </w:r>
          </w:p>
        </w:tc>
        <w:tc>
          <w:tcPr>
            <w:tcW w:w="1057" w:type="dxa"/>
            <w:vMerge w:val="continue"/>
            <w:tcBorders>
              <w:left w:val="nil"/>
              <w:right w:val="single" w:color="000000" w:sz="4" w:space="0"/>
            </w:tcBorders>
            <w:vAlign w:val="center"/>
          </w:tcPr>
          <w:p w14:paraId="3D9A030C">
            <w:pPr>
              <w:spacing w:line="400" w:lineRule="exact"/>
              <w:ind w:right="12" w:firstLine="480"/>
              <w:rPr>
                <w:rFonts w:ascii="仿宋" w:hAnsi="仿宋" w:eastAsia="仿宋"/>
                <w:color w:val="000000"/>
                <w:sz w:val="28"/>
                <w:szCs w:val="28"/>
              </w:rPr>
            </w:pPr>
          </w:p>
        </w:tc>
      </w:tr>
      <w:tr w14:paraId="00589C18">
        <w:tblPrEx>
          <w:tblCellMar>
            <w:top w:w="0" w:type="dxa"/>
            <w:left w:w="108" w:type="dxa"/>
            <w:bottom w:w="0" w:type="dxa"/>
            <w:right w:w="108" w:type="dxa"/>
          </w:tblCellMar>
        </w:tblPrEx>
        <w:trPr>
          <w:trHeight w:val="415" w:hRule="atLeast"/>
        </w:trPr>
        <w:tc>
          <w:tcPr>
            <w:tcW w:w="1359" w:type="dxa"/>
            <w:vMerge w:val="continue"/>
            <w:tcBorders>
              <w:left w:val="single" w:color="000000" w:sz="4" w:space="0"/>
              <w:bottom w:val="single" w:color="auto" w:sz="4" w:space="0"/>
              <w:right w:val="single" w:color="auto" w:sz="4" w:space="0"/>
            </w:tcBorders>
            <w:vAlign w:val="center"/>
          </w:tcPr>
          <w:p w14:paraId="473F50E9">
            <w:pPr>
              <w:spacing w:line="400" w:lineRule="exact"/>
              <w:ind w:right="12"/>
              <w:rPr>
                <w:rFonts w:ascii="仿宋" w:hAnsi="仿宋" w:eastAsia="仿宋"/>
                <w:color w:val="000000"/>
                <w:sz w:val="28"/>
                <w:szCs w:val="28"/>
              </w:rPr>
            </w:pPr>
          </w:p>
        </w:tc>
        <w:tc>
          <w:tcPr>
            <w:tcW w:w="585" w:type="dxa"/>
            <w:vMerge w:val="continue"/>
            <w:tcBorders>
              <w:left w:val="single" w:color="auto" w:sz="4" w:space="0"/>
              <w:bottom w:val="single" w:color="auto" w:sz="4" w:space="0"/>
              <w:right w:val="single" w:color="000000" w:sz="4" w:space="0"/>
            </w:tcBorders>
            <w:vAlign w:val="center"/>
          </w:tcPr>
          <w:p w14:paraId="4787C787">
            <w:pPr>
              <w:spacing w:line="400" w:lineRule="exact"/>
              <w:ind w:right="12"/>
              <w:rPr>
                <w:rFonts w:ascii="仿宋" w:hAnsi="仿宋" w:eastAsia="仿宋"/>
                <w:color w:val="000000"/>
                <w:sz w:val="28"/>
                <w:szCs w:val="28"/>
              </w:rPr>
            </w:pPr>
          </w:p>
        </w:tc>
        <w:tc>
          <w:tcPr>
            <w:tcW w:w="6920" w:type="dxa"/>
            <w:tcBorders>
              <w:top w:val="single" w:color="auto" w:sz="4" w:space="0"/>
              <w:left w:val="nil"/>
              <w:bottom w:val="single" w:color="auto" w:sz="4" w:space="0"/>
              <w:right w:val="single" w:color="000000" w:sz="4" w:space="0"/>
            </w:tcBorders>
            <w:vAlign w:val="center"/>
          </w:tcPr>
          <w:p w14:paraId="5904362E">
            <w:pPr>
              <w:spacing w:line="400" w:lineRule="exact"/>
              <w:ind w:right="12" w:firstLine="480"/>
              <w:rPr>
                <w:rFonts w:hint="default" w:ascii="方正仿宋_GBK" w:hAnsi="宋体" w:eastAsia="方正仿宋_GBK"/>
                <w:color w:val="000000"/>
                <w:szCs w:val="21"/>
                <w:lang w:val="en-US" w:eastAsia="zh-CN"/>
              </w:rPr>
            </w:pPr>
            <w:r>
              <w:rPr>
                <w:rFonts w:hint="eastAsia" w:ascii="方正仿宋_GBK" w:hAnsi="宋体" w:eastAsia="方正仿宋_GBK"/>
                <w:color w:val="000000"/>
                <w:szCs w:val="21"/>
              </w:rPr>
              <w:t>收支分项测算</w:t>
            </w:r>
            <w:r>
              <w:rPr>
                <w:rFonts w:hint="eastAsia" w:ascii="方正仿宋_GBK" w:hAnsi="宋体" w:eastAsia="方正仿宋_GBK"/>
                <w:color w:val="000000"/>
                <w:szCs w:val="21"/>
                <w:lang w:val="en-US" w:eastAsia="zh-CN"/>
              </w:rPr>
              <w:t>合理性:10分</w:t>
            </w:r>
          </w:p>
        </w:tc>
        <w:tc>
          <w:tcPr>
            <w:tcW w:w="1057" w:type="dxa"/>
            <w:tcBorders>
              <w:left w:val="nil"/>
              <w:bottom w:val="single" w:color="auto" w:sz="4" w:space="0"/>
              <w:right w:val="single" w:color="000000" w:sz="4" w:space="0"/>
            </w:tcBorders>
            <w:vAlign w:val="center"/>
          </w:tcPr>
          <w:p w14:paraId="19DA6CC5">
            <w:pPr>
              <w:spacing w:line="400" w:lineRule="exact"/>
              <w:ind w:right="12" w:firstLine="480"/>
              <w:rPr>
                <w:rFonts w:ascii="仿宋" w:hAnsi="仿宋" w:eastAsia="仿宋"/>
                <w:color w:val="000000"/>
                <w:sz w:val="28"/>
                <w:szCs w:val="28"/>
              </w:rPr>
            </w:pPr>
          </w:p>
        </w:tc>
      </w:tr>
    </w:tbl>
    <w:p w14:paraId="7EF5094F">
      <w:pPr>
        <w:spacing w:line="400" w:lineRule="exact"/>
        <w:ind w:right="12" w:firstLine="480"/>
        <w:rPr>
          <w:rFonts w:ascii="仿宋" w:hAnsi="仿宋" w:eastAsia="仿宋"/>
          <w:color w:val="000000"/>
          <w:sz w:val="28"/>
          <w:szCs w:val="28"/>
        </w:rPr>
      </w:pPr>
    </w:p>
    <w:p w14:paraId="6F67E634">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三、无效投标条款</w:t>
      </w:r>
    </w:p>
    <w:p w14:paraId="694B2B25">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评标委员会评审时，投标人或其投标文件出现下列情况之一者，应为无效投标：</w:t>
      </w:r>
    </w:p>
    <w:p w14:paraId="7BD919C9">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（一）投标人未通过资格性检查的；</w:t>
      </w:r>
    </w:p>
    <w:p w14:paraId="640E7761">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（二）投标人营业执照上经营范围无物业管理的；</w:t>
      </w:r>
    </w:p>
    <w:p w14:paraId="1E5F3E92">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（三）法定代表人为同一个人的两个及两个以上法人，母公司、全资子公司及其控股公司进行投标的，上述投标人的投标均无效；</w:t>
      </w:r>
    </w:p>
    <w:p w14:paraId="3E423954">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（四）投标文件出现多个投标方案或投标报价的；</w:t>
      </w:r>
    </w:p>
    <w:p w14:paraId="33A03A30">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（五）投标报价超出招标文件规定的单价最高限价的；</w:t>
      </w:r>
    </w:p>
    <w:p w14:paraId="47E1203F">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（六）投标文件含有违反国家法律、法规的内容，或附有招标人不能接受的条件的；</w:t>
      </w:r>
    </w:p>
    <w:p w14:paraId="2727E063">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（七）经评标委员会审查，未对招标文件作实质性响应的；</w:t>
      </w:r>
    </w:p>
    <w:p w14:paraId="2290116B">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（八）招标文件规定的其他无效投标条款。</w:t>
      </w:r>
    </w:p>
    <w:p w14:paraId="42ED1111">
      <w:pPr>
        <w:spacing w:line="400" w:lineRule="exact"/>
        <w:ind w:right="12" w:firstLine="480"/>
        <w:rPr>
          <w:rFonts w:ascii="仿宋" w:hAnsi="仿宋" w:eastAsia="仿宋"/>
          <w:color w:val="000000"/>
          <w:sz w:val="28"/>
          <w:szCs w:val="28"/>
        </w:rPr>
      </w:pPr>
      <w:bookmarkStart w:id="12" w:name="_Toc271791974"/>
      <w:bookmarkEnd w:id="12"/>
      <w:bookmarkStart w:id="13" w:name="_Toc311729666"/>
      <w:r>
        <w:rPr>
          <w:rFonts w:hint="eastAsia" w:ascii="仿宋" w:hAnsi="仿宋" w:eastAsia="仿宋"/>
          <w:color w:val="000000"/>
          <w:sz w:val="28"/>
          <w:szCs w:val="28"/>
        </w:rPr>
        <w:t>四、废标条款</w:t>
      </w:r>
      <w:bookmarkEnd w:id="13"/>
    </w:p>
    <w:p w14:paraId="177480B1">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评标委员会评审时出现以下情况之一的，应予废标：</w:t>
      </w:r>
    </w:p>
    <w:p w14:paraId="621D8533">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（一）符合专业条件的投标人或者对招标文件作实质响应的投标人不足三家的。</w:t>
      </w:r>
    </w:p>
    <w:p w14:paraId="2B1251CD">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（二）投标人的报价符合招标最高限价的投标人不足三家的。</w:t>
      </w:r>
    </w:p>
    <w:p w14:paraId="64A99E31">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（三）出现影响招标公正的违法、违规行为的。</w:t>
      </w:r>
    </w:p>
    <w:p w14:paraId="453F40E7">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（四）因重大变故，招标任务取消的。</w:t>
      </w:r>
    </w:p>
    <w:p w14:paraId="702AEE43">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废标后，应当重新组织招标。</w:t>
      </w:r>
      <w:bookmarkStart w:id="14" w:name="_Toc311729667"/>
      <w:bookmarkEnd w:id="14"/>
      <w:bookmarkStart w:id="15" w:name="_Toc271791975"/>
      <w:bookmarkEnd w:id="15"/>
    </w:p>
    <w:p w14:paraId="77BAEF3D">
      <w:pPr>
        <w:snapToGrid w:val="0"/>
        <w:spacing w:line="500" w:lineRule="exact"/>
        <w:ind w:left="570"/>
        <w:rPr>
          <w:rFonts w:ascii="仿宋" w:hAnsi="仿宋" w:eastAsia="仿宋"/>
          <w:color w:val="000000"/>
          <w:sz w:val="28"/>
          <w:szCs w:val="28"/>
        </w:rPr>
      </w:pPr>
    </w:p>
    <w:p w14:paraId="7B6D24A6">
      <w:pPr>
        <w:spacing w:line="500" w:lineRule="exact"/>
        <w:jc w:val="center"/>
        <w:outlineLvl w:val="0"/>
        <w:rPr>
          <w:rFonts w:ascii="仿宋" w:hAnsi="仿宋" w:eastAsia="仿宋"/>
          <w:b/>
          <w:color w:val="000000"/>
          <w:sz w:val="28"/>
          <w:szCs w:val="28"/>
        </w:rPr>
      </w:pPr>
      <w:r>
        <w:rPr>
          <w:rFonts w:hint="eastAsia" w:ascii="仿宋" w:hAnsi="仿宋" w:eastAsia="仿宋"/>
          <w:b/>
          <w:color w:val="000000"/>
          <w:sz w:val="28"/>
          <w:szCs w:val="28"/>
        </w:rPr>
        <w:t>第五篇 投标人须知</w:t>
      </w:r>
    </w:p>
    <w:p w14:paraId="11B80611">
      <w:pPr>
        <w:spacing w:line="400" w:lineRule="exact"/>
        <w:ind w:right="12" w:firstLine="480"/>
        <w:rPr>
          <w:rFonts w:ascii="仿宋" w:hAnsi="仿宋" w:eastAsia="仿宋"/>
          <w:color w:val="000000"/>
          <w:sz w:val="28"/>
          <w:szCs w:val="28"/>
        </w:rPr>
      </w:pPr>
      <w:bookmarkStart w:id="16" w:name="_Toc271791976"/>
      <w:bookmarkEnd w:id="16"/>
      <w:bookmarkStart w:id="17" w:name="_Toc311729668"/>
      <w:r>
        <w:rPr>
          <w:rFonts w:hint="eastAsia" w:ascii="仿宋" w:hAnsi="仿宋" w:eastAsia="仿宋"/>
          <w:color w:val="000000"/>
          <w:sz w:val="28"/>
          <w:szCs w:val="28"/>
        </w:rPr>
        <w:t>一、投标费用</w:t>
      </w:r>
      <w:bookmarkEnd w:id="17"/>
    </w:p>
    <w:p w14:paraId="5D79D987">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无论投标结果如何，投标人参与本项目投标的所有费用均应由投标人自行承担。</w:t>
      </w:r>
    </w:p>
    <w:p w14:paraId="767DC21B">
      <w:pPr>
        <w:spacing w:line="400" w:lineRule="exact"/>
        <w:ind w:right="12" w:firstLine="480"/>
        <w:rPr>
          <w:rFonts w:ascii="仿宋" w:hAnsi="仿宋" w:eastAsia="仿宋"/>
          <w:color w:val="000000"/>
          <w:sz w:val="28"/>
          <w:szCs w:val="28"/>
        </w:rPr>
      </w:pPr>
      <w:bookmarkStart w:id="18" w:name="_Toc271791977"/>
      <w:bookmarkEnd w:id="18"/>
      <w:bookmarkStart w:id="19" w:name="_Toc311729669"/>
      <w:r>
        <w:rPr>
          <w:rFonts w:hint="eastAsia" w:ascii="仿宋" w:hAnsi="仿宋" w:eastAsia="仿宋"/>
          <w:color w:val="000000"/>
          <w:sz w:val="28"/>
          <w:szCs w:val="28"/>
        </w:rPr>
        <w:t>二、投标人</w:t>
      </w:r>
      <w:bookmarkEnd w:id="19"/>
    </w:p>
    <w:p w14:paraId="034F5F72">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1、合格投标人条件</w:t>
      </w:r>
    </w:p>
    <w:p w14:paraId="6C5D827A">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合格投标人应完全符合招标文件第一篇中规定的投标人资格条件，并对招标文件作出实质性响应。</w:t>
      </w:r>
    </w:p>
    <w:p w14:paraId="4BE4B1B1">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2、投标人的风险</w:t>
      </w:r>
    </w:p>
    <w:p w14:paraId="74829685">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投标人没有按照招标文件要求提供全部资料，或者投标人没有对招标文件在各方面作出实质性响应，可能导致投标被拒绝或评定为无效投标。</w:t>
      </w:r>
    </w:p>
    <w:p w14:paraId="7260235E">
      <w:pPr>
        <w:spacing w:line="400" w:lineRule="exact"/>
        <w:ind w:right="12" w:firstLine="480"/>
        <w:rPr>
          <w:rFonts w:ascii="仿宋" w:hAnsi="仿宋" w:eastAsia="仿宋"/>
          <w:color w:val="000000"/>
          <w:sz w:val="28"/>
          <w:szCs w:val="28"/>
        </w:rPr>
      </w:pPr>
      <w:bookmarkStart w:id="20" w:name="_Toc271791978"/>
      <w:bookmarkEnd w:id="20"/>
      <w:bookmarkStart w:id="21" w:name="_Toc311729670"/>
      <w:r>
        <w:rPr>
          <w:rFonts w:hint="eastAsia" w:ascii="仿宋" w:hAnsi="仿宋" w:eastAsia="仿宋"/>
          <w:color w:val="000000"/>
          <w:sz w:val="28"/>
          <w:szCs w:val="28"/>
        </w:rPr>
        <w:t>三、招标文件</w:t>
      </w:r>
      <w:bookmarkEnd w:id="21"/>
    </w:p>
    <w:p w14:paraId="06AC0903">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招标文件是投标人编制投标文件的依据，是评标委员会评判依据和标准。招标文件也是招标人与中标投标人签订合同的基础。</w:t>
      </w:r>
    </w:p>
    <w:p w14:paraId="2EBCC200">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1、招标文件由投标邀请书；项目介绍和服务要求；商务条款；评标方法、评标标准、无效投标条款和废标条款；投标人须知；合同范本；投标文件格式等七部分组成。</w:t>
      </w:r>
    </w:p>
    <w:p w14:paraId="08EE1D99">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2、招标代理机构对招标文件所作的一切有效的书面通知、修改及补充，都是招标文件不可分割的部分。</w:t>
      </w:r>
    </w:p>
    <w:p w14:paraId="191E9ED9">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3、投标人对招标文件如有异议，应在规定时间内以书面形式提交招标代理机构。招标代理机构对已发出的招标文件需要进行澄清或修改的，应以书面形式在重庆市潼南区住房和城乡建设委员会网站（http://</w:t>
      </w:r>
      <w:r>
        <w:rPr>
          <w:rFonts w:ascii="仿宋" w:hAnsi="仿宋" w:eastAsia="仿宋"/>
          <w:color w:val="000000"/>
          <w:sz w:val="28"/>
          <w:szCs w:val="28"/>
        </w:rPr>
        <w:t xml:space="preserve"> www.cqtn.gov.cn/www/tncxjw</w:t>
      </w:r>
      <w:r>
        <w:rPr>
          <w:rFonts w:hint="eastAsia" w:ascii="仿宋" w:hAnsi="仿宋" w:eastAsia="仿宋"/>
          <w:color w:val="000000"/>
          <w:sz w:val="28"/>
          <w:szCs w:val="28"/>
        </w:rPr>
        <w:t>）进行通知。该澄清或者修改的内容为招标文件的组成部分。</w:t>
      </w:r>
    </w:p>
    <w:p w14:paraId="4A6389DF">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4、投标人对招标文件有异议的，应在规定时间内提出，否则视同认可招标文件所有要求。逾期提出异议的，招标代理机构可以不予受理。</w:t>
      </w:r>
    </w:p>
    <w:p w14:paraId="03EF8459">
      <w:pPr>
        <w:spacing w:line="400" w:lineRule="exact"/>
        <w:ind w:right="12" w:firstLine="480"/>
        <w:rPr>
          <w:rFonts w:ascii="仿宋" w:hAnsi="仿宋" w:eastAsia="仿宋"/>
          <w:color w:val="000000"/>
          <w:sz w:val="28"/>
          <w:szCs w:val="28"/>
        </w:rPr>
      </w:pPr>
      <w:bookmarkStart w:id="22" w:name="_Toc271791979"/>
      <w:bookmarkEnd w:id="22"/>
      <w:bookmarkStart w:id="23" w:name="_Toc311729671"/>
      <w:r>
        <w:rPr>
          <w:rFonts w:hint="eastAsia" w:ascii="仿宋" w:hAnsi="仿宋" w:eastAsia="仿宋"/>
          <w:color w:val="000000"/>
          <w:sz w:val="28"/>
          <w:szCs w:val="28"/>
        </w:rPr>
        <w:t>四、投标文件</w:t>
      </w:r>
      <w:bookmarkEnd w:id="23"/>
    </w:p>
    <w:p w14:paraId="5767A8A6">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投标人应当按照招标文件的要求编制投标文件，并对招标文件提出的要求和条件作出实质性响应。</w:t>
      </w:r>
    </w:p>
    <w:p w14:paraId="6D36445C">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（一）投标文件组成</w:t>
      </w:r>
    </w:p>
    <w:p w14:paraId="2B36F0D8">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投标文件由以下部分和投标人所作的一切有效补充、修改和承诺等文件组成，投标人应按照第七篇“投标文件格式”的目录顺序组织编写和装订。</w:t>
      </w:r>
    </w:p>
    <w:p w14:paraId="72EC41C8">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（二）投标文件的份数和签署.</w:t>
      </w:r>
    </w:p>
    <w:p w14:paraId="5C059E90">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1、投标文件一式</w:t>
      </w:r>
      <w:r>
        <w:rPr>
          <w:rFonts w:hint="eastAsia" w:ascii="仿宋" w:hAnsi="仿宋" w:eastAsia="仿宋"/>
          <w:color w:val="000000"/>
          <w:sz w:val="28"/>
          <w:szCs w:val="28"/>
          <w:lang w:val="en-US" w:eastAsia="zh-CN"/>
        </w:rPr>
        <w:t>三</w:t>
      </w:r>
      <w:r>
        <w:rPr>
          <w:rFonts w:hint="eastAsia" w:ascii="仿宋" w:hAnsi="仿宋" w:eastAsia="仿宋"/>
          <w:color w:val="000000"/>
          <w:sz w:val="28"/>
          <w:szCs w:val="28"/>
        </w:rPr>
        <w:t>份，一正</w:t>
      </w:r>
      <w:r>
        <w:rPr>
          <w:rFonts w:hint="eastAsia" w:ascii="仿宋" w:hAnsi="仿宋" w:eastAsia="仿宋"/>
          <w:color w:val="000000"/>
          <w:sz w:val="28"/>
          <w:szCs w:val="28"/>
          <w:lang w:val="en-US" w:eastAsia="zh-CN"/>
        </w:rPr>
        <w:t>两</w:t>
      </w:r>
      <w:r>
        <w:rPr>
          <w:rFonts w:hint="eastAsia" w:ascii="仿宋" w:hAnsi="仿宋" w:eastAsia="仿宋"/>
          <w:color w:val="000000"/>
          <w:sz w:val="28"/>
          <w:szCs w:val="28"/>
        </w:rPr>
        <w:t>副，每份纸质投标文件内容须完全一样，须在封面清楚地标明“项目名称”和“投标人名称”，封面必须加盖鲜章。</w:t>
      </w:r>
    </w:p>
    <w:p w14:paraId="2968F698">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2、招标文件第七篇投标文件格式中规定签字、盖章的地方必须按其规定签字、盖章。</w:t>
      </w:r>
    </w:p>
    <w:p w14:paraId="723F808D">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3、若投标人对投标文件的错处作必要修改，则应在修改处加盖投标人公章或由法人或法人授权代表签字确认。</w:t>
      </w:r>
    </w:p>
    <w:p w14:paraId="6354A927">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4、电报、电话、传真形式的投标文件概不接受，如份数缺失或未按要求签字盖章则视为该投标人不具备投标资格。</w:t>
      </w:r>
    </w:p>
    <w:p w14:paraId="72B0773A">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（三）投标报价</w:t>
      </w:r>
    </w:p>
    <w:p w14:paraId="74E6912C">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1、投标报价应包括物业管理条例规定的物业服务当中应由物业服务企业承担的全部费用。</w:t>
      </w:r>
    </w:p>
    <w:p w14:paraId="67E75A33">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2、投标人应严格按照“投标文件格式”中“报价函”格式进行报价。</w:t>
      </w:r>
    </w:p>
    <w:p w14:paraId="71E740F8">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3、本项目只接受一个投标报价，该报价用于计算投标文件经济部分得分，最后的合同价格在该报价的基础上，须经过政府相关部门指导确认，合理调整后再签署。</w:t>
      </w:r>
    </w:p>
    <w:p w14:paraId="20B0CE5D">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4、有选择的或有条件的报价将不予接受。</w:t>
      </w:r>
    </w:p>
    <w:p w14:paraId="3B934B02">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（四）修正错误</w:t>
      </w:r>
    </w:p>
    <w:p w14:paraId="614305CB">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若投标文件出现计算或表达上的错误，修正错误的原则如下：</w:t>
      </w:r>
    </w:p>
    <w:p w14:paraId="557E4645">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1、报价函与收支分项测算不一致的，以报价函为准；</w:t>
      </w:r>
    </w:p>
    <w:p w14:paraId="48AE0888">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2、报价函的大写金额和小写金额不一致的，以大写金额为准；</w:t>
      </w:r>
    </w:p>
    <w:p w14:paraId="550AEA3D">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3、金额小数点有明显错位的，应予以纠正；</w:t>
      </w:r>
    </w:p>
    <w:p w14:paraId="367C7513">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4、对不同文字文本投标文件的解释发生异议的，以中文文本为准。</w:t>
      </w:r>
    </w:p>
    <w:p w14:paraId="5CDDF74D">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评标委员会按上述修正错误的原则及方法调整或修正投标人投标报价，调整后的投标报价对投标人具有约束作用。如果投标人不接受修正后的报价，则其投标将作为无效投标处理。</w:t>
      </w:r>
    </w:p>
    <w:p w14:paraId="4B749770">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（五）投标文件的递交</w:t>
      </w:r>
    </w:p>
    <w:p w14:paraId="7E80D820">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1、投标文件的密封与标记</w:t>
      </w:r>
    </w:p>
    <w:p w14:paraId="6177AB27">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投标文件应用密封袋集中密封。密封袋上注明项目名称、投标人名称及“不准提前启封”字样。封口须加盖投标人公章。</w:t>
      </w:r>
    </w:p>
    <w:p w14:paraId="65D05887">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如果未按上述规定进行密封和标记，招标代理公司对投标文件误投、丢失或提前拆封不负责任；对未密封或密封情况特别糟糕的投标人，代理公司经过与招标方现场代表协商一致后可否决其投标资格，已缴纳的招标文件购买费不予退还。</w:t>
      </w:r>
    </w:p>
    <w:p w14:paraId="61434473">
      <w:pPr>
        <w:spacing w:line="400" w:lineRule="exact"/>
        <w:ind w:right="12" w:firstLine="480"/>
        <w:rPr>
          <w:rFonts w:ascii="仿宋" w:hAnsi="仿宋" w:eastAsia="仿宋"/>
          <w:color w:val="000000"/>
          <w:sz w:val="28"/>
          <w:szCs w:val="28"/>
        </w:rPr>
      </w:pPr>
      <w:bookmarkStart w:id="24" w:name="_Toc271791980"/>
      <w:bookmarkEnd w:id="24"/>
      <w:bookmarkStart w:id="25" w:name="_Toc311729672"/>
      <w:r>
        <w:rPr>
          <w:rFonts w:hint="eastAsia" w:ascii="仿宋" w:hAnsi="仿宋" w:eastAsia="仿宋"/>
          <w:color w:val="000000"/>
          <w:sz w:val="28"/>
          <w:szCs w:val="28"/>
        </w:rPr>
        <w:t>五、开标</w:t>
      </w:r>
      <w:bookmarkEnd w:id="25"/>
    </w:p>
    <w:p w14:paraId="3D4F2B86">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（一）开标在招标文件中“投标邀请书”确定的时间和地点公开进行。</w:t>
      </w:r>
    </w:p>
    <w:p w14:paraId="01C1F275">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（二）招标代理公司可以视招标具体情况，延长投标截止时间和开标时间，但至少应当在招标文件要求提交投标文件的截止时间三日前，将变更时间在重庆市潼南区住房和城乡建设委员会网站（http://</w:t>
      </w:r>
      <w:r>
        <w:rPr>
          <w:rFonts w:ascii="仿宋" w:hAnsi="仿宋" w:eastAsia="仿宋"/>
          <w:color w:val="000000"/>
          <w:sz w:val="28"/>
          <w:szCs w:val="28"/>
        </w:rPr>
        <w:t xml:space="preserve"> www.cqtn.gov.cn/www/tncxjw</w:t>
      </w:r>
      <w:r>
        <w:rPr>
          <w:rFonts w:hint="eastAsia" w:ascii="仿宋" w:hAnsi="仿宋" w:eastAsia="仿宋"/>
          <w:color w:val="000000"/>
          <w:sz w:val="28"/>
          <w:szCs w:val="28"/>
        </w:rPr>
        <w:t>）书面通知。</w:t>
      </w:r>
    </w:p>
    <w:p w14:paraId="69ED2696">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（三）开标由招标代理公司主持，邀请招标人、投标人、评审专家和有关监督部门代表参加。</w:t>
      </w:r>
    </w:p>
    <w:p w14:paraId="5784EC76">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（四）开标时，由投标人或者其推选的代表检查投标文件的密封情况；经确认密封完好的投标文件，由工作人员当众拆封，宣读投标人投标文件“报价函”的投标人名称和投标报价，以及其他主要内容并记录。</w:t>
      </w:r>
    </w:p>
    <w:p w14:paraId="24981610">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（五）未宣读的投标价格等实质性内容等，评标时不予承认。</w:t>
      </w:r>
    </w:p>
    <w:p w14:paraId="1BD63BA8">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（六）开标过程应由签到表、报价确认表、专家评分表、招标人评分表、得分汇总表、经济标标底、监督人致辞组成。会后交物业主管部门存档备查。</w:t>
      </w:r>
    </w:p>
    <w:p w14:paraId="222395FD">
      <w:pPr>
        <w:spacing w:line="400" w:lineRule="exact"/>
        <w:ind w:right="12" w:firstLine="480"/>
        <w:rPr>
          <w:rFonts w:ascii="仿宋" w:hAnsi="仿宋" w:eastAsia="仿宋"/>
          <w:color w:val="000000"/>
          <w:sz w:val="28"/>
          <w:szCs w:val="28"/>
        </w:rPr>
      </w:pPr>
      <w:bookmarkStart w:id="26" w:name="_Toc271791981"/>
      <w:bookmarkEnd w:id="26"/>
      <w:bookmarkStart w:id="27" w:name="_Toc311729673"/>
      <w:r>
        <w:rPr>
          <w:rFonts w:hint="eastAsia" w:ascii="仿宋" w:hAnsi="仿宋" w:eastAsia="仿宋"/>
          <w:color w:val="000000"/>
          <w:sz w:val="28"/>
          <w:szCs w:val="28"/>
        </w:rPr>
        <w:t>六、评标</w:t>
      </w:r>
      <w:bookmarkEnd w:id="27"/>
    </w:p>
    <w:p w14:paraId="1012F3F7">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见第四篇“评标”内容。</w:t>
      </w:r>
    </w:p>
    <w:p w14:paraId="663AD7DD">
      <w:pPr>
        <w:spacing w:line="400" w:lineRule="exact"/>
        <w:ind w:right="12" w:firstLine="480"/>
        <w:rPr>
          <w:rFonts w:ascii="仿宋" w:hAnsi="仿宋" w:eastAsia="仿宋"/>
          <w:color w:val="000000"/>
          <w:sz w:val="28"/>
          <w:szCs w:val="28"/>
        </w:rPr>
      </w:pPr>
      <w:bookmarkStart w:id="28" w:name="_Toc271791982"/>
      <w:bookmarkEnd w:id="28"/>
      <w:bookmarkStart w:id="29" w:name="_Toc311729674"/>
      <w:r>
        <w:rPr>
          <w:rFonts w:hint="eastAsia" w:ascii="仿宋" w:hAnsi="仿宋" w:eastAsia="仿宋"/>
          <w:color w:val="000000"/>
          <w:sz w:val="28"/>
          <w:szCs w:val="28"/>
        </w:rPr>
        <w:t>七、定标</w:t>
      </w:r>
      <w:bookmarkEnd w:id="29"/>
    </w:p>
    <w:p w14:paraId="72268A61">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（一）定标原则</w:t>
      </w:r>
    </w:p>
    <w:p w14:paraId="170F87AE">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招标人或其授权的评标委员会应按照评标报告中推荐的中标候选投标人排名顺序确定中标投标人。</w:t>
      </w:r>
    </w:p>
    <w:p w14:paraId="517FCC99">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（二）定标程序</w:t>
      </w:r>
    </w:p>
    <w:p w14:paraId="774BA03F">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1、招标代理机构在招标人代表和评标委员会打分结束后，当场统计各投标人的得分情况，并由评标委员会评审组长宣读评分结果同时对本次招投标情况进行点评。</w:t>
      </w:r>
    </w:p>
    <w:p w14:paraId="5C90D92B">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开标会结束后，在重庆市潼南区住房和城乡建设委员会网站（http://</w:t>
      </w:r>
      <w:r>
        <w:rPr>
          <w:rFonts w:ascii="仿宋" w:hAnsi="仿宋" w:eastAsia="仿宋"/>
          <w:color w:val="000000"/>
          <w:sz w:val="28"/>
          <w:szCs w:val="28"/>
        </w:rPr>
        <w:t xml:space="preserve"> www.cqtn.gov.cn/www/tncxjw</w:t>
      </w:r>
      <w:r>
        <w:rPr>
          <w:rFonts w:hint="eastAsia" w:ascii="仿宋" w:hAnsi="仿宋" w:eastAsia="仿宋"/>
          <w:color w:val="000000"/>
          <w:sz w:val="28"/>
          <w:szCs w:val="28"/>
        </w:rPr>
        <w:t>）发布公示评标结果。</w:t>
      </w:r>
    </w:p>
    <w:p w14:paraId="6A3DBBF1">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2、投标人对评标结果无异议的，招标人应在收到评标报告后3个工作日内对评标结果进行确认。如有投标人对评标结果提出质疑的，招标人可在质疑处理完毕后确定中标人。</w:t>
      </w:r>
    </w:p>
    <w:p w14:paraId="28C1A422">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3、中标投标人变更</w:t>
      </w:r>
    </w:p>
    <w:p w14:paraId="739CFA94">
      <w:pPr>
        <w:spacing w:line="400" w:lineRule="exact"/>
        <w:ind w:right="12" w:firstLine="480"/>
        <w:rPr>
          <w:rFonts w:ascii="仿宋" w:hAnsi="仿宋" w:eastAsia="仿宋"/>
          <w:color w:val="000000"/>
          <w:sz w:val="28"/>
          <w:szCs w:val="28"/>
        </w:rPr>
      </w:pPr>
      <w:bookmarkStart w:id="30" w:name="_Toc271791983"/>
      <w:bookmarkEnd w:id="30"/>
      <w:bookmarkStart w:id="31" w:name="_Toc311729675"/>
      <w:r>
        <w:rPr>
          <w:rFonts w:hint="eastAsia" w:ascii="仿宋" w:hAnsi="仿宋" w:eastAsia="仿宋"/>
          <w:color w:val="000000"/>
          <w:sz w:val="28"/>
          <w:szCs w:val="28"/>
        </w:rPr>
        <w:t>3.1若中标人因不可抗力或者自身原因不能履行合同的，须提交书面说明放弃中标人身份，招标人可以确定排名其后一位的中标候选人为中标人</w:t>
      </w:r>
      <w:bookmarkEnd w:id="31"/>
      <w:r>
        <w:rPr>
          <w:rFonts w:hint="eastAsia" w:ascii="仿宋" w:hAnsi="仿宋" w:eastAsia="仿宋"/>
          <w:color w:val="000000"/>
          <w:sz w:val="28"/>
          <w:szCs w:val="28"/>
        </w:rPr>
        <w:t>。</w:t>
      </w:r>
    </w:p>
    <w:p w14:paraId="7132C4C6">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3.2中标人如放弃中标身份但不提供书面手续的，招标人将会同招标代理机构把相关情况报当地物业主管部门，由物业主管部门酌情进行处罚，并在重庆市潼南区住房和城乡建设委员会网站（http://</w:t>
      </w:r>
      <w:r>
        <w:rPr>
          <w:rFonts w:ascii="仿宋" w:hAnsi="仿宋" w:eastAsia="仿宋"/>
          <w:color w:val="000000"/>
          <w:sz w:val="28"/>
          <w:szCs w:val="28"/>
        </w:rPr>
        <w:t xml:space="preserve"> www.cqtn.gov.cn/www/tncxjw</w:t>
      </w:r>
      <w:r>
        <w:rPr>
          <w:rFonts w:hint="eastAsia" w:ascii="仿宋" w:hAnsi="仿宋" w:eastAsia="仿宋"/>
          <w:color w:val="000000"/>
          <w:sz w:val="28"/>
          <w:szCs w:val="28"/>
        </w:rPr>
        <w:t>）公示取消中标人中标身份。</w:t>
      </w:r>
    </w:p>
    <w:p w14:paraId="705A1F00">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八、中标通知书</w:t>
      </w:r>
    </w:p>
    <w:p w14:paraId="78CC4A6E">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（一）招标人确定中标人后，招标代理机构以书面形式发出中标通知书。</w:t>
      </w:r>
    </w:p>
    <w:p w14:paraId="7E1EF274">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（二）中标通知书发出后，招标人改变中标结果，应当承担相应的法律责任。如中标投标人放弃中标，须提交书面说明放弃中标人身份。</w:t>
      </w:r>
    </w:p>
    <w:p w14:paraId="156A5994">
      <w:pPr>
        <w:spacing w:line="400" w:lineRule="exact"/>
        <w:ind w:right="12" w:firstLine="480"/>
        <w:rPr>
          <w:rFonts w:ascii="仿宋" w:hAnsi="仿宋" w:eastAsia="仿宋"/>
          <w:color w:val="000000"/>
          <w:sz w:val="28"/>
          <w:szCs w:val="28"/>
        </w:rPr>
      </w:pPr>
      <w:bookmarkStart w:id="32" w:name="_Toc271791984"/>
      <w:bookmarkEnd w:id="32"/>
      <w:bookmarkStart w:id="33" w:name="_Toc311729676"/>
      <w:r>
        <w:rPr>
          <w:rFonts w:hint="eastAsia" w:ascii="仿宋" w:hAnsi="仿宋" w:eastAsia="仿宋"/>
          <w:color w:val="000000"/>
          <w:sz w:val="28"/>
          <w:szCs w:val="28"/>
        </w:rPr>
        <w:t>九、</w:t>
      </w:r>
      <w:bookmarkEnd w:id="33"/>
      <w:bookmarkStart w:id="34" w:name="_Toc271791986"/>
      <w:bookmarkEnd w:id="34"/>
      <w:bookmarkStart w:id="35" w:name="_Toc271791985"/>
      <w:r>
        <w:rPr>
          <w:rFonts w:hint="eastAsia" w:ascii="仿宋" w:hAnsi="仿宋" w:eastAsia="仿宋"/>
          <w:color w:val="000000"/>
          <w:sz w:val="28"/>
          <w:szCs w:val="28"/>
        </w:rPr>
        <w:t>询问、质疑和投诉</w:t>
      </w:r>
    </w:p>
    <w:p w14:paraId="3EE70432">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（一）询问</w:t>
      </w:r>
    </w:p>
    <w:p w14:paraId="698BD8AD">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招标人或者招标代理机构应当在一个工作日内对投标人依法提出的询问作出答复。投标人询问和招标人招标代理机构答复均可以是口头或书面形式。</w:t>
      </w:r>
    </w:p>
    <w:p w14:paraId="3B0B022F">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（二）质疑</w:t>
      </w:r>
    </w:p>
    <w:p w14:paraId="3895A63C">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1.质疑内容、时限</w:t>
      </w:r>
    </w:p>
    <w:p w14:paraId="196604B0">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1.1招标文件公告期限为招标公告发出之日起七个工作日，投标人对招标文件提出质疑的，应在招标文件公告期限内向招标人、招标代理机构提出。</w:t>
      </w:r>
    </w:p>
    <w:p w14:paraId="7AF13FC9">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1.2 投标人对招标过程提出质疑的，应在各招标程序环节结束之日起三个工作日内以书面形式向招标人、招标代理机构提出，并附相关证明材料。</w:t>
      </w:r>
    </w:p>
    <w:p w14:paraId="4DC27DC3">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1.3中标结果公告期限为中标结果公告发出之日起三个工作日，投标人对中标结果如有异议的，应当在中标结果公告期限届满之前以书面形式向招标人或招标代理机构提出质疑，并附相关证明材料。</w:t>
      </w:r>
    </w:p>
    <w:p w14:paraId="6E1862E3">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1.4投标人对招标文件中的投标人特定资格条件、技术质量和商务要求、评审标准有异议的，应主要向招标人提出质疑，其他问题可向招标代理机构提出质疑。</w:t>
      </w:r>
    </w:p>
    <w:p w14:paraId="69E06766">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2.质疑答复</w:t>
      </w:r>
    </w:p>
    <w:p w14:paraId="2CDD95FE">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招标人、招标代理机构应当在收到投标人的书面质疑后一个工作日内作出答复，答复可以是口头或书面形式。</w:t>
      </w:r>
    </w:p>
    <w:p w14:paraId="37A0A158">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（三）投诉</w:t>
      </w:r>
    </w:p>
    <w:p w14:paraId="3E8EB451">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1.投标人对招标人、招标代理机构的答复不满意，或者招标人、招标代理机构未在规定时间内答复的，可在答复期满后十五个工作日内按有关规定，向招标人所在地主管部门投诉。</w:t>
      </w:r>
    </w:p>
    <w:p w14:paraId="5708BE80">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2.在提出投诉时，应附送相关证明材料。</w:t>
      </w:r>
    </w:p>
    <w:p w14:paraId="144D2EA2">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3.在确定受理投诉后，主管部门自受理投诉之日起三十个工作日内（进行调查取证或者组织质证时间除外）对投诉事项做出处理决定，并将投诉处理决定书送达投诉人、被投诉人和其他与投诉处理决定有利害关系的招标相关当事人，同时在重庆市潼南区住房和城乡建设委员会网站（http://</w:t>
      </w:r>
      <w:r>
        <w:rPr>
          <w:rFonts w:ascii="仿宋" w:hAnsi="仿宋" w:eastAsia="仿宋"/>
          <w:color w:val="000000"/>
          <w:sz w:val="28"/>
          <w:szCs w:val="28"/>
        </w:rPr>
        <w:t xml:space="preserve"> www.cqtn.gov.cn/www/tncxjw</w:t>
      </w:r>
      <w:r>
        <w:rPr>
          <w:rFonts w:hint="eastAsia" w:ascii="仿宋" w:hAnsi="仿宋" w:eastAsia="仿宋"/>
          <w:color w:val="000000"/>
          <w:sz w:val="28"/>
          <w:szCs w:val="28"/>
        </w:rPr>
        <w:t>）公告投诉处理决定书。</w:t>
      </w:r>
    </w:p>
    <w:p w14:paraId="468081F2">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十、</w:t>
      </w:r>
      <w:bookmarkEnd w:id="35"/>
      <w:r>
        <w:rPr>
          <w:rFonts w:hint="eastAsia" w:ascii="仿宋" w:hAnsi="仿宋" w:eastAsia="仿宋"/>
          <w:color w:val="000000"/>
          <w:sz w:val="28"/>
          <w:szCs w:val="28"/>
        </w:rPr>
        <w:t>签订合同</w:t>
      </w:r>
    </w:p>
    <w:p w14:paraId="64F699B6">
      <w:pPr>
        <w:spacing w:line="400" w:lineRule="exact"/>
        <w:ind w:right="12" w:firstLine="480"/>
        <w:rPr>
          <w:rFonts w:ascii="仿宋" w:hAnsi="仿宋" w:eastAsia="仿宋"/>
          <w:color w:val="000000"/>
          <w:sz w:val="28"/>
          <w:szCs w:val="28"/>
        </w:rPr>
      </w:pPr>
      <w:bookmarkStart w:id="36" w:name="_Toc311729679"/>
      <w:bookmarkEnd w:id="36"/>
      <w:r>
        <w:rPr>
          <w:rFonts w:hint="eastAsia" w:ascii="仿宋" w:hAnsi="仿宋" w:eastAsia="仿宋"/>
          <w:color w:val="000000"/>
          <w:sz w:val="28"/>
          <w:szCs w:val="28"/>
        </w:rPr>
        <w:t>（一）招标人应当自中标通知书发出之日起三十日内，按照招标文件和中标人投标文件的约定，与中标人签订书面合同。所签订的合同不得对招标文件和中标人投标文件作实质性修改。</w:t>
      </w:r>
    </w:p>
    <w:p w14:paraId="17CE6E20">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（二）招标文件、中标人的投标文件及澄清文件等，均为签订合同的依据。</w:t>
      </w:r>
    </w:p>
    <w:p w14:paraId="7A152AC4">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（三）合同生效条款由供需双方约定，法律、行政法规规定应当办理批准、登记等手续后生效的合同，依照其规定。</w:t>
      </w:r>
    </w:p>
    <w:p w14:paraId="6E510B97">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（四）合同原则上应按照样本签订，相关单位要求适用合同通用格式版本的，应按其要求另行签订其他合同。</w:t>
      </w:r>
    </w:p>
    <w:p w14:paraId="356E495D">
      <w:pPr>
        <w:spacing w:line="500" w:lineRule="exact"/>
        <w:jc w:val="center"/>
        <w:outlineLvl w:val="0"/>
        <w:rPr>
          <w:rFonts w:ascii="仿宋" w:hAnsi="仿宋" w:eastAsia="仿宋"/>
          <w:b/>
          <w:bCs/>
          <w:color w:val="000000"/>
          <w:sz w:val="28"/>
          <w:szCs w:val="28"/>
        </w:rPr>
      </w:pPr>
      <w:bookmarkStart w:id="37" w:name="_Toc311729680"/>
      <w:bookmarkEnd w:id="37"/>
      <w:bookmarkStart w:id="38" w:name="_Toc311729678"/>
      <w:bookmarkEnd w:id="38"/>
      <w:r>
        <w:rPr>
          <w:rFonts w:hint="eastAsia" w:ascii="仿宋" w:hAnsi="仿宋" w:eastAsia="仿宋"/>
          <w:b/>
          <w:color w:val="000000"/>
          <w:sz w:val="28"/>
          <w:szCs w:val="28"/>
        </w:rPr>
        <w:t>第六篇  合同样本</w:t>
      </w:r>
    </w:p>
    <w:p w14:paraId="4E50C644">
      <w:pPr>
        <w:spacing w:line="500" w:lineRule="exact"/>
        <w:jc w:val="center"/>
        <w:outlineLvl w:val="0"/>
        <w:rPr>
          <w:rFonts w:ascii="仿宋" w:hAnsi="仿宋" w:eastAsia="仿宋"/>
          <w:color w:val="000000"/>
          <w:sz w:val="28"/>
          <w:szCs w:val="28"/>
        </w:rPr>
      </w:pPr>
      <w:bookmarkStart w:id="39" w:name="_Toc271791987"/>
      <w:bookmarkEnd w:id="39"/>
      <w:r>
        <w:rPr>
          <w:rFonts w:hint="eastAsia" w:ascii="仿宋" w:hAnsi="仿宋" w:eastAsia="仿宋"/>
          <w:color w:val="000000"/>
          <w:sz w:val="28"/>
          <w:szCs w:val="28"/>
        </w:rPr>
        <w:t>前期物业管理服务合同</w:t>
      </w:r>
    </w:p>
    <w:p w14:paraId="27AB4A0E">
      <w:pPr>
        <w:spacing w:line="400" w:lineRule="exact"/>
        <w:ind w:right="12" w:firstLine="480"/>
        <w:jc w:val="center"/>
        <w:rPr>
          <w:rFonts w:ascii="仿宋" w:hAnsi="仿宋" w:eastAsia="仿宋"/>
          <w:color w:val="000000"/>
          <w:sz w:val="28"/>
          <w:szCs w:val="28"/>
        </w:rPr>
      </w:pPr>
      <w:r>
        <w:rPr>
          <w:rFonts w:hint="eastAsia" w:ascii="仿宋" w:hAnsi="仿宋" w:eastAsia="仿宋"/>
          <w:b/>
          <w:bCs/>
          <w:color w:val="000000"/>
          <w:sz w:val="28"/>
          <w:szCs w:val="28"/>
        </w:rPr>
        <w:t>第一章 总则</w:t>
      </w:r>
    </w:p>
    <w:p w14:paraId="2FFFD270">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本合同当事人：</w:t>
      </w:r>
    </w:p>
    <w:p w14:paraId="13C3D0F0">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甲方：委托方（以下简称甲方）：</w:t>
      </w:r>
    </w:p>
    <w:p w14:paraId="7A667077">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企业名称：</w:t>
      </w:r>
    </w:p>
    <w:p w14:paraId="1AE0094D">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 xml:space="preserve">法定代表人：            联系电话：             </w:t>
      </w:r>
    </w:p>
    <w:p w14:paraId="5BCBE783">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地   址：</w:t>
      </w:r>
    </w:p>
    <w:p w14:paraId="335F8CBD">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乙方：受委托方（以下简称乙方）：</w:t>
      </w:r>
    </w:p>
    <w:p w14:paraId="3AA67AD8">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 xml:space="preserve">企业名称： </w:t>
      </w:r>
    </w:p>
    <w:p w14:paraId="1D531658">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 xml:space="preserve">法定代表人：           联系电话：              </w:t>
      </w:r>
    </w:p>
    <w:p w14:paraId="5744C438">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 xml:space="preserve">地址： </w:t>
      </w:r>
    </w:p>
    <w:p w14:paraId="7646FBB3">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第一条  根据《中华人民共和国合同法》、《</w:t>
      </w:r>
      <w:r>
        <w:fldChar w:fldCharType="begin"/>
      </w:r>
      <w:r>
        <w:instrText xml:space="preserve"> HYPERLINK "http://www.wyfwgw.com/laws/29.html" \t "_blank" </w:instrText>
      </w:r>
      <w:r>
        <w:fldChar w:fldCharType="separate"/>
      </w:r>
      <w:r>
        <w:rPr>
          <w:rFonts w:hint="eastAsia" w:ascii="仿宋" w:hAnsi="仿宋" w:eastAsia="仿宋"/>
          <w:color w:val="000000"/>
          <w:sz w:val="28"/>
          <w:szCs w:val="28"/>
        </w:rPr>
        <w:t>中华人民共和国物权法</w:t>
      </w:r>
      <w:r>
        <w:rPr>
          <w:rFonts w:hint="eastAsia" w:ascii="仿宋" w:hAnsi="仿宋" w:eastAsia="仿宋"/>
          <w:color w:val="000000"/>
          <w:sz w:val="28"/>
          <w:szCs w:val="28"/>
        </w:rPr>
        <w:fldChar w:fldCharType="end"/>
      </w:r>
      <w:r>
        <w:rPr>
          <w:rFonts w:hint="eastAsia" w:ascii="仿宋" w:hAnsi="仿宋" w:eastAsia="仿宋"/>
          <w:color w:val="000000"/>
          <w:sz w:val="28"/>
          <w:szCs w:val="28"/>
        </w:rPr>
        <w:t>》、《</w:t>
      </w:r>
      <w:r>
        <w:fldChar w:fldCharType="begin"/>
      </w:r>
      <w:r>
        <w:instrText xml:space="preserve"> HYPERLINK "http://www.wyfwgw.com/laws/5.html" \t "_blank" </w:instrText>
      </w:r>
      <w:r>
        <w:fldChar w:fldCharType="separate"/>
      </w:r>
      <w:r>
        <w:rPr>
          <w:rFonts w:hint="eastAsia" w:ascii="仿宋" w:hAnsi="仿宋" w:eastAsia="仿宋"/>
          <w:color w:val="000000"/>
          <w:sz w:val="28"/>
          <w:szCs w:val="28"/>
        </w:rPr>
        <w:t>物业管理条例</w:t>
      </w:r>
      <w:r>
        <w:rPr>
          <w:rFonts w:hint="eastAsia" w:ascii="仿宋" w:hAnsi="仿宋" w:eastAsia="仿宋"/>
          <w:color w:val="000000"/>
          <w:sz w:val="28"/>
          <w:szCs w:val="28"/>
        </w:rPr>
        <w:fldChar w:fldCharType="end"/>
      </w:r>
      <w:r>
        <w:rPr>
          <w:rFonts w:hint="eastAsia" w:ascii="仿宋" w:hAnsi="仿宋" w:eastAsia="仿宋"/>
          <w:color w:val="000000"/>
          <w:sz w:val="28"/>
          <w:szCs w:val="28"/>
        </w:rPr>
        <w:t>》及《重庆市物业管理条例》等有关法律、法规的规定，甲乙双方在自愿、平等、公平、诚实信用的基础上，就甲方将“</w:t>
      </w:r>
      <w:r>
        <w:rPr>
          <w:rFonts w:hint="eastAsia" w:ascii="仿宋" w:hAnsi="仿宋" w:eastAsia="仿宋"/>
          <w:color w:val="000000"/>
          <w:sz w:val="28"/>
          <w:szCs w:val="28"/>
          <w:lang w:eastAsia="zh-CN"/>
        </w:rPr>
        <w:t>渝能新城</w:t>
      </w:r>
      <w:r>
        <w:rPr>
          <w:rFonts w:hint="eastAsia" w:ascii="仿宋" w:hAnsi="仿宋" w:eastAsia="仿宋"/>
          <w:color w:val="000000"/>
          <w:sz w:val="28"/>
          <w:szCs w:val="28"/>
        </w:rPr>
        <w:t>”委托给乙方实行物业服务有关事宜,协商订立本合同。</w:t>
      </w:r>
    </w:p>
    <w:p w14:paraId="43830500">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第二条　乙方提供服务的受益人为本物业的全体业主和物业使用人，本物业的全体业主和物业使用人均应履行本合同，承担相应的责任。</w:t>
      </w:r>
    </w:p>
    <w:p w14:paraId="5FFAD3DA">
      <w:pPr>
        <w:snapToGrid w:val="0"/>
        <w:spacing w:line="500" w:lineRule="exact"/>
        <w:ind w:firstLine="562" w:firstLineChars="200"/>
        <w:jc w:val="center"/>
        <w:rPr>
          <w:rFonts w:ascii="仿宋" w:hAnsi="仿宋" w:eastAsia="仿宋"/>
          <w:color w:val="000000"/>
          <w:sz w:val="28"/>
          <w:szCs w:val="28"/>
        </w:rPr>
      </w:pPr>
      <w:r>
        <w:rPr>
          <w:rFonts w:hint="eastAsia" w:ascii="仿宋" w:hAnsi="仿宋" w:eastAsia="仿宋"/>
          <w:b/>
          <w:bCs/>
          <w:color w:val="000000"/>
          <w:sz w:val="28"/>
          <w:szCs w:val="28"/>
        </w:rPr>
        <w:t>第二章 委托服务事项</w:t>
      </w:r>
    </w:p>
    <w:p w14:paraId="308945E9">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第三条  物业管理类型：      商业、住宅、停车库     。</w:t>
      </w:r>
    </w:p>
    <w:p w14:paraId="11BDE64A">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物业总建筑面积：            平方米；</w:t>
      </w:r>
    </w:p>
    <w:p w14:paraId="59D846B1">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住宅建筑面积：              平方米；</w:t>
      </w:r>
    </w:p>
    <w:p w14:paraId="2AF97696">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商业建筑面积：              平方米。</w:t>
      </w:r>
    </w:p>
    <w:p w14:paraId="3D451318">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 xml:space="preserve">物业管理区域四至：   </w:t>
      </w:r>
    </w:p>
    <w:p w14:paraId="6CF01670">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 xml:space="preserve">东：                南：  </w:t>
      </w:r>
    </w:p>
    <w:p w14:paraId="2A9EF043">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 xml:space="preserve">西：                北：  </w:t>
      </w:r>
    </w:p>
    <w:p w14:paraId="3A3BBFE1">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乙方应按照《重庆市物业服务收费管理办法》提供四级或以上标准服务。</w:t>
      </w:r>
    </w:p>
    <w:p w14:paraId="2703090F">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第四条  制订物业服务工作计划并组织实施；管理相关的工程图纸、档案与竣工验收资料等；根据法律、法规和《临时管理规约》的授权制订物业服务的有关制度。</w:t>
      </w:r>
    </w:p>
    <w:p w14:paraId="42E16780">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第五条  房屋建筑共用部位的维修、养护和管理，包括：楼盖、屋顶、外墙面、承重墙体结构、楼梯间、走廊通道、门厅等。</w:t>
      </w:r>
    </w:p>
    <w:p w14:paraId="4915C401">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第六条  共用设施、设备的维修、养护、运行和管理，包括：共用的上下水管道、落水管、污水管、垃圾道、共用照明、天线、中央空调、高压水泵房、楼内消防设施设备、电梯等。</w:t>
      </w:r>
    </w:p>
    <w:p w14:paraId="57EED09B">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第七条  建筑及其设施在国家规定的保修期内协调开发商、承建商进行对甲方所有单元内发生的墙体、水、电、气、通讯、共用天线、排污、排水系统等建筑体系保修；保修期后实施有偿服务或协调专业机构或职能部门有偿维护维修。</w:t>
      </w:r>
    </w:p>
    <w:p w14:paraId="202AD0C0">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第八条  环境卫生及绿化养护</w:t>
      </w:r>
    </w:p>
    <w:p w14:paraId="675D8D88">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1、公共环境、房屋共用部位的保洁，生活垃圾收集并运至垃圾消纳站（不含垃圾消纳的管理及装饰装修垃圾收集和清运），化粪池清掏。</w:t>
      </w:r>
    </w:p>
    <w:p w14:paraId="5D0F81FF">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2、公用绿地、花木、建筑小品等的养护与管理，使之处于良好状态。</w:t>
      </w:r>
    </w:p>
    <w:p w14:paraId="0E5CFD2E">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第九条  公共秩序维护工作</w:t>
      </w:r>
    </w:p>
    <w:p w14:paraId="723A5544">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建立预防性安全防范体系并设立应急机制，配合公安机关进行秩序监控和巡视等工作，但不包含甲方产权范围内人身财产的保险、保证和保管责任。双方另行签订人身、财产保险和财产保管专项合同的，以专项合同的约定执行。</w:t>
      </w:r>
    </w:p>
    <w:p w14:paraId="54472DBE">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2、对来访客人办理访问手续，控制闲杂人员进入小区。</w:t>
      </w:r>
    </w:p>
    <w:p w14:paraId="6034D2B5">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3、维持小区的交通秩序。对本物业区域内的交通状况预测和安排，使本物业区域内车辆停放有序，交通顺畅（不含人身、财产的保险、保管责任）。</w:t>
      </w:r>
    </w:p>
    <w:p w14:paraId="101A7803">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4、地震、地陷、火灾等突发事件的组织疏导和协助施救工作。</w:t>
      </w:r>
    </w:p>
    <w:p w14:paraId="40F25000">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5、定期或不定期巡视、检查小区，及时采取措施以防止任何人未经乙方同意或违反本协议的约定而占用、变更、损害公共服务设施、设备,制止违反本物业的物业管理制度、本协议、《</w:t>
      </w:r>
      <w:r>
        <w:fldChar w:fldCharType="begin"/>
      </w:r>
      <w:r>
        <w:instrText xml:space="preserve"> HYPERLINK "http://www.wyfwgw.com/laws/3733.html" \t "_blank" </w:instrText>
      </w:r>
      <w:r>
        <w:fldChar w:fldCharType="separate"/>
      </w:r>
      <w:r>
        <w:rPr>
          <w:rFonts w:hint="eastAsia" w:ascii="仿宋" w:hAnsi="仿宋" w:eastAsia="仿宋"/>
          <w:color w:val="000000"/>
          <w:sz w:val="28"/>
          <w:szCs w:val="28"/>
        </w:rPr>
        <w:t>临时管理规约</w:t>
      </w:r>
      <w:r>
        <w:rPr>
          <w:rFonts w:hint="eastAsia" w:ascii="仿宋" w:hAnsi="仿宋" w:eastAsia="仿宋"/>
          <w:color w:val="000000"/>
          <w:sz w:val="28"/>
          <w:szCs w:val="28"/>
        </w:rPr>
        <w:fldChar w:fldCharType="end"/>
      </w:r>
      <w:r>
        <w:rPr>
          <w:rFonts w:hint="eastAsia" w:ascii="仿宋" w:hAnsi="仿宋" w:eastAsia="仿宋"/>
          <w:color w:val="000000"/>
          <w:sz w:val="28"/>
          <w:szCs w:val="28"/>
        </w:rPr>
        <w:t>》的行为。</w:t>
      </w:r>
    </w:p>
    <w:p w14:paraId="795D5EAA">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6、发生安全事故，及时向有关部门报告，采取相应措施，协助做好救助工作。</w:t>
      </w:r>
    </w:p>
    <w:p w14:paraId="4A5659BD">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7、消防工作，包括公共区域消防设施的维护以及消防管理制度的建立、消防设施的检查、维护以及定期进行消防训练，保证有关人员掌握消防基本技能。</w:t>
      </w:r>
    </w:p>
    <w:p w14:paraId="488EFD06">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第十条  档案资料管理</w:t>
      </w:r>
    </w:p>
    <w:p w14:paraId="512F988B">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1、本物业竣工资料、图纸及接管验收档案的管理。</w:t>
      </w:r>
    </w:p>
    <w:p w14:paraId="45E13727">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2、业主及非业主使用人的档案资料的管理。</w:t>
      </w:r>
    </w:p>
    <w:p w14:paraId="7B0ED32F">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第十一条  房屋装饰装修管理</w:t>
      </w:r>
    </w:p>
    <w:p w14:paraId="6D327038">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严格按照《中华人民共和国消防法》、《</w:t>
      </w:r>
      <w:r>
        <w:fldChar w:fldCharType="begin"/>
      </w:r>
      <w:r>
        <w:instrText xml:space="preserve"> HYPERLINK "http://www.wyfwgw.com/laws/621.html" \t "_blank" </w:instrText>
      </w:r>
      <w:r>
        <w:fldChar w:fldCharType="separate"/>
      </w:r>
      <w:r>
        <w:rPr>
          <w:rFonts w:hint="eastAsia" w:ascii="仿宋" w:hAnsi="仿宋" w:eastAsia="仿宋"/>
          <w:color w:val="000000"/>
          <w:sz w:val="28"/>
          <w:szCs w:val="28"/>
        </w:rPr>
        <w:t>住宅室内装饰装修管理办法</w:t>
      </w:r>
      <w:r>
        <w:rPr>
          <w:rFonts w:hint="eastAsia" w:ascii="仿宋" w:hAnsi="仿宋" w:eastAsia="仿宋"/>
          <w:color w:val="000000"/>
          <w:sz w:val="28"/>
          <w:szCs w:val="28"/>
        </w:rPr>
        <w:fldChar w:fldCharType="end"/>
      </w:r>
      <w:r>
        <w:rPr>
          <w:rFonts w:hint="eastAsia" w:ascii="仿宋" w:hAnsi="仿宋" w:eastAsia="仿宋"/>
          <w:color w:val="000000"/>
          <w:sz w:val="28"/>
          <w:szCs w:val="28"/>
        </w:rPr>
        <w:t>》、《重庆市消防条例》、《重庆市城市容貌管理条例》、《重庆市户外广告管理条例》以及物业服务公司按照有关法规、条例等制定的装修管理规定对装修方案进行审核，对装修过程进行监督，并对违规行为进行制止。</w:t>
      </w:r>
    </w:p>
    <w:p w14:paraId="2B502B31">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第十二条  受所有权人委托，对小区配套设施如停车场（库）等场所进行管理。</w:t>
      </w:r>
    </w:p>
    <w:p w14:paraId="65DA7C85">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第十三条　对小区公共区域及甲方保留区域进行管理。</w:t>
      </w:r>
    </w:p>
    <w:p w14:paraId="7E070E6C">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第十四条  不定期的组织开展社区文化娱乐活动，加强业主间的沟通和文化交流。设立小区信息发布栏，加强与业主的联系和消息发布。</w:t>
      </w:r>
    </w:p>
    <w:p w14:paraId="37F2C9E7">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第十五条　负责向业主和物业使用人收取下列费用：</w:t>
      </w:r>
    </w:p>
    <w:p w14:paraId="5571FB90">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1、物业服务费（住宅、商业、停车库）；</w:t>
      </w:r>
    </w:p>
    <w:p w14:paraId="189E93DB">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2、停车场车位物业服务费；</w:t>
      </w:r>
    </w:p>
    <w:p w14:paraId="1844145C">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3、其它有偿服务费；</w:t>
      </w:r>
    </w:p>
    <w:p w14:paraId="68EC5B3B">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4、物业维修资金。</w:t>
      </w:r>
    </w:p>
    <w:p w14:paraId="1595C4A9">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第十六条  各项费用的调整</w:t>
      </w:r>
    </w:p>
    <w:p w14:paraId="5FAD950E">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乙方应当就物业服务费使用制定独立账目管理，并可按照实际支出合理调整物业服务费，但乙方须提前与业主和物业使用人商议决定。</w:t>
      </w:r>
    </w:p>
    <w:p w14:paraId="41549290">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第十七条　对业主和物业使用人违反物业管理方面的法律法规或《临时管理规约》的行为，针对具体行为并根据情节轻重，采取规劝、制止、追究法律责任等措施。</w:t>
      </w:r>
    </w:p>
    <w:p w14:paraId="33C45CA6">
      <w:pPr>
        <w:snapToGrid w:val="0"/>
        <w:spacing w:line="500" w:lineRule="exact"/>
        <w:ind w:firstLine="562" w:firstLineChars="200"/>
        <w:jc w:val="center"/>
        <w:rPr>
          <w:rFonts w:ascii="仿宋" w:hAnsi="仿宋" w:eastAsia="仿宋"/>
          <w:b/>
          <w:bCs/>
          <w:color w:val="000000"/>
          <w:sz w:val="28"/>
          <w:szCs w:val="28"/>
        </w:rPr>
      </w:pPr>
      <w:r>
        <w:rPr>
          <w:rFonts w:hint="eastAsia" w:ascii="仿宋" w:hAnsi="仿宋" w:eastAsia="仿宋"/>
          <w:b/>
          <w:bCs/>
          <w:color w:val="000000"/>
          <w:sz w:val="28"/>
          <w:szCs w:val="28"/>
        </w:rPr>
        <w:t>第三章 双方权利义务</w:t>
      </w:r>
    </w:p>
    <w:p w14:paraId="64F96620">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第十八条　甲方权利义务</w:t>
      </w:r>
    </w:p>
    <w:p w14:paraId="50FE4D62">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1、审定乙方拟订的前期介入服务方案、小区物业服务方案；</w:t>
      </w:r>
    </w:p>
    <w:p w14:paraId="2FEE40AC">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2、检查监督乙方服务的实施及合同的执行情况；</w:t>
      </w:r>
    </w:p>
    <w:p w14:paraId="62084BA9">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3、审定乙方提出的前期介入服务工作计划、物业管理服务年度计划、财务预算及决算；</w:t>
      </w:r>
    </w:p>
    <w:p w14:paraId="15390FD5">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4、负责制定《临时管理规约》和提供《住宅使用说明书》、《住宅质量保证书》，并在房屋销售时公示《临时管理规约》；</w:t>
      </w:r>
    </w:p>
    <w:p w14:paraId="5CE15D81">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5、委托乙方管理的房屋、设施、设备应达到国家验收标准要求；保修责任内房屋、设施、设备维修养护和房屋建设遗留质量问题，按以下方式处理；</w:t>
      </w:r>
    </w:p>
    <w:p w14:paraId="72602980">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6、维修和返修事宜：</w:t>
      </w:r>
    </w:p>
    <w:p w14:paraId="2C7DE08A">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（1）甲方负责返修；</w:t>
      </w:r>
    </w:p>
    <w:p w14:paraId="7A3447EC">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（2）委托乙方返修，支付全部费用；</w:t>
      </w:r>
    </w:p>
    <w:p w14:paraId="444D6D76">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 xml:space="preserve">7、在合同生效之日起按物业管理有关规定的比例向乙方提供管理用房，管理用房面积为：         </w:t>
      </w:r>
      <w:r>
        <w:rPr>
          <w:rFonts w:ascii="仿宋" w:hAnsi="仿宋" w:eastAsia="仿宋"/>
          <w:color w:val="000000"/>
          <w:sz w:val="28"/>
          <w:szCs w:val="28"/>
        </w:rPr>
        <w:t>平方米</w:t>
      </w:r>
      <w:r>
        <w:rPr>
          <w:rFonts w:hint="eastAsia" w:ascii="仿宋" w:hAnsi="仿宋" w:eastAsia="仿宋"/>
          <w:color w:val="000000"/>
          <w:sz w:val="28"/>
          <w:szCs w:val="28"/>
        </w:rPr>
        <w:t>，具体位置按最终规划设计的为准。由乙方无偿使用（产权属全体业主）；</w:t>
      </w:r>
    </w:p>
    <w:p w14:paraId="2F560EA5">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8、在物业管理交接验收时，负责向乙方提供和移交物业管理相关资料；</w:t>
      </w:r>
    </w:p>
    <w:p w14:paraId="05DFEDA6">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9、应移交物业相关资料：</w:t>
      </w:r>
    </w:p>
    <w:p w14:paraId="59EEEB54">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（1）规划图、竣工总平面图，单体建筑、结构、设备竣工图，附属配套设施、地下管网工程竣工图等竣工验收资料；</w:t>
      </w:r>
    </w:p>
    <w:p w14:paraId="115BA52B">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（2）设施、设备安装、使用和维护保养技术资料；</w:t>
      </w:r>
    </w:p>
    <w:p w14:paraId="5FE811FA">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（3）物业质量保证文件和物业使用说明文件；</w:t>
      </w:r>
    </w:p>
    <w:p w14:paraId="308177ED">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（4）物业服务所必需的其他资料；</w:t>
      </w:r>
    </w:p>
    <w:p w14:paraId="4314D9CC">
      <w:pPr>
        <w:spacing w:line="400" w:lineRule="exact"/>
        <w:ind w:right="12" w:firstLine="560" w:firstLineChars="200"/>
        <w:rPr>
          <w:rFonts w:ascii="仿宋" w:hAnsi="仿宋" w:eastAsia="仿宋"/>
          <w:color w:val="000000"/>
          <w:sz w:val="28"/>
          <w:szCs w:val="28"/>
        </w:rPr>
      </w:pPr>
      <w:r>
        <w:rPr>
          <w:rFonts w:hint="eastAsia" w:ascii="仿宋" w:hAnsi="仿宋" w:eastAsia="仿宋"/>
          <w:color w:val="000000"/>
          <w:sz w:val="28"/>
          <w:szCs w:val="28"/>
        </w:rPr>
        <w:t>10、支付物业前期介入服务费用，具体金额及支付方式经双方协商后补签协议约定执行；</w:t>
      </w:r>
    </w:p>
    <w:p w14:paraId="53EE74CF">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11、当业主和物业使用人拒绝按规定交纳物业服务费用时，协助乙方催收；</w:t>
      </w:r>
    </w:p>
    <w:p w14:paraId="38932869">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12、协调、处理本合同生效前发生的管理遗留问题；</w:t>
      </w:r>
    </w:p>
    <w:p w14:paraId="3F14FB93">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13、协助乙方做好物业服务工作和社区宣传教育、文化娱乐活动；</w:t>
      </w:r>
    </w:p>
    <w:p w14:paraId="5F05BD5C">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14、应将本合同向物业所在地房地产行政主管部门备案，并按相关规定公示。</w:t>
      </w:r>
    </w:p>
    <w:p w14:paraId="35E083C1">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第十九条　乙方权利义务</w:t>
      </w:r>
    </w:p>
    <w:p w14:paraId="46B54773">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1、按照本合同的约定标准，提供高品质、专业化的服务；</w:t>
      </w:r>
    </w:p>
    <w:p w14:paraId="03F024CE">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2、起草物业管理区域内共用部分的使用要求、注意事项和物业服务制度；</w:t>
      </w:r>
    </w:p>
    <w:p w14:paraId="318B3B30">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3、雇佣、培训、解雇职员并对其工作进行管理；</w:t>
      </w:r>
    </w:p>
    <w:p w14:paraId="7B680D91">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4、乙方办公场所、工作服，工具，器具，材料或其他为保证对甲方服务工作开展所必需设备材料的采买和管理；</w:t>
      </w:r>
    </w:p>
    <w:p w14:paraId="593207EB">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5、依照本合同和有关规定收取服务费用；</w:t>
      </w:r>
    </w:p>
    <w:p w14:paraId="595CA78D">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6、可选聘专营公司承担本物业的专项服务业务，但不得将本物业的管理责任转让给第三方；</w:t>
      </w:r>
    </w:p>
    <w:p w14:paraId="46E6CC5B">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7、适时聘请、撤换及付酬予律师、建筑师、会计师及其他专业顾问和合作单位；</w:t>
      </w:r>
    </w:p>
    <w:p w14:paraId="2AD2A1DE">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8、按本合同的约定，对业主和物业使用人违反《临时管理规约》的行为进行处理；</w:t>
      </w:r>
    </w:p>
    <w:p w14:paraId="6058A0DE">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9、向业主和物业使用人告知物业使用的有关规定，乙方有权审核业主或使用人是否严格按照《中华人民共和国消防法》、《住宅室内装饰装修管理规定》、《重庆市消防条例》、《重庆市城市容貌管理条例》、《重庆市产外广告管理条例》以及物业服务公司按照有关法规、条例等制定的装修管理规定进行其所属产权范围内的装修工程，停车(场)库是否进行任何形式的改装、改造、修建构筑物．装饰和装修，并对违规行为进行制止；</w:t>
      </w:r>
    </w:p>
    <w:p w14:paraId="1A80850B">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10、接受业主的监督，定期向业主大会，业主委员会报告物业服务合同履行情况和物业维修资金使用情况；</w:t>
      </w:r>
    </w:p>
    <w:p w14:paraId="4A91BC41">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11、以物业公司名义投保，投保项目包括公众责任等险种，甲方应对其属下的产权范围内利益自行投保；</w:t>
      </w:r>
    </w:p>
    <w:p w14:paraId="12D473A7">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12、负责编制物业管理年度服务计划、资金使用计划及决算报告；</w:t>
      </w:r>
    </w:p>
    <w:p w14:paraId="5C73513D">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13、负责编制房屋、附属建筑物、构筑物、设施、设备、绿化等的年度维修养护计划和大中修方案，经双方议定后由乙方组织实施；</w:t>
      </w:r>
    </w:p>
    <w:p w14:paraId="410BE955">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14、协助有关部门制止违法、违规的行为，维护物业管理区域公共秩序；</w:t>
      </w:r>
    </w:p>
    <w:p w14:paraId="36080C6C">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15、可适时设立以下服务项目(并可根据需要设立新的服务项目)，合理收费：房屋租赁、代售；代办电话安装、宽带安装服务：室内清洁服务；室内工程维修；代养护花木；代车辆清洗、保险办理服务以及与甲方商议的其它服务内容；</w:t>
      </w:r>
    </w:p>
    <w:p w14:paraId="1232D786">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16、乙方有权在不违背业主整体权益基础上制定、修改管理规则，并利用小区告示栏、网站、小区内部刊物(如有)等各种信息渠道予以公布，对各业主均有约束力。</w:t>
      </w:r>
    </w:p>
    <w:p w14:paraId="2122429B">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第二十条  双方特别约定如下：</w:t>
      </w:r>
    </w:p>
    <w:p w14:paraId="6DF9D9BB">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本物业管理区域内的停车库（场）（未出售的车位）、休闲商业、</w:t>
      </w:r>
      <w:r>
        <w:rPr>
          <w:rFonts w:hint="eastAsia" w:ascii="仿宋" w:hAnsi="仿宋" w:eastAsia="仿宋"/>
          <w:color w:val="000000"/>
          <w:sz w:val="28"/>
          <w:szCs w:val="28"/>
          <w:lang w:eastAsia="zh-CN"/>
        </w:rPr>
        <w:t>运动健身</w:t>
      </w:r>
      <w:r>
        <w:rPr>
          <w:rFonts w:hint="eastAsia" w:ascii="仿宋" w:hAnsi="仿宋" w:eastAsia="仿宋"/>
          <w:color w:val="000000"/>
          <w:sz w:val="28"/>
          <w:szCs w:val="28"/>
        </w:rPr>
        <w:t>场馆等建构筑物及附属设施（如甲方已修建），其产权归甲方所有，甲方保留其使用权、收益权和处置权。其它甲方委托乙方经营管理的项目，乙方制定的收费标准须报经甲方批准，其收益由双方协商议定。</w:t>
      </w:r>
    </w:p>
    <w:p w14:paraId="019C9D37">
      <w:pPr>
        <w:snapToGrid w:val="0"/>
        <w:spacing w:line="500" w:lineRule="exact"/>
        <w:ind w:firstLine="562" w:firstLineChars="200"/>
        <w:jc w:val="center"/>
        <w:rPr>
          <w:rFonts w:ascii="仿宋" w:hAnsi="仿宋" w:eastAsia="仿宋"/>
          <w:b/>
          <w:bCs/>
          <w:color w:val="000000"/>
          <w:sz w:val="28"/>
          <w:szCs w:val="28"/>
        </w:rPr>
      </w:pPr>
      <w:r>
        <w:rPr>
          <w:rFonts w:hint="eastAsia" w:ascii="仿宋" w:hAnsi="仿宋" w:eastAsia="仿宋"/>
          <w:b/>
          <w:bCs/>
          <w:color w:val="000000"/>
          <w:sz w:val="28"/>
          <w:szCs w:val="28"/>
        </w:rPr>
        <w:t>第四章 物业服务费用和其他费用</w:t>
      </w:r>
    </w:p>
    <w:p w14:paraId="2241716F">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第二十一条 物业服务费构成如下：</w:t>
      </w:r>
    </w:p>
    <w:p w14:paraId="13F2C034">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1、小区公共秩序维护费；</w:t>
      </w:r>
    </w:p>
    <w:p w14:paraId="0C93D098">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2、小区公共区域清洁、保洁服务费(但所有政府另行征收的如垃圾处置费等费用均未包含其中)；</w:t>
      </w:r>
    </w:p>
    <w:p w14:paraId="29BD908E">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3、小区公共区域绿化养护、服务费：</w:t>
      </w:r>
    </w:p>
    <w:p w14:paraId="6E018229">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4、小区房屋共用部位维修(小修)及保养费；</w:t>
      </w:r>
    </w:p>
    <w:p w14:paraId="53B85BDA">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5、小区共用设施设备日常运行、维护(小修)及保养费；</w:t>
      </w:r>
    </w:p>
    <w:p w14:paraId="28BC45BB">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6、小区公共区域四害防治费用；</w:t>
      </w:r>
    </w:p>
    <w:p w14:paraId="6199EF2A">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7、乙方的办公管理费；</w:t>
      </w:r>
    </w:p>
    <w:p w14:paraId="4F403FBE">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8、乙方员工的薪酬、社会保险、福利、制服及相关器具;</w:t>
      </w:r>
    </w:p>
    <w:p w14:paraId="6D083590">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9、乙方用于为业主服务的固定资产折旧费；</w:t>
      </w:r>
    </w:p>
    <w:p w14:paraId="23B3EA19">
      <w:pPr>
        <w:spacing w:line="400" w:lineRule="exact"/>
        <w:ind w:right="12" w:firstLine="425" w:firstLineChars="152"/>
        <w:rPr>
          <w:rFonts w:ascii="仿宋" w:hAnsi="仿宋" w:eastAsia="仿宋"/>
          <w:color w:val="000000"/>
          <w:sz w:val="28"/>
          <w:szCs w:val="28"/>
        </w:rPr>
      </w:pPr>
      <w:r>
        <w:rPr>
          <w:rFonts w:hint="eastAsia" w:ascii="仿宋" w:hAnsi="仿宋" w:eastAsia="仿宋"/>
          <w:color w:val="000000"/>
          <w:sz w:val="28"/>
          <w:szCs w:val="28"/>
        </w:rPr>
        <w:t>10、乙方为小区公共区域所投保的公众责任险等保险费用；</w:t>
      </w:r>
    </w:p>
    <w:p w14:paraId="73D0A593">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11、乙方用于上缴有关部门的各项零星费用；</w:t>
      </w:r>
    </w:p>
    <w:p w14:paraId="47ABDFEC">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12、乙方用于上缴有关部门管理费、税费；</w:t>
      </w:r>
    </w:p>
    <w:p w14:paraId="74E7BC88">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13、乙方的合理利润；</w:t>
      </w:r>
    </w:p>
    <w:p w14:paraId="45D98472">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14、乙方用于为业主公共利益服务及社区文化活动费用。</w:t>
      </w:r>
    </w:p>
    <w:p w14:paraId="1E095CC3">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第二十二条 物业服务费</w:t>
      </w:r>
    </w:p>
    <w:p w14:paraId="2A13EA4C">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1、本物业服务费实行一费制（不包含二次供水加压费用），包干制，由乙方按以下收费标准收取：</w:t>
      </w:r>
    </w:p>
    <w:p w14:paraId="6DBF7E0F">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eastAsia="zh-CN"/>
        </w:rPr>
        <w:t>有电梯</w:t>
      </w:r>
      <w:r>
        <w:rPr>
          <w:rFonts w:hint="eastAsia" w:ascii="仿宋" w:hAnsi="仿宋" w:eastAsia="仿宋"/>
          <w:color w:val="000000"/>
          <w:sz w:val="28"/>
          <w:szCs w:val="28"/>
        </w:rPr>
        <w:t>住宅物业费收费标准为：      元／平方米／月计收。</w:t>
      </w:r>
    </w:p>
    <w:p w14:paraId="7C316FE0">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eastAsia="zh-CN"/>
        </w:rPr>
        <w:t>无电梯</w:t>
      </w:r>
      <w:r>
        <w:rPr>
          <w:rFonts w:hint="eastAsia" w:ascii="仿宋" w:hAnsi="仿宋" w:eastAsia="仿宋"/>
          <w:color w:val="000000"/>
          <w:sz w:val="28"/>
          <w:szCs w:val="28"/>
        </w:rPr>
        <w:t>住宅物业费收费标准为：      元／平方米／月计收。</w:t>
      </w:r>
    </w:p>
    <w:p w14:paraId="58A8036D">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（3）商业物业费收费标准为：      元／平方米／月计收。</w:t>
      </w:r>
    </w:p>
    <w:p w14:paraId="7975F7F1">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（4）车位物业费收费标准为：      元／个／月计收。</w:t>
      </w:r>
    </w:p>
    <w:p w14:paraId="31CAEB93">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（5）二次供水加压费用从加压楼层开始收取，收费标准为：   元/吨。</w:t>
      </w:r>
    </w:p>
    <w:p w14:paraId="5B9A17B0">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（6）未销售的和未交房给已售业主的房屋的物业管理费按照全价由甲方按月向乙方缴纳。</w:t>
      </w:r>
    </w:p>
    <w:p w14:paraId="5381A90C">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（7）特约服务实行明码实价，双方自愿的原则。</w:t>
      </w:r>
    </w:p>
    <w:p w14:paraId="477168A7">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（8）临时停车收费标准，乙方按政府物价部门批准的标准收取；乙方可视情况变化，在符合相关政策和征得甲方同意的情况下，可对车位租赁费（月票车）作适当上浮。</w:t>
      </w:r>
    </w:p>
    <w:p w14:paraId="35D2180A">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2、缴费办法</w:t>
      </w:r>
    </w:p>
    <w:p w14:paraId="24779725">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住宅、商业用房的物业服务费按房屋建筑面积计收，在产权部门核定面积批复下达之前以销售合同注明的建筑面积计算，批复之后以产权部门核定的建筑面积为准。面积核定前收取的物业服务费差额不作退补。停车(场)库车位物业服务费以个为单位计收。</w:t>
      </w:r>
    </w:p>
    <w:p w14:paraId="245B39CB">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 xml:space="preserve"> (2)甲方在当月15日之前将物业服务费用金额缴清,逾期将按日向甲方加收应交纳总费用3‰的违约金。</w:t>
      </w:r>
    </w:p>
    <w:p w14:paraId="0C0DEAF3">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 xml:space="preserve"> (3) 首次物业服务费收取以通知交房日期为准，交房日期在15日之前(含15日)的收取当月全月的物业服务费，交房日期在15日之后的收取当月半个月的物业服务费。首次收取物业服务费期限为半年 。</w:t>
      </w:r>
    </w:p>
    <w:p w14:paraId="575E7FA8">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第二十三条 甲方可以现金或转帐方式缴纳各项费用。</w:t>
      </w:r>
    </w:p>
    <w:p w14:paraId="1C2FED96">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第二十四条 物业维修资金收取</w:t>
      </w:r>
    </w:p>
    <w:p w14:paraId="09E248C7">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物业维修资金按政府有关规定维持在一定数额，不足部分由业主续缴，专项用于物业保修期满后共用部分的大，中维修、更新、改造。具体项目如下：</w:t>
      </w:r>
    </w:p>
    <w:p w14:paraId="3A14365B">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1、小区房屋共用部位大、中修、更新或改造；</w:t>
      </w:r>
    </w:p>
    <w:p w14:paraId="414237C0">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2、小区共用设施设备(如防盗监控、消防设施等)大、中修及更新、改造；</w:t>
      </w:r>
    </w:p>
    <w:p w14:paraId="4D8F7EC7">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3、小区环境配套设施(如健身娱乐设施等)的更新、改造；</w:t>
      </w:r>
    </w:p>
    <w:p w14:paraId="01B10D8F">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4、小区公共区域绿化(如草坪、乔灌木等)更新、改造；</w:t>
      </w:r>
    </w:p>
    <w:p w14:paraId="3636E3B4">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5、小区公共建筑(如小区大门，单元大堂、楼层及其装饰等)、道路的更新、改造；</w:t>
      </w:r>
    </w:p>
    <w:p w14:paraId="25AFB5ED">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6、用于小区非盈利性设施的大、中修及更新、改造；</w:t>
      </w:r>
    </w:p>
    <w:p w14:paraId="515393FB">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7、停车（场）库共用设备设施（如监控、车管系统、风机、水泵、消防设施等）大、中修及更新、改造；</w:t>
      </w:r>
    </w:p>
    <w:p w14:paraId="3C506794">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8、其它不在上列内但需由物业维修资金支付的费用，如国家法律法规规定的须由物业维修资金支付的费用。</w:t>
      </w:r>
    </w:p>
    <w:p w14:paraId="1F1F02E4">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9、保修期内属保修范围的由甲方承担。</w:t>
      </w:r>
    </w:p>
    <w:p w14:paraId="3184B138">
      <w:pPr>
        <w:snapToGrid w:val="0"/>
        <w:spacing w:line="500" w:lineRule="exact"/>
        <w:ind w:firstLine="562" w:firstLineChars="200"/>
        <w:jc w:val="center"/>
        <w:rPr>
          <w:rFonts w:ascii="仿宋" w:hAnsi="仿宋" w:eastAsia="仿宋"/>
          <w:b/>
          <w:bCs/>
          <w:color w:val="000000"/>
          <w:sz w:val="28"/>
          <w:szCs w:val="28"/>
        </w:rPr>
      </w:pPr>
      <w:r>
        <w:rPr>
          <w:rFonts w:hint="eastAsia" w:ascii="仿宋" w:hAnsi="仿宋" w:eastAsia="仿宋"/>
          <w:b/>
          <w:bCs/>
          <w:color w:val="000000"/>
          <w:sz w:val="28"/>
          <w:szCs w:val="28"/>
        </w:rPr>
        <w:t>第五章 委托服务期限</w:t>
      </w:r>
    </w:p>
    <w:p w14:paraId="6802857B">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 xml:space="preserve">第二十五条 “ </w:t>
      </w:r>
      <w:r>
        <w:rPr>
          <w:rFonts w:hint="eastAsia" w:ascii="仿宋" w:hAnsi="仿宋" w:eastAsia="仿宋"/>
          <w:color w:val="000000"/>
          <w:sz w:val="28"/>
          <w:szCs w:val="28"/>
          <w:lang w:eastAsia="zh-CN"/>
        </w:rPr>
        <w:t>渝能新城</w:t>
      </w:r>
      <w:r>
        <w:rPr>
          <w:rFonts w:hint="eastAsia" w:ascii="仿宋" w:hAnsi="仿宋" w:eastAsia="仿宋"/>
          <w:color w:val="000000"/>
          <w:sz w:val="28"/>
          <w:szCs w:val="28"/>
        </w:rPr>
        <w:t xml:space="preserve"> ”由乙方根据本协议内容进行服务管理，前期物业服务合同为期三年：</w:t>
      </w:r>
      <w:r>
        <w:rPr>
          <w:rFonts w:hint="eastAsia" w:ascii="仿宋" w:hAnsi="仿宋" w:eastAsia="仿宋"/>
          <w:color w:val="000000"/>
          <w:sz w:val="28"/>
          <w:szCs w:val="28"/>
          <w:u w:val="single"/>
        </w:rPr>
        <w:t xml:space="preserve">    年  月  日至    年  月  日止</w:t>
      </w:r>
      <w:r>
        <w:rPr>
          <w:rFonts w:hint="eastAsia" w:ascii="仿宋" w:hAnsi="仿宋" w:eastAsia="仿宋"/>
          <w:color w:val="000000"/>
          <w:sz w:val="28"/>
          <w:szCs w:val="28"/>
        </w:rPr>
        <w:t>。本小区业主大会与选聘或续聘的物业服务企业签订新的物业服务合同生效时，本合同自动终止。</w:t>
      </w:r>
    </w:p>
    <w:p w14:paraId="73C22CB9">
      <w:pPr>
        <w:snapToGrid w:val="0"/>
        <w:spacing w:line="500" w:lineRule="exact"/>
        <w:ind w:firstLine="562" w:firstLineChars="200"/>
        <w:jc w:val="center"/>
        <w:rPr>
          <w:rFonts w:ascii="仿宋" w:hAnsi="仿宋" w:eastAsia="仿宋"/>
          <w:b/>
          <w:bCs/>
          <w:color w:val="000000"/>
          <w:sz w:val="28"/>
          <w:szCs w:val="28"/>
        </w:rPr>
      </w:pPr>
      <w:r>
        <w:rPr>
          <w:rFonts w:hint="eastAsia" w:ascii="仿宋" w:hAnsi="仿宋" w:eastAsia="仿宋"/>
          <w:b/>
          <w:bCs/>
          <w:color w:val="000000"/>
          <w:sz w:val="28"/>
          <w:szCs w:val="28"/>
        </w:rPr>
        <w:t>第六章 违约责任</w:t>
      </w:r>
    </w:p>
    <w:p w14:paraId="2A0904BC">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第二十六条 如甲方违反合同关于甲方义务的约定，使乙方未完成规定管理目标，乙方有权要求甲方在一定期限内解决，逾期未解决的，乙方有权解除合同；造成乙方经济损失的，甲方应给予乙方经济赔偿。</w:t>
      </w:r>
    </w:p>
    <w:p w14:paraId="47EFC56D">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第二十七条 如乙方违反本合同约定，未能达到约定的委托管理目标，甲方有权要求乙方限期整改，逾期未整改的，甲方有权解除合同；造成甲方经济损失的，乙方应给予甲方经济赔偿。</w:t>
      </w:r>
    </w:p>
    <w:p w14:paraId="1D1C3F4F">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第二十八条 因以上原因需解除本合同的，提出解除合同的一方应及时通知对方，合同自书面通知到达对方时即行解除，并在 30 日内办理交接。如有异议，可请求人民法院确认解除合同的效力。</w:t>
      </w:r>
    </w:p>
    <w:p w14:paraId="49C50F11">
      <w:pPr>
        <w:snapToGrid w:val="0"/>
        <w:spacing w:line="500" w:lineRule="exact"/>
        <w:ind w:firstLine="562" w:firstLineChars="200"/>
        <w:jc w:val="center"/>
        <w:rPr>
          <w:rFonts w:ascii="仿宋" w:hAnsi="仿宋" w:eastAsia="仿宋"/>
          <w:color w:val="000000"/>
          <w:sz w:val="28"/>
          <w:szCs w:val="28"/>
        </w:rPr>
      </w:pPr>
      <w:r>
        <w:rPr>
          <w:rFonts w:hint="eastAsia" w:ascii="仿宋" w:hAnsi="仿宋" w:eastAsia="仿宋"/>
          <w:b/>
          <w:bCs/>
          <w:color w:val="000000"/>
          <w:sz w:val="28"/>
          <w:szCs w:val="28"/>
        </w:rPr>
        <w:t>第七章 附则</w:t>
      </w:r>
    </w:p>
    <w:p w14:paraId="6DDE4D33">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第二十九条 双方可对本合同的条款进行补充，以书面形式签订补充协议，补充协议与合同具有同等效力。</w:t>
      </w:r>
    </w:p>
    <w:p w14:paraId="63158F69">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第三十条 因房屋建筑质量、设施设备质量或安装技术等原因，达不到使用功能，造成重大事故的，由甲方承担责任并作善后处理。产生质量事故的直接原因，以法定机构的鉴定为准。</w:t>
      </w:r>
    </w:p>
    <w:p w14:paraId="1DA11B77">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第三十一条 若本合同任何条文因国家或地方法规的变更而无效、非法或不能执行时，将按照新的法律法规的要求执行，但本合同其余条文的有效性、合法性及可执行性并不因此而改变。</w:t>
      </w:r>
    </w:p>
    <w:p w14:paraId="1EE906C8">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第三十二条 甲、乙双方一致同意在履行本合同时，若发生任何争议应首先进行协商解决，协商不成的，向本项目所在地人民法院提起诉讼。</w:t>
      </w:r>
    </w:p>
    <w:p w14:paraId="4064603D">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第三十三条 本合同一式肆份，甲、乙双方各执壹份，政府房管主管部门备案贰份。本合同自甲、乙双方签字盖章之日起生效。</w:t>
      </w:r>
    </w:p>
    <w:p w14:paraId="02A4763F">
      <w:pPr>
        <w:spacing w:line="400" w:lineRule="exact"/>
        <w:ind w:right="12" w:firstLine="480"/>
        <w:rPr>
          <w:rFonts w:ascii="仿宋" w:hAnsi="仿宋" w:eastAsia="仿宋"/>
          <w:color w:val="000000"/>
          <w:sz w:val="28"/>
          <w:szCs w:val="28"/>
        </w:rPr>
      </w:pPr>
    </w:p>
    <w:p w14:paraId="27FAD22A">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甲方签章：                         乙方签章：</w:t>
      </w:r>
    </w:p>
    <w:p w14:paraId="28ADFC04">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法定代表人：                       法定代表人：  </w:t>
      </w:r>
    </w:p>
    <w:p w14:paraId="7CC29886">
      <w:pPr>
        <w:spacing w:line="400" w:lineRule="exact"/>
        <w:ind w:right="12" w:firstLine="1960" w:firstLineChars="700"/>
        <w:rPr>
          <w:rFonts w:ascii="仿宋" w:hAnsi="仿宋" w:eastAsia="仿宋"/>
          <w:color w:val="000000"/>
          <w:sz w:val="28"/>
          <w:szCs w:val="28"/>
        </w:rPr>
      </w:pPr>
      <w:r>
        <w:rPr>
          <w:rFonts w:hint="eastAsia" w:ascii="仿宋" w:hAnsi="仿宋" w:eastAsia="仿宋"/>
          <w:color w:val="000000"/>
          <w:sz w:val="28"/>
          <w:szCs w:val="28"/>
        </w:rPr>
        <w:t>年    月    日              年    月    日</w:t>
      </w:r>
    </w:p>
    <w:p w14:paraId="7607924C">
      <w:pPr>
        <w:snapToGrid w:val="0"/>
        <w:spacing w:line="500" w:lineRule="exact"/>
        <w:ind w:firstLine="560" w:firstLineChars="200"/>
        <w:rPr>
          <w:rFonts w:ascii="仿宋" w:hAnsi="仿宋" w:eastAsia="仿宋"/>
          <w:color w:val="000000"/>
          <w:sz w:val="28"/>
          <w:szCs w:val="28"/>
        </w:rPr>
      </w:pPr>
    </w:p>
    <w:p w14:paraId="5A2ECEEB">
      <w:pPr>
        <w:snapToGrid w:val="0"/>
        <w:spacing w:line="500" w:lineRule="exact"/>
        <w:ind w:firstLine="560" w:firstLineChars="200"/>
        <w:rPr>
          <w:rFonts w:ascii="仿宋" w:hAnsi="仿宋" w:eastAsia="仿宋"/>
          <w:color w:val="000000"/>
          <w:sz w:val="28"/>
          <w:szCs w:val="28"/>
        </w:rPr>
      </w:pPr>
    </w:p>
    <w:p w14:paraId="36422842">
      <w:pPr>
        <w:spacing w:line="500" w:lineRule="exact"/>
        <w:jc w:val="center"/>
        <w:outlineLvl w:val="0"/>
        <w:rPr>
          <w:rFonts w:ascii="仿宋" w:hAnsi="仿宋" w:eastAsia="仿宋"/>
          <w:b/>
          <w:color w:val="000000"/>
          <w:sz w:val="28"/>
          <w:szCs w:val="28"/>
        </w:rPr>
      </w:pPr>
      <w:bookmarkStart w:id="40" w:name="_Toc271791988"/>
      <w:bookmarkEnd w:id="40"/>
      <w:r>
        <w:rPr>
          <w:rFonts w:hint="eastAsia" w:ascii="仿宋" w:hAnsi="仿宋" w:eastAsia="仿宋"/>
          <w:b/>
          <w:color w:val="000000"/>
          <w:sz w:val="28"/>
          <w:szCs w:val="28"/>
        </w:rPr>
        <w:t>第七篇   投标文件部分格式</w:t>
      </w:r>
    </w:p>
    <w:p w14:paraId="58D6E4B4">
      <w:pPr>
        <w:spacing w:line="400" w:lineRule="exact"/>
        <w:ind w:right="12" w:firstLine="480"/>
        <w:rPr>
          <w:rFonts w:ascii="仿宋" w:hAnsi="仿宋" w:eastAsia="仿宋"/>
          <w:color w:val="000000"/>
          <w:sz w:val="28"/>
          <w:szCs w:val="28"/>
        </w:rPr>
      </w:pPr>
      <w:bookmarkStart w:id="41" w:name="_Toc271791990"/>
      <w:bookmarkEnd w:id="41"/>
      <w:bookmarkStart w:id="42" w:name="_Toc311729684"/>
      <w:bookmarkEnd w:id="42"/>
      <w:r>
        <w:rPr>
          <w:rFonts w:hint="eastAsia" w:ascii="仿宋" w:hAnsi="仿宋" w:eastAsia="仿宋"/>
          <w:color w:val="000000"/>
          <w:sz w:val="28"/>
          <w:szCs w:val="28"/>
        </w:rPr>
        <w:t>提供了格式的部分，请投标人按照格式要求进行投标文件的制作，未提供格式的请投标人自行编制格式和内容。</w:t>
      </w:r>
    </w:p>
    <w:p w14:paraId="1875272A">
      <w:pPr>
        <w:spacing w:line="400" w:lineRule="exact"/>
        <w:ind w:right="12" w:firstLine="480"/>
        <w:rPr>
          <w:rFonts w:ascii="仿宋" w:hAnsi="仿宋" w:eastAsia="仿宋"/>
          <w:color w:val="000000"/>
          <w:sz w:val="28"/>
          <w:szCs w:val="28"/>
        </w:rPr>
      </w:pPr>
    </w:p>
    <w:p w14:paraId="7F869BC1">
      <w:pPr>
        <w:spacing w:line="400" w:lineRule="exact"/>
        <w:ind w:right="12" w:firstLine="480"/>
        <w:rPr>
          <w:rFonts w:ascii="仿宋" w:hAnsi="仿宋" w:eastAsia="仿宋"/>
          <w:color w:val="000000"/>
          <w:sz w:val="28"/>
          <w:szCs w:val="28"/>
        </w:rPr>
      </w:pPr>
    </w:p>
    <w:p w14:paraId="4167A61D">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一、投标函</w:t>
      </w:r>
    </w:p>
    <w:p w14:paraId="72CD1CBD">
      <w:pPr>
        <w:snapToGrid w:val="0"/>
        <w:spacing w:line="500" w:lineRule="exact"/>
        <w:jc w:val="center"/>
        <w:rPr>
          <w:rFonts w:ascii="仿宋" w:hAnsi="仿宋" w:eastAsia="仿宋"/>
          <w:color w:val="000000"/>
          <w:sz w:val="28"/>
          <w:szCs w:val="28"/>
        </w:rPr>
      </w:pPr>
      <w:r>
        <w:rPr>
          <w:rFonts w:hint="eastAsia" w:ascii="仿宋" w:hAnsi="仿宋" w:eastAsia="仿宋"/>
          <w:color w:val="000000"/>
          <w:sz w:val="28"/>
          <w:szCs w:val="28"/>
        </w:rPr>
        <w:t>投标函（格式）</w:t>
      </w:r>
    </w:p>
    <w:p w14:paraId="00655283">
      <w:pPr>
        <w:snapToGrid w:val="0"/>
        <w:spacing w:line="500" w:lineRule="exact"/>
        <w:ind w:firstLine="560" w:firstLineChars="200"/>
        <w:rPr>
          <w:rFonts w:ascii="仿宋" w:hAnsi="仿宋" w:eastAsia="仿宋"/>
          <w:color w:val="000000"/>
          <w:sz w:val="28"/>
          <w:szCs w:val="28"/>
        </w:rPr>
      </w:pPr>
    </w:p>
    <w:p w14:paraId="1B77432F">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 xml:space="preserve">招标项目名称： </w:t>
      </w:r>
    </w:p>
    <w:p w14:paraId="21EB9F7B">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致：（招标代理公司名称）：</w:t>
      </w:r>
    </w:p>
    <w:p w14:paraId="0FFEBA9A">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（投标人名称）系中华人民共和国合法企业。我方就参加本次投标有关事项郑重声明如下：</w:t>
      </w:r>
    </w:p>
    <w:p w14:paraId="53396747">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一、我方完全理解并接受该项目招标文件所有要求。</w:t>
      </w:r>
    </w:p>
    <w:p w14:paraId="6CC2F85A">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二、我方提交的所有投标文件、资料都是准确和真实的，如有虚假或隐瞒，我方愿意承担一切法律责任。</w:t>
      </w:r>
    </w:p>
    <w:p w14:paraId="038855DC">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三、我方承诺按照招标文件要求，提供服务的供应。</w:t>
      </w:r>
    </w:p>
    <w:p w14:paraId="056EB897">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四、我方按招标文件要求提交的投标文件为：    份。</w:t>
      </w:r>
    </w:p>
    <w:p w14:paraId="7DF84DD5">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五、我方投标报价为闭口价。即在投标有效期和合同有效期内，该报价固定不变。</w:t>
      </w:r>
    </w:p>
    <w:p w14:paraId="54AC8F11">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六、如果我方中标，我方将履行招标文件中规定的各项要求以及我方投标文件的各项承诺，按《合同法》及合同约定条款承担我方责任。</w:t>
      </w:r>
    </w:p>
    <w:p w14:paraId="1C8DD437">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七、我方理解，最低报价不是中标的唯一条件。</w:t>
      </w:r>
    </w:p>
    <w:p w14:paraId="02864A78">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八、本投标书包括下述文件在内的投标文件：</w:t>
      </w:r>
    </w:p>
    <w:p w14:paraId="27AAD8A5">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 投标函及报价函和法人代表授权书；</w:t>
      </w:r>
    </w:p>
    <w:p w14:paraId="16CE435F">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 公司营业执照复印件；</w:t>
      </w:r>
    </w:p>
    <w:p w14:paraId="2FDF2F62">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3、 其他商务文件；</w:t>
      </w:r>
    </w:p>
    <w:p w14:paraId="584651C4">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4、 投标文件技术方案；</w:t>
      </w:r>
    </w:p>
    <w:p w14:paraId="3E396112">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5、 物业费用收支测算表；</w:t>
      </w:r>
    </w:p>
    <w:p w14:paraId="180E468B">
      <w:pPr>
        <w:spacing w:line="400" w:lineRule="exact"/>
        <w:ind w:right="12" w:firstLine="5320" w:firstLineChars="1900"/>
        <w:rPr>
          <w:rFonts w:ascii="仿宋" w:hAnsi="仿宋" w:eastAsia="仿宋"/>
          <w:color w:val="000000"/>
          <w:sz w:val="28"/>
          <w:szCs w:val="28"/>
        </w:rPr>
      </w:pPr>
      <w:r>
        <w:rPr>
          <w:rFonts w:hint="eastAsia" w:ascii="仿宋" w:hAnsi="仿宋" w:eastAsia="仿宋"/>
          <w:color w:val="000000"/>
          <w:sz w:val="28"/>
          <w:szCs w:val="28"/>
        </w:rPr>
        <w:t>投标人（公章）</w:t>
      </w:r>
    </w:p>
    <w:p w14:paraId="2494F194">
      <w:pPr>
        <w:spacing w:line="400" w:lineRule="exact"/>
        <w:ind w:right="12" w:firstLine="1680" w:firstLineChars="600"/>
        <w:rPr>
          <w:rFonts w:ascii="仿宋" w:hAnsi="仿宋" w:eastAsia="仿宋"/>
          <w:color w:val="000000"/>
          <w:sz w:val="28"/>
          <w:szCs w:val="28"/>
        </w:rPr>
      </w:pPr>
      <w:r>
        <w:rPr>
          <w:rFonts w:hint="eastAsia" w:ascii="仿宋" w:hAnsi="仿宋" w:eastAsia="仿宋"/>
          <w:color w:val="000000"/>
          <w:sz w:val="28"/>
          <w:szCs w:val="28"/>
        </w:rPr>
        <w:t>法定代表人或法定代表人授权委托人（签字）：</w:t>
      </w:r>
    </w:p>
    <w:p w14:paraId="717A0A58">
      <w:pPr>
        <w:spacing w:line="400" w:lineRule="exact"/>
        <w:ind w:right="12" w:firstLine="480"/>
        <w:jc w:val="right"/>
        <w:rPr>
          <w:rFonts w:ascii="仿宋" w:hAnsi="仿宋" w:eastAsia="仿宋"/>
          <w:color w:val="000000"/>
          <w:sz w:val="28"/>
          <w:szCs w:val="28"/>
        </w:rPr>
      </w:pPr>
      <w:r>
        <w:rPr>
          <w:rFonts w:hint="eastAsia" w:ascii="仿宋" w:hAnsi="仿宋" w:eastAsia="仿宋"/>
          <w:color w:val="000000"/>
          <w:sz w:val="28"/>
          <w:szCs w:val="28"/>
        </w:rPr>
        <w:t>年    月   日</w:t>
      </w:r>
    </w:p>
    <w:p w14:paraId="390BEA38">
      <w:pPr>
        <w:widowControl/>
        <w:jc w:val="right"/>
        <w:rPr>
          <w:rFonts w:ascii="仿宋" w:hAnsi="仿宋" w:eastAsia="仿宋" w:cs="宋体"/>
          <w:color w:val="000000"/>
          <w:sz w:val="28"/>
          <w:szCs w:val="28"/>
        </w:rPr>
        <w:sectPr>
          <w:pgSz w:w="11906" w:h="16838"/>
          <w:pgMar w:top="1134" w:right="1106" w:bottom="1134" w:left="1259" w:header="720" w:footer="720" w:gutter="0"/>
          <w:cols w:space="720" w:num="1"/>
          <w:docGrid w:type="lines" w:linePitch="312" w:charSpace="0"/>
        </w:sectPr>
      </w:pPr>
    </w:p>
    <w:p w14:paraId="488F7442">
      <w:pPr>
        <w:snapToGrid w:val="0"/>
        <w:spacing w:line="500" w:lineRule="exact"/>
        <w:jc w:val="left"/>
        <w:rPr>
          <w:rFonts w:ascii="仿宋" w:hAnsi="仿宋" w:eastAsia="仿宋"/>
          <w:color w:val="000000"/>
          <w:sz w:val="28"/>
          <w:szCs w:val="28"/>
        </w:rPr>
      </w:pPr>
      <w:r>
        <w:rPr>
          <w:rFonts w:hint="eastAsia" w:ascii="仿宋" w:hAnsi="仿宋" w:eastAsia="仿宋"/>
          <w:color w:val="000000"/>
          <w:sz w:val="28"/>
          <w:szCs w:val="28"/>
        </w:rPr>
        <w:t>二、法定代表人身份证明书</w:t>
      </w:r>
    </w:p>
    <w:p w14:paraId="30C16057">
      <w:pPr>
        <w:snapToGrid w:val="0"/>
        <w:spacing w:line="500" w:lineRule="exact"/>
        <w:jc w:val="center"/>
        <w:rPr>
          <w:rFonts w:ascii="仿宋" w:hAnsi="仿宋" w:eastAsia="仿宋"/>
          <w:color w:val="000000"/>
          <w:sz w:val="28"/>
          <w:szCs w:val="28"/>
        </w:rPr>
      </w:pPr>
      <w:r>
        <w:rPr>
          <w:rFonts w:hint="eastAsia" w:ascii="仿宋" w:hAnsi="仿宋" w:eastAsia="仿宋"/>
          <w:color w:val="000000"/>
          <w:sz w:val="28"/>
          <w:szCs w:val="28"/>
        </w:rPr>
        <w:t>法定代表人身份证明书（格式）</w:t>
      </w:r>
    </w:p>
    <w:p w14:paraId="00DABF86">
      <w:pPr>
        <w:snapToGrid w:val="0"/>
        <w:spacing w:line="500" w:lineRule="exact"/>
        <w:ind w:firstLine="570"/>
        <w:rPr>
          <w:rFonts w:ascii="仿宋" w:hAnsi="仿宋" w:eastAsia="仿宋"/>
          <w:color w:val="000000"/>
          <w:sz w:val="28"/>
          <w:szCs w:val="28"/>
        </w:rPr>
      </w:pPr>
    </w:p>
    <w:p w14:paraId="26255585">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 xml:space="preserve">招标项目名称： </w:t>
      </w:r>
    </w:p>
    <w:p w14:paraId="63FDCA6D">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致：（招标代理公司名称）：</w:t>
      </w:r>
    </w:p>
    <w:p w14:paraId="61416D09">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 xml:space="preserve"> （法定代表人姓名）在（投标人名称）任（职务名称）职务，是（投标人名称）的法定代表人。</w:t>
      </w:r>
    </w:p>
    <w:p w14:paraId="6C75FBFB">
      <w:pPr>
        <w:spacing w:line="400" w:lineRule="exact"/>
        <w:ind w:right="12" w:firstLine="480"/>
        <w:rPr>
          <w:rFonts w:ascii="仿宋" w:hAnsi="仿宋" w:eastAsia="仿宋"/>
          <w:color w:val="000000"/>
          <w:sz w:val="28"/>
          <w:szCs w:val="28"/>
        </w:rPr>
      </w:pPr>
    </w:p>
    <w:p w14:paraId="2D4B19F9">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特此证明。</w:t>
      </w:r>
    </w:p>
    <w:p w14:paraId="1BF379D0">
      <w:pPr>
        <w:spacing w:line="400" w:lineRule="exact"/>
        <w:ind w:right="12" w:firstLine="480"/>
        <w:rPr>
          <w:rFonts w:ascii="仿宋" w:hAnsi="仿宋" w:eastAsia="仿宋"/>
          <w:color w:val="000000"/>
          <w:sz w:val="28"/>
          <w:szCs w:val="28"/>
        </w:rPr>
      </w:pPr>
    </w:p>
    <w:p w14:paraId="6F1CC981">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 xml:space="preserve">                                  投标人（公章）</w:t>
      </w:r>
    </w:p>
    <w:p w14:paraId="0A395DE3">
      <w:pPr>
        <w:spacing w:line="400" w:lineRule="exact"/>
        <w:ind w:right="12" w:firstLine="480"/>
        <w:rPr>
          <w:rFonts w:ascii="仿宋" w:hAnsi="仿宋" w:eastAsia="仿宋"/>
          <w:color w:val="000000"/>
          <w:sz w:val="28"/>
          <w:szCs w:val="28"/>
        </w:rPr>
      </w:pPr>
    </w:p>
    <w:p w14:paraId="2234C9F0">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 xml:space="preserve">                                   年   月   日</w:t>
      </w:r>
    </w:p>
    <w:p w14:paraId="671A9342">
      <w:pPr>
        <w:spacing w:line="400" w:lineRule="exact"/>
        <w:ind w:right="12" w:firstLine="480"/>
        <w:rPr>
          <w:rFonts w:ascii="仿宋" w:hAnsi="仿宋" w:eastAsia="仿宋"/>
          <w:color w:val="000000"/>
          <w:sz w:val="28"/>
          <w:szCs w:val="28"/>
        </w:rPr>
      </w:pPr>
    </w:p>
    <w:p w14:paraId="45631B9B">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（附：法定代表人身份证复印件）</w:t>
      </w:r>
    </w:p>
    <w:p w14:paraId="19CF8BC1">
      <w:pPr>
        <w:snapToGrid w:val="0"/>
        <w:spacing w:line="500" w:lineRule="exact"/>
        <w:ind w:firstLine="140" w:firstLineChars="50"/>
        <w:rPr>
          <w:rFonts w:ascii="仿宋" w:hAnsi="仿宋" w:eastAsia="仿宋"/>
          <w:color w:val="000000"/>
          <w:sz w:val="28"/>
          <w:szCs w:val="28"/>
        </w:rPr>
      </w:pPr>
    </w:p>
    <w:p w14:paraId="438FF5F0">
      <w:pPr>
        <w:snapToGrid w:val="0"/>
        <w:spacing w:line="500" w:lineRule="exact"/>
        <w:ind w:firstLine="140" w:firstLineChars="50"/>
        <w:rPr>
          <w:rFonts w:ascii="仿宋" w:hAnsi="仿宋" w:eastAsia="仿宋"/>
          <w:color w:val="000000"/>
          <w:sz w:val="28"/>
          <w:szCs w:val="28"/>
        </w:rPr>
      </w:pPr>
    </w:p>
    <w:p w14:paraId="2803CACF">
      <w:pPr>
        <w:snapToGrid w:val="0"/>
        <w:spacing w:line="500" w:lineRule="exact"/>
        <w:ind w:firstLine="140" w:firstLineChars="50"/>
        <w:rPr>
          <w:rFonts w:ascii="仿宋" w:hAnsi="仿宋" w:eastAsia="仿宋"/>
          <w:color w:val="000000"/>
          <w:sz w:val="28"/>
          <w:szCs w:val="28"/>
        </w:rPr>
      </w:pPr>
    </w:p>
    <w:p w14:paraId="6F4DBF1E">
      <w:pPr>
        <w:snapToGrid w:val="0"/>
        <w:spacing w:line="500" w:lineRule="exact"/>
        <w:ind w:firstLine="140" w:firstLineChars="50"/>
        <w:rPr>
          <w:rFonts w:ascii="仿宋" w:hAnsi="仿宋" w:eastAsia="仿宋"/>
          <w:color w:val="000000"/>
          <w:sz w:val="28"/>
          <w:szCs w:val="28"/>
        </w:rPr>
      </w:pPr>
    </w:p>
    <w:p w14:paraId="5A52C437">
      <w:pPr>
        <w:snapToGrid w:val="0"/>
        <w:spacing w:line="500" w:lineRule="exact"/>
        <w:ind w:firstLine="140" w:firstLineChars="50"/>
        <w:rPr>
          <w:rFonts w:ascii="仿宋" w:hAnsi="仿宋" w:eastAsia="仿宋"/>
          <w:color w:val="000000"/>
          <w:sz w:val="28"/>
          <w:szCs w:val="28"/>
        </w:rPr>
      </w:pPr>
    </w:p>
    <w:p w14:paraId="05C7DAA7">
      <w:pPr>
        <w:snapToGrid w:val="0"/>
        <w:spacing w:line="500" w:lineRule="exact"/>
        <w:ind w:firstLine="140" w:firstLineChars="50"/>
        <w:rPr>
          <w:rFonts w:ascii="仿宋" w:hAnsi="仿宋" w:eastAsia="仿宋"/>
          <w:color w:val="000000"/>
          <w:sz w:val="28"/>
          <w:szCs w:val="28"/>
        </w:rPr>
      </w:pPr>
    </w:p>
    <w:p w14:paraId="469A2AFF">
      <w:pPr>
        <w:snapToGrid w:val="0"/>
        <w:spacing w:line="500" w:lineRule="exact"/>
        <w:ind w:firstLine="140" w:firstLineChars="50"/>
        <w:rPr>
          <w:rFonts w:ascii="仿宋" w:hAnsi="仿宋" w:eastAsia="仿宋"/>
          <w:color w:val="000000"/>
          <w:sz w:val="28"/>
          <w:szCs w:val="28"/>
        </w:rPr>
      </w:pPr>
    </w:p>
    <w:p w14:paraId="16628B17">
      <w:pPr>
        <w:snapToGrid w:val="0"/>
        <w:spacing w:line="500" w:lineRule="exact"/>
        <w:ind w:firstLine="140" w:firstLineChars="50"/>
        <w:rPr>
          <w:rFonts w:ascii="仿宋" w:hAnsi="仿宋" w:eastAsia="仿宋"/>
          <w:color w:val="000000"/>
          <w:sz w:val="28"/>
          <w:szCs w:val="28"/>
        </w:rPr>
      </w:pPr>
    </w:p>
    <w:p w14:paraId="66AB6D59">
      <w:pPr>
        <w:snapToGrid w:val="0"/>
        <w:spacing w:line="500" w:lineRule="exact"/>
        <w:ind w:firstLine="140" w:firstLineChars="50"/>
        <w:rPr>
          <w:rFonts w:ascii="仿宋" w:hAnsi="仿宋" w:eastAsia="仿宋"/>
          <w:color w:val="000000"/>
          <w:sz w:val="28"/>
          <w:szCs w:val="28"/>
        </w:rPr>
      </w:pPr>
    </w:p>
    <w:p w14:paraId="39E4DE1C">
      <w:pPr>
        <w:snapToGrid w:val="0"/>
        <w:spacing w:line="500" w:lineRule="exact"/>
        <w:ind w:firstLine="140" w:firstLineChars="50"/>
        <w:rPr>
          <w:rFonts w:ascii="仿宋" w:hAnsi="仿宋" w:eastAsia="仿宋"/>
          <w:color w:val="000000"/>
          <w:sz w:val="28"/>
          <w:szCs w:val="28"/>
        </w:rPr>
      </w:pPr>
    </w:p>
    <w:p w14:paraId="56D030E7">
      <w:pPr>
        <w:snapToGrid w:val="0"/>
        <w:spacing w:line="500" w:lineRule="exact"/>
        <w:ind w:firstLine="140" w:firstLineChars="50"/>
        <w:rPr>
          <w:rFonts w:ascii="仿宋" w:hAnsi="仿宋" w:eastAsia="仿宋"/>
          <w:color w:val="000000"/>
          <w:sz w:val="28"/>
          <w:szCs w:val="28"/>
        </w:rPr>
      </w:pPr>
    </w:p>
    <w:p w14:paraId="125825EB">
      <w:pPr>
        <w:snapToGrid w:val="0"/>
        <w:spacing w:line="500" w:lineRule="exact"/>
        <w:ind w:firstLine="140" w:firstLineChars="50"/>
        <w:rPr>
          <w:rFonts w:ascii="仿宋" w:hAnsi="仿宋" w:eastAsia="仿宋"/>
          <w:color w:val="000000"/>
          <w:sz w:val="28"/>
          <w:szCs w:val="28"/>
        </w:rPr>
      </w:pPr>
    </w:p>
    <w:p w14:paraId="23B999EC">
      <w:pPr>
        <w:snapToGrid w:val="0"/>
        <w:spacing w:line="500" w:lineRule="exact"/>
        <w:ind w:firstLine="140" w:firstLineChars="50"/>
        <w:rPr>
          <w:rFonts w:ascii="仿宋" w:hAnsi="仿宋" w:eastAsia="仿宋"/>
          <w:color w:val="000000"/>
          <w:sz w:val="28"/>
          <w:szCs w:val="28"/>
        </w:rPr>
      </w:pPr>
    </w:p>
    <w:p w14:paraId="2587109E">
      <w:pPr>
        <w:snapToGrid w:val="0"/>
        <w:spacing w:line="500" w:lineRule="exact"/>
        <w:ind w:firstLine="140" w:firstLineChars="50"/>
        <w:rPr>
          <w:rFonts w:ascii="仿宋" w:hAnsi="仿宋" w:eastAsia="仿宋"/>
          <w:color w:val="000000"/>
          <w:sz w:val="28"/>
          <w:szCs w:val="28"/>
        </w:rPr>
      </w:pPr>
    </w:p>
    <w:p w14:paraId="61A3BBA8">
      <w:pPr>
        <w:snapToGrid w:val="0"/>
        <w:spacing w:line="500" w:lineRule="exact"/>
        <w:ind w:firstLine="140" w:firstLineChars="50"/>
        <w:rPr>
          <w:rFonts w:ascii="仿宋" w:hAnsi="仿宋" w:eastAsia="仿宋"/>
          <w:color w:val="000000"/>
          <w:sz w:val="28"/>
          <w:szCs w:val="28"/>
        </w:rPr>
      </w:pPr>
    </w:p>
    <w:p w14:paraId="6C30C906">
      <w:pPr>
        <w:snapToGrid w:val="0"/>
        <w:spacing w:line="500" w:lineRule="exact"/>
        <w:ind w:firstLine="140" w:firstLineChars="50"/>
        <w:rPr>
          <w:rFonts w:ascii="仿宋" w:hAnsi="仿宋" w:eastAsia="仿宋"/>
          <w:color w:val="000000"/>
          <w:sz w:val="28"/>
          <w:szCs w:val="28"/>
        </w:rPr>
      </w:pPr>
      <w:r>
        <w:rPr>
          <w:rFonts w:hint="eastAsia" w:ascii="仿宋" w:hAnsi="仿宋" w:eastAsia="仿宋"/>
          <w:color w:val="000000"/>
          <w:sz w:val="28"/>
          <w:szCs w:val="28"/>
        </w:rPr>
        <w:t>三、法定代表人授权委托书</w:t>
      </w:r>
    </w:p>
    <w:p w14:paraId="7FE95C19">
      <w:pPr>
        <w:snapToGrid w:val="0"/>
        <w:spacing w:line="500" w:lineRule="exact"/>
        <w:rPr>
          <w:rFonts w:ascii="仿宋" w:hAnsi="仿宋" w:eastAsia="仿宋"/>
          <w:color w:val="000000"/>
          <w:sz w:val="28"/>
          <w:szCs w:val="28"/>
        </w:rPr>
      </w:pPr>
      <w:r>
        <w:rPr>
          <w:rFonts w:hint="eastAsia" w:ascii="仿宋" w:hAnsi="仿宋" w:eastAsia="仿宋"/>
          <w:color w:val="000000"/>
          <w:sz w:val="28"/>
          <w:szCs w:val="28"/>
        </w:rPr>
        <w:t xml:space="preserve">           法定代表人授权委托书（格式）</w:t>
      </w:r>
    </w:p>
    <w:p w14:paraId="6D716A0D">
      <w:pPr>
        <w:snapToGrid w:val="0"/>
        <w:spacing w:line="500" w:lineRule="exact"/>
        <w:rPr>
          <w:rFonts w:ascii="仿宋" w:hAnsi="仿宋" w:eastAsia="仿宋"/>
          <w:color w:val="000000"/>
          <w:sz w:val="28"/>
          <w:szCs w:val="28"/>
        </w:rPr>
      </w:pPr>
    </w:p>
    <w:p w14:paraId="648527BD">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 xml:space="preserve">招标项目名称： </w:t>
      </w:r>
    </w:p>
    <w:p w14:paraId="76101B29">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致：（招标代理公司名称）：</w:t>
      </w:r>
    </w:p>
    <w:p w14:paraId="0E2D5BB5">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 xml:space="preserve"> （法定代表人姓名）是（投标人名称）                        的法定代表人，特授权（被授权人姓名及身份证代码）代表我单位全权办理上述项目的投标、谈判、签约等具体工作，并签署全部有关文件、协议及合同。</w:t>
      </w:r>
    </w:p>
    <w:p w14:paraId="0E3F7F65">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我单位对被授权人的签名负全部责任。</w:t>
      </w:r>
    </w:p>
    <w:p w14:paraId="4D83FE3C">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在撤消授权的书面通知以前，本授权书一直有效。被授权人在授权书有效期内签署的所有文件不因授权的撤消而失效。</w:t>
      </w:r>
    </w:p>
    <w:p w14:paraId="6F08D427">
      <w:pPr>
        <w:spacing w:line="400" w:lineRule="exact"/>
        <w:ind w:right="12" w:firstLine="480"/>
        <w:rPr>
          <w:rFonts w:ascii="仿宋" w:hAnsi="仿宋" w:eastAsia="仿宋"/>
          <w:color w:val="000000"/>
          <w:sz w:val="28"/>
          <w:szCs w:val="28"/>
        </w:rPr>
      </w:pPr>
    </w:p>
    <w:p w14:paraId="0A65AB5F">
      <w:pPr>
        <w:spacing w:line="400" w:lineRule="exact"/>
        <w:ind w:right="12" w:firstLine="480"/>
        <w:rPr>
          <w:rFonts w:ascii="仿宋" w:hAnsi="仿宋" w:eastAsia="仿宋"/>
          <w:color w:val="000000"/>
          <w:sz w:val="28"/>
          <w:szCs w:val="28"/>
        </w:rPr>
      </w:pPr>
    </w:p>
    <w:p w14:paraId="036AF134">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被授权人签名：               投标人法定代表人签名：</w:t>
      </w:r>
    </w:p>
    <w:p w14:paraId="0C71F77D">
      <w:pPr>
        <w:spacing w:line="400" w:lineRule="exact"/>
        <w:ind w:right="12" w:firstLine="480"/>
        <w:rPr>
          <w:rFonts w:ascii="仿宋" w:hAnsi="仿宋" w:eastAsia="仿宋"/>
          <w:color w:val="000000"/>
          <w:sz w:val="28"/>
          <w:szCs w:val="28"/>
        </w:rPr>
      </w:pPr>
    </w:p>
    <w:p w14:paraId="7CC57FB0">
      <w:pPr>
        <w:spacing w:line="400" w:lineRule="exact"/>
        <w:ind w:right="12" w:firstLine="480"/>
        <w:rPr>
          <w:rFonts w:ascii="仿宋" w:hAnsi="仿宋" w:eastAsia="仿宋"/>
          <w:color w:val="000000"/>
          <w:sz w:val="28"/>
          <w:szCs w:val="28"/>
        </w:rPr>
      </w:pPr>
    </w:p>
    <w:p w14:paraId="299B3E41">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（附：被授权人身份证复印件）</w:t>
      </w:r>
    </w:p>
    <w:p w14:paraId="7146543B">
      <w:pPr>
        <w:spacing w:line="400" w:lineRule="exact"/>
        <w:ind w:right="12" w:firstLine="480"/>
        <w:rPr>
          <w:rFonts w:ascii="仿宋" w:hAnsi="仿宋" w:eastAsia="仿宋"/>
          <w:color w:val="000000"/>
          <w:sz w:val="28"/>
          <w:szCs w:val="28"/>
        </w:rPr>
      </w:pPr>
    </w:p>
    <w:p w14:paraId="578C0D16">
      <w:pPr>
        <w:spacing w:line="400" w:lineRule="exact"/>
        <w:ind w:right="12" w:firstLine="480"/>
        <w:jc w:val="right"/>
        <w:rPr>
          <w:rFonts w:ascii="仿宋" w:hAnsi="仿宋" w:eastAsia="仿宋"/>
          <w:color w:val="000000"/>
          <w:sz w:val="28"/>
          <w:szCs w:val="28"/>
        </w:rPr>
      </w:pPr>
      <w:r>
        <w:rPr>
          <w:rFonts w:hint="eastAsia" w:ascii="仿宋" w:hAnsi="仿宋" w:eastAsia="仿宋"/>
          <w:color w:val="000000"/>
          <w:sz w:val="28"/>
          <w:szCs w:val="28"/>
        </w:rPr>
        <w:t>投标人（公章）</w:t>
      </w:r>
    </w:p>
    <w:p w14:paraId="5257CED2">
      <w:pPr>
        <w:spacing w:line="400" w:lineRule="exact"/>
        <w:ind w:right="12" w:firstLine="480"/>
        <w:jc w:val="right"/>
        <w:rPr>
          <w:rFonts w:ascii="仿宋" w:hAnsi="仿宋" w:eastAsia="仿宋"/>
          <w:color w:val="000000"/>
          <w:sz w:val="28"/>
          <w:szCs w:val="28"/>
        </w:rPr>
      </w:pPr>
      <w:r>
        <w:rPr>
          <w:rFonts w:hint="eastAsia" w:ascii="仿宋" w:hAnsi="仿宋" w:eastAsia="仿宋"/>
          <w:color w:val="000000"/>
          <w:sz w:val="28"/>
          <w:szCs w:val="28"/>
        </w:rPr>
        <w:t>年   月   日</w:t>
      </w:r>
    </w:p>
    <w:p w14:paraId="7F888461">
      <w:pPr>
        <w:snapToGrid w:val="0"/>
        <w:spacing w:line="500" w:lineRule="exact"/>
        <w:rPr>
          <w:rFonts w:ascii="仿宋" w:hAnsi="仿宋" w:eastAsia="仿宋"/>
          <w:color w:val="000000"/>
          <w:sz w:val="28"/>
          <w:szCs w:val="28"/>
        </w:rPr>
      </w:pPr>
    </w:p>
    <w:p w14:paraId="0A396F6B">
      <w:pPr>
        <w:snapToGrid w:val="0"/>
        <w:spacing w:line="500" w:lineRule="exact"/>
        <w:rPr>
          <w:rFonts w:ascii="仿宋" w:hAnsi="仿宋" w:eastAsia="仿宋"/>
          <w:color w:val="000000"/>
          <w:sz w:val="28"/>
          <w:szCs w:val="28"/>
        </w:rPr>
      </w:pPr>
    </w:p>
    <w:p w14:paraId="2199CD51">
      <w:pPr>
        <w:snapToGrid w:val="0"/>
        <w:spacing w:line="500" w:lineRule="exact"/>
        <w:rPr>
          <w:rFonts w:ascii="仿宋" w:hAnsi="仿宋" w:eastAsia="仿宋"/>
          <w:color w:val="000000"/>
          <w:sz w:val="28"/>
          <w:szCs w:val="28"/>
        </w:rPr>
      </w:pPr>
    </w:p>
    <w:p w14:paraId="1347D2AB">
      <w:pPr>
        <w:snapToGrid w:val="0"/>
        <w:spacing w:line="500" w:lineRule="exact"/>
        <w:rPr>
          <w:rFonts w:ascii="仿宋" w:hAnsi="仿宋" w:eastAsia="仿宋"/>
          <w:color w:val="000000"/>
          <w:sz w:val="28"/>
          <w:szCs w:val="28"/>
        </w:rPr>
      </w:pPr>
    </w:p>
    <w:p w14:paraId="304ACE5A">
      <w:pPr>
        <w:snapToGrid w:val="0"/>
        <w:spacing w:line="500" w:lineRule="exact"/>
        <w:rPr>
          <w:rFonts w:ascii="仿宋" w:hAnsi="仿宋" w:eastAsia="仿宋"/>
          <w:color w:val="000000"/>
          <w:sz w:val="28"/>
          <w:szCs w:val="28"/>
        </w:rPr>
      </w:pPr>
    </w:p>
    <w:p w14:paraId="6193891C">
      <w:pPr>
        <w:snapToGrid w:val="0"/>
        <w:spacing w:line="500" w:lineRule="exact"/>
        <w:rPr>
          <w:rFonts w:ascii="仿宋" w:hAnsi="仿宋" w:eastAsia="仿宋"/>
          <w:color w:val="000000"/>
          <w:sz w:val="28"/>
          <w:szCs w:val="28"/>
        </w:rPr>
      </w:pPr>
    </w:p>
    <w:p w14:paraId="624F292D">
      <w:pPr>
        <w:snapToGrid w:val="0"/>
        <w:spacing w:line="500" w:lineRule="exact"/>
        <w:rPr>
          <w:rFonts w:ascii="仿宋" w:hAnsi="仿宋" w:eastAsia="仿宋"/>
          <w:color w:val="000000"/>
          <w:sz w:val="28"/>
          <w:szCs w:val="28"/>
        </w:rPr>
      </w:pPr>
    </w:p>
    <w:p w14:paraId="7ED91C7C">
      <w:pPr>
        <w:snapToGrid w:val="0"/>
        <w:spacing w:line="500" w:lineRule="exact"/>
        <w:rPr>
          <w:rFonts w:ascii="仿宋" w:hAnsi="仿宋" w:eastAsia="仿宋"/>
          <w:color w:val="000000"/>
          <w:sz w:val="28"/>
          <w:szCs w:val="28"/>
        </w:rPr>
      </w:pPr>
    </w:p>
    <w:p w14:paraId="261EFFA7">
      <w:pPr>
        <w:snapToGrid w:val="0"/>
        <w:spacing w:line="500" w:lineRule="exact"/>
        <w:rPr>
          <w:rFonts w:ascii="仿宋" w:hAnsi="仿宋" w:eastAsia="仿宋"/>
          <w:color w:val="000000"/>
          <w:sz w:val="28"/>
          <w:szCs w:val="28"/>
        </w:rPr>
      </w:pPr>
    </w:p>
    <w:p w14:paraId="133E4858">
      <w:pPr>
        <w:snapToGrid w:val="0"/>
        <w:spacing w:line="500" w:lineRule="exact"/>
        <w:rPr>
          <w:rFonts w:ascii="仿宋" w:hAnsi="仿宋" w:eastAsia="仿宋"/>
          <w:color w:val="000000"/>
          <w:sz w:val="28"/>
          <w:szCs w:val="28"/>
        </w:rPr>
      </w:pPr>
    </w:p>
    <w:p w14:paraId="20E1D03D">
      <w:pPr>
        <w:snapToGrid w:val="0"/>
        <w:spacing w:line="500" w:lineRule="exact"/>
        <w:rPr>
          <w:rFonts w:ascii="仿宋" w:hAnsi="仿宋" w:eastAsia="仿宋"/>
          <w:color w:val="000000"/>
          <w:sz w:val="28"/>
          <w:szCs w:val="28"/>
        </w:rPr>
      </w:pPr>
      <w:r>
        <w:rPr>
          <w:rFonts w:hint="eastAsia" w:ascii="仿宋" w:hAnsi="仿宋" w:eastAsia="仿宋"/>
          <w:color w:val="000000"/>
          <w:sz w:val="28"/>
          <w:szCs w:val="28"/>
        </w:rPr>
        <w:t>四、报价函</w:t>
      </w:r>
    </w:p>
    <w:p w14:paraId="66C5E589">
      <w:pPr>
        <w:snapToGrid w:val="0"/>
        <w:spacing w:line="500" w:lineRule="exact"/>
        <w:jc w:val="center"/>
        <w:rPr>
          <w:rFonts w:ascii="仿宋" w:hAnsi="仿宋" w:eastAsia="仿宋"/>
          <w:color w:val="000000"/>
          <w:sz w:val="28"/>
          <w:szCs w:val="28"/>
        </w:rPr>
      </w:pPr>
      <w:r>
        <w:rPr>
          <w:rFonts w:hint="eastAsia" w:ascii="仿宋" w:hAnsi="仿宋" w:eastAsia="仿宋"/>
          <w:color w:val="000000"/>
          <w:sz w:val="28"/>
          <w:szCs w:val="28"/>
        </w:rPr>
        <w:t>报价函（格式）</w:t>
      </w:r>
    </w:p>
    <w:p w14:paraId="37ECC9E6">
      <w:pPr>
        <w:snapToGrid w:val="0"/>
        <w:spacing w:line="500" w:lineRule="exact"/>
        <w:rPr>
          <w:rFonts w:ascii="仿宋" w:hAnsi="仿宋" w:eastAsia="仿宋"/>
          <w:color w:val="000000"/>
          <w:sz w:val="28"/>
          <w:szCs w:val="28"/>
        </w:rPr>
      </w:pPr>
    </w:p>
    <w:p w14:paraId="6AB3FEE4">
      <w:pPr>
        <w:snapToGrid w:val="0"/>
        <w:spacing w:line="500" w:lineRule="exact"/>
        <w:rPr>
          <w:rFonts w:ascii="仿宋" w:hAnsi="仿宋" w:eastAsia="仿宋"/>
          <w:color w:val="000000"/>
          <w:sz w:val="28"/>
          <w:szCs w:val="28"/>
          <w:u w:val="single"/>
        </w:rPr>
      </w:pPr>
      <w:r>
        <w:rPr>
          <w:rFonts w:hint="eastAsia" w:ascii="仿宋" w:hAnsi="仿宋" w:eastAsia="仿宋"/>
          <w:color w:val="000000"/>
          <w:sz w:val="28"/>
          <w:szCs w:val="28"/>
        </w:rPr>
        <w:t>招标项目名称：</w:t>
      </w:r>
    </w:p>
    <w:p w14:paraId="252C63EA">
      <w:pPr>
        <w:snapToGrid w:val="0"/>
        <w:spacing w:line="500" w:lineRule="exact"/>
        <w:rPr>
          <w:rFonts w:ascii="仿宋" w:hAnsi="仿宋" w:eastAsia="仿宋"/>
          <w:color w:val="000000"/>
          <w:sz w:val="28"/>
          <w:szCs w:val="28"/>
        </w:rPr>
      </w:pPr>
      <w:r>
        <w:rPr>
          <w:rFonts w:hint="eastAsia" w:ascii="仿宋" w:hAnsi="仿宋" w:eastAsia="仿宋"/>
          <w:color w:val="000000"/>
          <w:sz w:val="28"/>
          <w:szCs w:val="28"/>
        </w:rPr>
        <w:t>致：（招标代理公司名称）：</w:t>
      </w:r>
    </w:p>
    <w:p w14:paraId="0C560316">
      <w:pPr>
        <w:snapToGrid w:val="0"/>
        <w:spacing w:line="500" w:lineRule="exact"/>
        <w:ind w:firstLine="555"/>
        <w:rPr>
          <w:rFonts w:ascii="仿宋" w:hAnsi="仿宋" w:eastAsia="仿宋"/>
          <w:color w:val="000000"/>
          <w:sz w:val="28"/>
          <w:szCs w:val="28"/>
        </w:rPr>
      </w:pPr>
      <w:r>
        <w:rPr>
          <w:rFonts w:hint="eastAsia" w:ascii="仿宋" w:hAnsi="仿宋" w:eastAsia="仿宋"/>
          <w:color w:val="000000"/>
          <w:sz w:val="28"/>
          <w:szCs w:val="28"/>
        </w:rPr>
        <w:t>根据贵方“</w:t>
      </w:r>
      <w:r>
        <w:rPr>
          <w:rFonts w:hint="eastAsia" w:ascii="仿宋" w:hAnsi="仿宋" w:eastAsia="仿宋"/>
          <w:color w:val="000000"/>
          <w:sz w:val="28"/>
          <w:szCs w:val="28"/>
          <w:lang w:eastAsia="zh-CN"/>
        </w:rPr>
        <w:t>渝能新城</w:t>
      </w:r>
      <w:r>
        <w:rPr>
          <w:rFonts w:hint="eastAsia" w:ascii="仿宋" w:hAnsi="仿宋" w:eastAsia="仿宋"/>
          <w:color w:val="000000"/>
          <w:sz w:val="28"/>
          <w:szCs w:val="28"/>
        </w:rPr>
        <w:t>”项目的招标文件，遵照《物业管理条例》及《重庆市物业管理招标投标暂行办法》等有关规定，经查勘项目现场和研究贵方招标文件后，我方投标报价如下：（按建筑面积计算物管费）</w:t>
      </w:r>
    </w:p>
    <w:p w14:paraId="4498DE5C">
      <w:pPr>
        <w:snapToGrid w:val="0"/>
        <w:spacing w:line="500" w:lineRule="exact"/>
        <w:ind w:firstLine="555"/>
        <w:rPr>
          <w:rFonts w:ascii="仿宋" w:hAnsi="仿宋" w:eastAsia="仿宋"/>
          <w:color w:val="000000"/>
          <w:sz w:val="28"/>
          <w:szCs w:val="28"/>
        </w:rPr>
      </w:pPr>
      <w:r>
        <w:rPr>
          <w:rFonts w:hint="eastAsia" w:ascii="仿宋" w:hAnsi="仿宋" w:eastAsia="仿宋"/>
          <w:color w:val="000000"/>
          <w:sz w:val="28"/>
          <w:szCs w:val="28"/>
        </w:rPr>
        <w:t>一、</w:t>
      </w:r>
      <w:r>
        <w:rPr>
          <w:rFonts w:hint="eastAsia" w:ascii="仿宋" w:hAnsi="仿宋" w:eastAsia="仿宋"/>
          <w:color w:val="000000"/>
          <w:sz w:val="28"/>
          <w:szCs w:val="28"/>
          <w:lang w:eastAsia="zh-CN"/>
        </w:rPr>
        <w:t>有电梯</w:t>
      </w:r>
      <w:r>
        <w:rPr>
          <w:rFonts w:hint="eastAsia" w:ascii="仿宋" w:hAnsi="仿宋" w:eastAsia="仿宋"/>
          <w:color w:val="000000"/>
          <w:sz w:val="28"/>
          <w:szCs w:val="28"/>
        </w:rPr>
        <w:t>住宅物业管理收费标准为：     元/平方米/月</w:t>
      </w:r>
    </w:p>
    <w:p w14:paraId="051A04F3">
      <w:pPr>
        <w:snapToGrid w:val="0"/>
        <w:spacing w:line="500" w:lineRule="exact"/>
        <w:ind w:firstLine="555"/>
        <w:rPr>
          <w:rFonts w:ascii="仿宋" w:hAnsi="仿宋" w:eastAsia="仿宋"/>
          <w:color w:val="000000"/>
          <w:sz w:val="28"/>
          <w:szCs w:val="28"/>
        </w:rPr>
      </w:pPr>
      <w:r>
        <w:rPr>
          <w:rFonts w:hint="eastAsia" w:ascii="仿宋" w:hAnsi="仿宋" w:eastAsia="仿宋"/>
          <w:color w:val="000000"/>
          <w:sz w:val="28"/>
          <w:szCs w:val="28"/>
        </w:rPr>
        <w:t>二、</w:t>
      </w:r>
      <w:r>
        <w:rPr>
          <w:rFonts w:hint="eastAsia" w:ascii="仿宋" w:hAnsi="仿宋" w:eastAsia="仿宋"/>
          <w:color w:val="000000"/>
          <w:sz w:val="28"/>
          <w:szCs w:val="28"/>
          <w:lang w:eastAsia="zh-CN"/>
        </w:rPr>
        <w:t>无电梯</w:t>
      </w:r>
      <w:r>
        <w:rPr>
          <w:rFonts w:hint="eastAsia" w:ascii="仿宋" w:hAnsi="仿宋" w:eastAsia="仿宋"/>
          <w:color w:val="000000"/>
          <w:sz w:val="28"/>
          <w:szCs w:val="28"/>
        </w:rPr>
        <w:t>住宅物业管理收费标准为：     元/平方米/月</w:t>
      </w:r>
    </w:p>
    <w:p w14:paraId="75993BFE">
      <w:pPr>
        <w:snapToGrid w:val="0"/>
        <w:spacing w:line="500" w:lineRule="exact"/>
        <w:ind w:firstLine="555"/>
        <w:rPr>
          <w:rFonts w:ascii="仿宋" w:hAnsi="仿宋" w:eastAsia="仿宋"/>
          <w:color w:val="000000"/>
          <w:sz w:val="28"/>
          <w:szCs w:val="28"/>
        </w:rPr>
      </w:pPr>
      <w:r>
        <w:rPr>
          <w:rFonts w:hint="eastAsia" w:ascii="仿宋" w:hAnsi="仿宋" w:eastAsia="仿宋"/>
          <w:color w:val="000000"/>
          <w:sz w:val="28"/>
          <w:szCs w:val="28"/>
        </w:rPr>
        <w:t>三、商业物业管理收费标准为：     元/平方米/月</w:t>
      </w:r>
    </w:p>
    <w:p w14:paraId="329DAF88">
      <w:pPr>
        <w:snapToGrid w:val="0"/>
        <w:spacing w:line="500" w:lineRule="exact"/>
        <w:ind w:firstLine="555"/>
        <w:rPr>
          <w:rFonts w:ascii="仿宋" w:hAnsi="仿宋" w:eastAsia="仿宋"/>
          <w:color w:val="000000"/>
          <w:sz w:val="28"/>
          <w:szCs w:val="28"/>
        </w:rPr>
      </w:pPr>
      <w:r>
        <w:rPr>
          <w:rFonts w:hint="eastAsia" w:ascii="仿宋" w:hAnsi="仿宋" w:eastAsia="仿宋"/>
          <w:color w:val="000000"/>
          <w:sz w:val="28"/>
          <w:szCs w:val="28"/>
        </w:rPr>
        <w:t>四、车位物业管理收费标准为：     元/个/月</w:t>
      </w:r>
    </w:p>
    <w:p w14:paraId="1D9CDA6F">
      <w:pPr>
        <w:snapToGrid w:val="0"/>
        <w:spacing w:line="500" w:lineRule="exact"/>
        <w:ind w:firstLine="555"/>
        <w:rPr>
          <w:rFonts w:ascii="仿宋" w:hAnsi="仿宋" w:eastAsia="仿宋"/>
          <w:color w:val="000000"/>
          <w:sz w:val="28"/>
          <w:szCs w:val="28"/>
        </w:rPr>
      </w:pPr>
      <w:r>
        <w:rPr>
          <w:rFonts w:hint="eastAsia" w:ascii="仿宋" w:hAnsi="仿宋" w:eastAsia="仿宋"/>
          <w:color w:val="000000"/>
          <w:sz w:val="28"/>
          <w:szCs w:val="28"/>
        </w:rPr>
        <w:t>五、报价说明：</w:t>
      </w:r>
    </w:p>
    <w:p w14:paraId="2B3A189C">
      <w:pPr>
        <w:snapToGrid w:val="0"/>
        <w:spacing w:line="500" w:lineRule="exact"/>
        <w:ind w:firstLine="555"/>
        <w:rPr>
          <w:rFonts w:ascii="仿宋" w:hAnsi="仿宋" w:eastAsia="仿宋"/>
          <w:color w:val="000000"/>
          <w:sz w:val="28"/>
          <w:szCs w:val="28"/>
        </w:rPr>
      </w:pPr>
      <w:r>
        <w:rPr>
          <w:rFonts w:hint="eastAsia" w:ascii="仿宋" w:hAnsi="仿宋" w:eastAsia="仿宋"/>
          <w:color w:val="000000"/>
          <w:sz w:val="28"/>
          <w:szCs w:val="28"/>
        </w:rPr>
        <w:t>1、以上收费为一费制，</w:t>
      </w:r>
      <w:r>
        <w:rPr>
          <w:rFonts w:ascii="仿宋" w:hAnsi="仿宋" w:eastAsia="仿宋"/>
          <w:color w:val="000000"/>
          <w:sz w:val="28"/>
          <w:szCs w:val="28"/>
        </w:rPr>
        <w:t>含</w:t>
      </w:r>
      <w:r>
        <w:rPr>
          <w:rFonts w:hint="eastAsia" w:ascii="仿宋" w:hAnsi="仿宋" w:eastAsia="仿宋"/>
          <w:color w:val="000000"/>
          <w:sz w:val="28"/>
          <w:szCs w:val="28"/>
        </w:rPr>
        <w:t>公共区域水电分摊费和电梯费等；</w:t>
      </w:r>
    </w:p>
    <w:p w14:paraId="5AEBC884">
      <w:pPr>
        <w:snapToGrid w:val="0"/>
        <w:spacing w:line="500" w:lineRule="exact"/>
        <w:ind w:firstLine="555"/>
        <w:rPr>
          <w:rFonts w:ascii="仿宋" w:hAnsi="仿宋" w:eastAsia="仿宋"/>
          <w:color w:val="000000"/>
          <w:sz w:val="28"/>
          <w:szCs w:val="28"/>
        </w:rPr>
      </w:pPr>
      <w:r>
        <w:rPr>
          <w:rFonts w:hint="eastAsia" w:ascii="仿宋" w:hAnsi="仿宋" w:eastAsia="仿宋"/>
          <w:color w:val="000000"/>
          <w:sz w:val="28"/>
          <w:szCs w:val="28"/>
        </w:rPr>
        <w:t>2、业主空置房、开发商未出售房屋按国家物业管理相关法规规定收取费用；</w:t>
      </w:r>
    </w:p>
    <w:p w14:paraId="7013771F">
      <w:pPr>
        <w:snapToGrid w:val="0"/>
        <w:spacing w:line="500" w:lineRule="exact"/>
        <w:ind w:firstLine="555"/>
        <w:rPr>
          <w:rFonts w:ascii="仿宋" w:hAnsi="仿宋" w:eastAsia="仿宋"/>
          <w:color w:val="000000"/>
          <w:sz w:val="28"/>
          <w:szCs w:val="28"/>
        </w:rPr>
      </w:pPr>
      <w:r>
        <w:rPr>
          <w:rFonts w:hint="eastAsia" w:ascii="仿宋" w:hAnsi="仿宋" w:eastAsia="仿宋"/>
          <w:color w:val="000000"/>
          <w:sz w:val="28"/>
          <w:szCs w:val="28"/>
        </w:rPr>
        <w:t>3、报价为物业成本含企业合理利润。</w:t>
      </w:r>
    </w:p>
    <w:p w14:paraId="7A2F41E9">
      <w:pPr>
        <w:snapToGrid w:val="0"/>
        <w:spacing w:line="500" w:lineRule="exact"/>
        <w:ind w:firstLine="555"/>
        <w:rPr>
          <w:rFonts w:ascii="仿宋" w:hAnsi="仿宋" w:eastAsia="仿宋"/>
          <w:color w:val="000000"/>
          <w:sz w:val="28"/>
          <w:szCs w:val="28"/>
        </w:rPr>
      </w:pPr>
    </w:p>
    <w:p w14:paraId="4FEEAF54">
      <w:pPr>
        <w:snapToGrid w:val="0"/>
        <w:spacing w:line="500" w:lineRule="exact"/>
        <w:ind w:firstLine="555"/>
        <w:rPr>
          <w:rFonts w:ascii="仿宋" w:hAnsi="仿宋" w:eastAsia="仿宋"/>
          <w:color w:val="000000"/>
          <w:sz w:val="28"/>
          <w:szCs w:val="28"/>
        </w:rPr>
      </w:pPr>
    </w:p>
    <w:p w14:paraId="2321FBCC">
      <w:pPr>
        <w:snapToGrid w:val="0"/>
        <w:spacing w:line="500" w:lineRule="exact"/>
        <w:jc w:val="right"/>
        <w:rPr>
          <w:rFonts w:ascii="仿宋" w:hAnsi="仿宋" w:eastAsia="仿宋"/>
          <w:color w:val="000000"/>
          <w:sz w:val="28"/>
          <w:szCs w:val="28"/>
        </w:rPr>
      </w:pPr>
      <w:r>
        <w:rPr>
          <w:rFonts w:hint="eastAsia" w:ascii="仿宋" w:hAnsi="仿宋" w:eastAsia="仿宋"/>
          <w:color w:val="000000"/>
          <w:sz w:val="28"/>
          <w:szCs w:val="28"/>
        </w:rPr>
        <w:t>投标人（公章）</w:t>
      </w:r>
    </w:p>
    <w:p w14:paraId="3A561B3B">
      <w:pPr>
        <w:snapToGrid w:val="0"/>
        <w:spacing w:line="500" w:lineRule="exact"/>
        <w:jc w:val="right"/>
        <w:rPr>
          <w:rFonts w:ascii="仿宋" w:hAnsi="仿宋" w:eastAsia="仿宋"/>
          <w:color w:val="000000"/>
          <w:sz w:val="28"/>
          <w:szCs w:val="28"/>
        </w:rPr>
      </w:pPr>
      <w:r>
        <w:rPr>
          <w:rFonts w:hint="eastAsia" w:ascii="仿宋" w:hAnsi="仿宋" w:eastAsia="仿宋"/>
          <w:color w:val="000000"/>
          <w:sz w:val="28"/>
          <w:szCs w:val="28"/>
        </w:rPr>
        <w:t>年   月   日</w:t>
      </w:r>
    </w:p>
    <w:p w14:paraId="44BB0CF5">
      <w:pPr>
        <w:snapToGrid w:val="0"/>
        <w:spacing w:line="500" w:lineRule="exact"/>
        <w:jc w:val="right"/>
        <w:rPr>
          <w:rFonts w:ascii="仿宋" w:hAnsi="仿宋" w:eastAsia="仿宋"/>
          <w:color w:val="000000"/>
          <w:sz w:val="28"/>
          <w:szCs w:val="28"/>
        </w:rPr>
      </w:pPr>
    </w:p>
    <w:p w14:paraId="0FB4334D">
      <w:pPr>
        <w:snapToGrid w:val="0"/>
        <w:spacing w:line="500" w:lineRule="exact"/>
        <w:jc w:val="right"/>
        <w:rPr>
          <w:rFonts w:ascii="仿宋" w:hAnsi="仿宋" w:eastAsia="仿宋"/>
          <w:color w:val="000000"/>
          <w:sz w:val="28"/>
          <w:szCs w:val="28"/>
        </w:rPr>
      </w:pPr>
    </w:p>
    <w:p w14:paraId="7C777286">
      <w:pPr>
        <w:snapToGrid w:val="0"/>
        <w:spacing w:line="500" w:lineRule="exact"/>
        <w:jc w:val="right"/>
        <w:rPr>
          <w:rFonts w:ascii="仿宋" w:hAnsi="仿宋" w:eastAsia="仿宋"/>
          <w:color w:val="000000"/>
          <w:sz w:val="28"/>
          <w:szCs w:val="28"/>
        </w:rPr>
      </w:pPr>
    </w:p>
    <w:p w14:paraId="3EA022EF">
      <w:pPr>
        <w:snapToGrid w:val="0"/>
        <w:spacing w:line="500" w:lineRule="exact"/>
        <w:jc w:val="right"/>
        <w:rPr>
          <w:rFonts w:ascii="仿宋" w:hAnsi="仿宋" w:eastAsia="仿宋"/>
          <w:color w:val="000000"/>
          <w:sz w:val="28"/>
          <w:szCs w:val="28"/>
        </w:rPr>
      </w:pPr>
    </w:p>
    <w:p w14:paraId="5D9D6265">
      <w:pPr>
        <w:snapToGrid w:val="0"/>
        <w:spacing w:line="500" w:lineRule="exact"/>
        <w:jc w:val="right"/>
        <w:rPr>
          <w:rFonts w:ascii="仿宋" w:hAnsi="仿宋" w:eastAsia="仿宋"/>
          <w:color w:val="000000"/>
          <w:sz w:val="28"/>
          <w:szCs w:val="28"/>
        </w:rPr>
      </w:pPr>
    </w:p>
    <w:p w14:paraId="3ED4597B">
      <w:pPr>
        <w:snapToGrid w:val="0"/>
        <w:spacing w:line="500" w:lineRule="exact"/>
        <w:rPr>
          <w:rFonts w:ascii="仿宋" w:hAnsi="仿宋" w:eastAsia="仿宋"/>
          <w:color w:val="000000"/>
          <w:sz w:val="28"/>
          <w:szCs w:val="28"/>
        </w:rPr>
      </w:pPr>
      <w:r>
        <w:rPr>
          <w:rFonts w:hint="eastAsia" w:ascii="仿宋" w:hAnsi="仿宋" w:eastAsia="仿宋"/>
          <w:color w:val="000000"/>
          <w:sz w:val="28"/>
          <w:szCs w:val="28"/>
        </w:rPr>
        <w:t>五、诚信声明</w:t>
      </w:r>
    </w:p>
    <w:p w14:paraId="3D6F54E2">
      <w:pPr>
        <w:snapToGrid w:val="0"/>
        <w:spacing w:line="500" w:lineRule="exact"/>
        <w:ind w:firstLine="570"/>
        <w:jc w:val="center"/>
        <w:rPr>
          <w:rFonts w:ascii="仿宋" w:hAnsi="仿宋" w:eastAsia="仿宋"/>
          <w:color w:val="000000"/>
          <w:sz w:val="28"/>
          <w:szCs w:val="28"/>
        </w:rPr>
      </w:pPr>
      <w:r>
        <w:rPr>
          <w:rFonts w:hint="eastAsia" w:ascii="仿宋" w:hAnsi="仿宋" w:eastAsia="仿宋"/>
          <w:color w:val="000000"/>
          <w:sz w:val="28"/>
          <w:szCs w:val="28"/>
        </w:rPr>
        <w:t>诚信声明（格式）</w:t>
      </w:r>
    </w:p>
    <w:p w14:paraId="2A32873F">
      <w:pPr>
        <w:snapToGrid w:val="0"/>
        <w:spacing w:line="500" w:lineRule="exact"/>
        <w:ind w:firstLine="570"/>
        <w:rPr>
          <w:rFonts w:ascii="仿宋" w:hAnsi="仿宋" w:eastAsia="仿宋"/>
          <w:color w:val="000000"/>
          <w:sz w:val="28"/>
          <w:szCs w:val="28"/>
        </w:rPr>
      </w:pPr>
    </w:p>
    <w:p w14:paraId="55C9B8BD">
      <w:pPr>
        <w:snapToGrid w:val="0"/>
        <w:spacing w:line="500" w:lineRule="exact"/>
        <w:rPr>
          <w:rFonts w:ascii="仿宋" w:hAnsi="仿宋" w:eastAsia="仿宋"/>
          <w:color w:val="000000"/>
          <w:sz w:val="28"/>
          <w:szCs w:val="28"/>
          <w:u w:val="single"/>
        </w:rPr>
      </w:pPr>
      <w:r>
        <w:rPr>
          <w:rFonts w:hint="eastAsia" w:ascii="仿宋" w:hAnsi="仿宋" w:eastAsia="仿宋"/>
          <w:color w:val="000000"/>
          <w:sz w:val="28"/>
          <w:szCs w:val="28"/>
        </w:rPr>
        <w:t>招标项目名称：</w:t>
      </w:r>
    </w:p>
    <w:p w14:paraId="0CEB6497">
      <w:pPr>
        <w:snapToGrid w:val="0"/>
        <w:spacing w:line="500" w:lineRule="exact"/>
        <w:rPr>
          <w:rFonts w:ascii="仿宋" w:hAnsi="仿宋" w:eastAsia="仿宋"/>
          <w:color w:val="000000"/>
          <w:sz w:val="28"/>
          <w:szCs w:val="28"/>
        </w:rPr>
      </w:pPr>
      <w:r>
        <w:rPr>
          <w:rFonts w:hint="eastAsia" w:ascii="仿宋" w:hAnsi="仿宋" w:eastAsia="仿宋"/>
          <w:color w:val="000000"/>
          <w:sz w:val="28"/>
          <w:szCs w:val="28"/>
        </w:rPr>
        <w:t>致：（招标代理公司名称）：</w:t>
      </w:r>
    </w:p>
    <w:p w14:paraId="7311376E">
      <w:pPr>
        <w:snapToGrid w:val="0"/>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投标人名称）郑重声明，我公司具有良好的商业信誉和健全的财务会计制度，具有履行合同所必需的设备和专业技术能力，有依法缴纳税收的良好记录，在合同签订前后随时愿意提供相关证明材料。我方对以上声明负全部法律责任。</w:t>
      </w:r>
    </w:p>
    <w:p w14:paraId="2F565D09">
      <w:pPr>
        <w:snapToGrid w:val="0"/>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特此声明。</w:t>
      </w:r>
    </w:p>
    <w:p w14:paraId="2586A3E2">
      <w:pPr>
        <w:snapToGrid w:val="0"/>
        <w:spacing w:line="500" w:lineRule="exact"/>
        <w:ind w:firstLine="570"/>
        <w:rPr>
          <w:rFonts w:ascii="仿宋" w:hAnsi="仿宋" w:eastAsia="仿宋"/>
          <w:color w:val="000000"/>
          <w:sz w:val="28"/>
          <w:szCs w:val="28"/>
        </w:rPr>
      </w:pPr>
    </w:p>
    <w:p w14:paraId="32A8842D">
      <w:pPr>
        <w:snapToGrid w:val="0"/>
        <w:spacing w:line="500" w:lineRule="exact"/>
        <w:ind w:right="424" w:firstLine="570"/>
        <w:jc w:val="right"/>
        <w:rPr>
          <w:rFonts w:ascii="仿宋" w:hAnsi="仿宋" w:eastAsia="仿宋"/>
          <w:color w:val="000000"/>
          <w:sz w:val="28"/>
          <w:szCs w:val="28"/>
        </w:rPr>
      </w:pPr>
      <w:r>
        <w:rPr>
          <w:rFonts w:hint="eastAsia" w:ascii="仿宋" w:hAnsi="仿宋" w:eastAsia="仿宋"/>
          <w:color w:val="000000"/>
          <w:sz w:val="28"/>
          <w:szCs w:val="28"/>
        </w:rPr>
        <w:t>（投标人公章）</w:t>
      </w:r>
    </w:p>
    <w:p w14:paraId="3214C755">
      <w:pPr>
        <w:snapToGrid w:val="0"/>
        <w:spacing w:line="500" w:lineRule="exact"/>
        <w:ind w:right="480" w:firstLine="570"/>
        <w:jc w:val="right"/>
        <w:rPr>
          <w:rFonts w:ascii="仿宋" w:hAnsi="仿宋" w:eastAsia="仿宋"/>
          <w:color w:val="000000"/>
          <w:sz w:val="28"/>
          <w:szCs w:val="28"/>
        </w:rPr>
      </w:pPr>
      <w:r>
        <w:rPr>
          <w:rFonts w:hint="eastAsia" w:ascii="仿宋" w:hAnsi="仿宋" w:eastAsia="仿宋"/>
          <w:color w:val="000000"/>
          <w:sz w:val="28"/>
          <w:szCs w:val="28"/>
        </w:rPr>
        <w:t>年   月   日</w:t>
      </w:r>
    </w:p>
    <w:p w14:paraId="790CC394">
      <w:pPr>
        <w:snapToGrid w:val="0"/>
        <w:spacing w:line="500" w:lineRule="exact"/>
        <w:rPr>
          <w:rFonts w:ascii="仿宋" w:hAnsi="仿宋" w:eastAsia="仿宋"/>
          <w:color w:val="000000"/>
          <w:sz w:val="28"/>
          <w:szCs w:val="28"/>
        </w:rPr>
      </w:pPr>
      <w:r>
        <w:rPr>
          <w:rFonts w:ascii="仿宋" w:hAnsi="仿宋" w:eastAsia="仿宋"/>
          <w:color w:val="000000"/>
          <w:sz w:val="28"/>
          <w:szCs w:val="28"/>
        </w:rPr>
        <w:t>六</w:t>
      </w:r>
      <w:r>
        <w:rPr>
          <w:rFonts w:hint="eastAsia" w:ascii="仿宋" w:hAnsi="仿宋" w:eastAsia="仿宋"/>
          <w:color w:val="000000"/>
          <w:sz w:val="28"/>
          <w:szCs w:val="28"/>
        </w:rPr>
        <w:t>、</w:t>
      </w:r>
      <w:r>
        <w:rPr>
          <w:rFonts w:ascii="仿宋" w:hAnsi="仿宋" w:eastAsia="仿宋"/>
          <w:color w:val="000000"/>
          <w:sz w:val="28"/>
          <w:szCs w:val="28"/>
        </w:rPr>
        <w:t>营业执照副本复印件</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97465">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4</w:t>
    </w:r>
    <w:r>
      <w:fldChar w:fldCharType="end"/>
    </w:r>
  </w:p>
  <w:p w14:paraId="6B81CF84">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1D60F">
    <w:pPr>
      <w:pStyle w:val="7"/>
      <w:framePr w:wrap="around" w:vAnchor="text" w:hAnchor="margin" w:xAlign="center" w:y="1"/>
      <w:rPr>
        <w:rStyle w:val="14"/>
      </w:rPr>
    </w:pPr>
    <w:r>
      <w:fldChar w:fldCharType="begin"/>
    </w:r>
    <w:r>
      <w:rPr>
        <w:rStyle w:val="14"/>
      </w:rPr>
      <w:instrText xml:space="preserve">PAGE  </w:instrText>
    </w:r>
    <w:r>
      <w:fldChar w:fldCharType="end"/>
    </w:r>
  </w:p>
  <w:p w14:paraId="6681BB04">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2C918">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7B7C67"/>
    <w:multiLevelType w:val="singleLevel"/>
    <w:tmpl w:val="D27B7C6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EzYWJiYjQ3ZTQ4MDExZmEzNDUxMTkwNzQwNGQyNTgifQ=="/>
  </w:docVars>
  <w:rsids>
    <w:rsidRoot w:val="007B45B3"/>
    <w:rsid w:val="00002EFC"/>
    <w:rsid w:val="000040CC"/>
    <w:rsid w:val="00004FFB"/>
    <w:rsid w:val="0000523C"/>
    <w:rsid w:val="0001026A"/>
    <w:rsid w:val="0001195F"/>
    <w:rsid w:val="00023501"/>
    <w:rsid w:val="0002582E"/>
    <w:rsid w:val="0003304B"/>
    <w:rsid w:val="0003615B"/>
    <w:rsid w:val="00040A23"/>
    <w:rsid w:val="0004339E"/>
    <w:rsid w:val="00050665"/>
    <w:rsid w:val="00055083"/>
    <w:rsid w:val="00056BBB"/>
    <w:rsid w:val="00056EB5"/>
    <w:rsid w:val="0005739A"/>
    <w:rsid w:val="00061A54"/>
    <w:rsid w:val="00063808"/>
    <w:rsid w:val="000641A1"/>
    <w:rsid w:val="000718A3"/>
    <w:rsid w:val="00071A8F"/>
    <w:rsid w:val="00083347"/>
    <w:rsid w:val="000A04F3"/>
    <w:rsid w:val="000A7C08"/>
    <w:rsid w:val="000B67CA"/>
    <w:rsid w:val="000B6B5E"/>
    <w:rsid w:val="000B7314"/>
    <w:rsid w:val="000C17B4"/>
    <w:rsid w:val="000C677D"/>
    <w:rsid w:val="000D14C0"/>
    <w:rsid w:val="000D3932"/>
    <w:rsid w:val="000D3C45"/>
    <w:rsid w:val="000D6CD0"/>
    <w:rsid w:val="000E18C8"/>
    <w:rsid w:val="000E4E9E"/>
    <w:rsid w:val="000F29CE"/>
    <w:rsid w:val="000F3856"/>
    <w:rsid w:val="000F77EA"/>
    <w:rsid w:val="0010060C"/>
    <w:rsid w:val="001044EC"/>
    <w:rsid w:val="00112BDE"/>
    <w:rsid w:val="0011362C"/>
    <w:rsid w:val="0011519F"/>
    <w:rsid w:val="00115240"/>
    <w:rsid w:val="001240EF"/>
    <w:rsid w:val="00127ECE"/>
    <w:rsid w:val="0013533F"/>
    <w:rsid w:val="00136E9A"/>
    <w:rsid w:val="001436AE"/>
    <w:rsid w:val="00151A37"/>
    <w:rsid w:val="00152482"/>
    <w:rsid w:val="001545CB"/>
    <w:rsid w:val="001563B1"/>
    <w:rsid w:val="00156EBC"/>
    <w:rsid w:val="0016519B"/>
    <w:rsid w:val="00166ABC"/>
    <w:rsid w:val="00174770"/>
    <w:rsid w:val="00175C74"/>
    <w:rsid w:val="00180082"/>
    <w:rsid w:val="00184A90"/>
    <w:rsid w:val="0019159A"/>
    <w:rsid w:val="00191C42"/>
    <w:rsid w:val="00193C3B"/>
    <w:rsid w:val="001949C1"/>
    <w:rsid w:val="001A3136"/>
    <w:rsid w:val="001A340C"/>
    <w:rsid w:val="001A5EC4"/>
    <w:rsid w:val="001B0B48"/>
    <w:rsid w:val="001B5FC4"/>
    <w:rsid w:val="001B7843"/>
    <w:rsid w:val="001C08AC"/>
    <w:rsid w:val="001C48BF"/>
    <w:rsid w:val="001D5E20"/>
    <w:rsid w:val="001E36C4"/>
    <w:rsid w:val="001E471D"/>
    <w:rsid w:val="001E59D2"/>
    <w:rsid w:val="001E5ECC"/>
    <w:rsid w:val="001F051D"/>
    <w:rsid w:val="001F17CF"/>
    <w:rsid w:val="001F36F8"/>
    <w:rsid w:val="001F40D8"/>
    <w:rsid w:val="001F467A"/>
    <w:rsid w:val="001F5BA2"/>
    <w:rsid w:val="001F6D4B"/>
    <w:rsid w:val="002045B0"/>
    <w:rsid w:val="0020635B"/>
    <w:rsid w:val="00211601"/>
    <w:rsid w:val="002129A5"/>
    <w:rsid w:val="00213F10"/>
    <w:rsid w:val="00215BC3"/>
    <w:rsid w:val="00223964"/>
    <w:rsid w:val="00224B36"/>
    <w:rsid w:val="0022520F"/>
    <w:rsid w:val="00225B0E"/>
    <w:rsid w:val="00231D83"/>
    <w:rsid w:val="002333FF"/>
    <w:rsid w:val="00241997"/>
    <w:rsid w:val="00250E29"/>
    <w:rsid w:val="00253914"/>
    <w:rsid w:val="002604A2"/>
    <w:rsid w:val="00261F90"/>
    <w:rsid w:val="00262653"/>
    <w:rsid w:val="002634E0"/>
    <w:rsid w:val="00272A88"/>
    <w:rsid w:val="00274CCF"/>
    <w:rsid w:val="002813FC"/>
    <w:rsid w:val="00282630"/>
    <w:rsid w:val="00282DF5"/>
    <w:rsid w:val="00293B9F"/>
    <w:rsid w:val="002953F9"/>
    <w:rsid w:val="002968E6"/>
    <w:rsid w:val="002A3D90"/>
    <w:rsid w:val="002B217D"/>
    <w:rsid w:val="002C4F10"/>
    <w:rsid w:val="002C5C3F"/>
    <w:rsid w:val="002D1EBB"/>
    <w:rsid w:val="002D2115"/>
    <w:rsid w:val="002D3697"/>
    <w:rsid w:val="002D4746"/>
    <w:rsid w:val="002D4DC7"/>
    <w:rsid w:val="002E0E00"/>
    <w:rsid w:val="002E16E7"/>
    <w:rsid w:val="002E1824"/>
    <w:rsid w:val="002E23A6"/>
    <w:rsid w:val="0030408C"/>
    <w:rsid w:val="00304C02"/>
    <w:rsid w:val="003063A5"/>
    <w:rsid w:val="00306725"/>
    <w:rsid w:val="00321BB2"/>
    <w:rsid w:val="003222AE"/>
    <w:rsid w:val="003241A4"/>
    <w:rsid w:val="00327982"/>
    <w:rsid w:val="00331CA5"/>
    <w:rsid w:val="00332D27"/>
    <w:rsid w:val="003406FE"/>
    <w:rsid w:val="00341AFA"/>
    <w:rsid w:val="00345FA2"/>
    <w:rsid w:val="003524F0"/>
    <w:rsid w:val="00353377"/>
    <w:rsid w:val="0035601D"/>
    <w:rsid w:val="003603A9"/>
    <w:rsid w:val="00360585"/>
    <w:rsid w:val="0036086E"/>
    <w:rsid w:val="003612C2"/>
    <w:rsid w:val="00366B55"/>
    <w:rsid w:val="00367D07"/>
    <w:rsid w:val="00370307"/>
    <w:rsid w:val="00371AD0"/>
    <w:rsid w:val="003737D9"/>
    <w:rsid w:val="003739A6"/>
    <w:rsid w:val="00376671"/>
    <w:rsid w:val="00384259"/>
    <w:rsid w:val="003855A3"/>
    <w:rsid w:val="003905D8"/>
    <w:rsid w:val="00396F67"/>
    <w:rsid w:val="003A1C8E"/>
    <w:rsid w:val="003A77DA"/>
    <w:rsid w:val="003A793D"/>
    <w:rsid w:val="003B397A"/>
    <w:rsid w:val="003B6B01"/>
    <w:rsid w:val="003C069B"/>
    <w:rsid w:val="003C1555"/>
    <w:rsid w:val="003C2C9B"/>
    <w:rsid w:val="003C3EB5"/>
    <w:rsid w:val="003C67C1"/>
    <w:rsid w:val="003C6CE0"/>
    <w:rsid w:val="003C7E88"/>
    <w:rsid w:val="003D1173"/>
    <w:rsid w:val="003D31AC"/>
    <w:rsid w:val="003D3248"/>
    <w:rsid w:val="003E1C3B"/>
    <w:rsid w:val="003E1C43"/>
    <w:rsid w:val="003E64BD"/>
    <w:rsid w:val="003F4F81"/>
    <w:rsid w:val="003F6B87"/>
    <w:rsid w:val="004004E0"/>
    <w:rsid w:val="004043EE"/>
    <w:rsid w:val="004059B4"/>
    <w:rsid w:val="00410333"/>
    <w:rsid w:val="0042012B"/>
    <w:rsid w:val="00422CAF"/>
    <w:rsid w:val="00422EB5"/>
    <w:rsid w:val="004342D5"/>
    <w:rsid w:val="00436557"/>
    <w:rsid w:val="0043708E"/>
    <w:rsid w:val="0044056D"/>
    <w:rsid w:val="00442C96"/>
    <w:rsid w:val="00443A59"/>
    <w:rsid w:val="00454677"/>
    <w:rsid w:val="004652C9"/>
    <w:rsid w:val="00465E0D"/>
    <w:rsid w:val="00466E57"/>
    <w:rsid w:val="00466EFF"/>
    <w:rsid w:val="00477641"/>
    <w:rsid w:val="00477EF5"/>
    <w:rsid w:val="0048006D"/>
    <w:rsid w:val="00483067"/>
    <w:rsid w:val="00484196"/>
    <w:rsid w:val="004959C3"/>
    <w:rsid w:val="004A261F"/>
    <w:rsid w:val="004A4406"/>
    <w:rsid w:val="004A65AD"/>
    <w:rsid w:val="004A705C"/>
    <w:rsid w:val="004B17C6"/>
    <w:rsid w:val="004B18A5"/>
    <w:rsid w:val="004B35BC"/>
    <w:rsid w:val="004C1997"/>
    <w:rsid w:val="004C444A"/>
    <w:rsid w:val="004C4D01"/>
    <w:rsid w:val="004D4A83"/>
    <w:rsid w:val="004D522D"/>
    <w:rsid w:val="004E0182"/>
    <w:rsid w:val="004E15E5"/>
    <w:rsid w:val="004E4440"/>
    <w:rsid w:val="004E4AA6"/>
    <w:rsid w:val="004E5B81"/>
    <w:rsid w:val="004E6A69"/>
    <w:rsid w:val="004E7C7E"/>
    <w:rsid w:val="004F1B33"/>
    <w:rsid w:val="005072E7"/>
    <w:rsid w:val="00511795"/>
    <w:rsid w:val="005130D6"/>
    <w:rsid w:val="00513A8E"/>
    <w:rsid w:val="005206FE"/>
    <w:rsid w:val="005235A9"/>
    <w:rsid w:val="0052431D"/>
    <w:rsid w:val="0052443F"/>
    <w:rsid w:val="005254A0"/>
    <w:rsid w:val="005257D4"/>
    <w:rsid w:val="00525E19"/>
    <w:rsid w:val="0053161A"/>
    <w:rsid w:val="005429D2"/>
    <w:rsid w:val="00543C8E"/>
    <w:rsid w:val="005501A2"/>
    <w:rsid w:val="00551A54"/>
    <w:rsid w:val="0056650A"/>
    <w:rsid w:val="00572534"/>
    <w:rsid w:val="00573A10"/>
    <w:rsid w:val="00576B06"/>
    <w:rsid w:val="005774C4"/>
    <w:rsid w:val="00585431"/>
    <w:rsid w:val="005924AC"/>
    <w:rsid w:val="00593F92"/>
    <w:rsid w:val="00596C37"/>
    <w:rsid w:val="005A13F4"/>
    <w:rsid w:val="005A15BA"/>
    <w:rsid w:val="005A4B55"/>
    <w:rsid w:val="005A4FA3"/>
    <w:rsid w:val="005B244D"/>
    <w:rsid w:val="005B78CF"/>
    <w:rsid w:val="005C0117"/>
    <w:rsid w:val="005E169F"/>
    <w:rsid w:val="005E5E17"/>
    <w:rsid w:val="005F08B8"/>
    <w:rsid w:val="005F4DA1"/>
    <w:rsid w:val="005F76C7"/>
    <w:rsid w:val="005F7F84"/>
    <w:rsid w:val="00604C23"/>
    <w:rsid w:val="00605B0B"/>
    <w:rsid w:val="00613C3C"/>
    <w:rsid w:val="006143CC"/>
    <w:rsid w:val="006154F4"/>
    <w:rsid w:val="00615612"/>
    <w:rsid w:val="00622200"/>
    <w:rsid w:val="00622C77"/>
    <w:rsid w:val="00623EC6"/>
    <w:rsid w:val="006250DC"/>
    <w:rsid w:val="00630038"/>
    <w:rsid w:val="00636EB3"/>
    <w:rsid w:val="006558F4"/>
    <w:rsid w:val="00663FFC"/>
    <w:rsid w:val="00665216"/>
    <w:rsid w:val="00673F34"/>
    <w:rsid w:val="006836FF"/>
    <w:rsid w:val="006842E9"/>
    <w:rsid w:val="00684C70"/>
    <w:rsid w:val="006868B6"/>
    <w:rsid w:val="00686C27"/>
    <w:rsid w:val="00693D3F"/>
    <w:rsid w:val="0069526A"/>
    <w:rsid w:val="006956C3"/>
    <w:rsid w:val="006958CE"/>
    <w:rsid w:val="006A3177"/>
    <w:rsid w:val="006A4024"/>
    <w:rsid w:val="006A76DA"/>
    <w:rsid w:val="006C3012"/>
    <w:rsid w:val="006C516A"/>
    <w:rsid w:val="006C59D9"/>
    <w:rsid w:val="006C6FEB"/>
    <w:rsid w:val="006D07C6"/>
    <w:rsid w:val="006D1FE1"/>
    <w:rsid w:val="006E498F"/>
    <w:rsid w:val="006E564F"/>
    <w:rsid w:val="006F18A9"/>
    <w:rsid w:val="007013DA"/>
    <w:rsid w:val="0070628E"/>
    <w:rsid w:val="00706FDB"/>
    <w:rsid w:val="00710367"/>
    <w:rsid w:val="007144B6"/>
    <w:rsid w:val="00724B33"/>
    <w:rsid w:val="00726EA6"/>
    <w:rsid w:val="007356B3"/>
    <w:rsid w:val="0074221E"/>
    <w:rsid w:val="0074755F"/>
    <w:rsid w:val="00751B40"/>
    <w:rsid w:val="0075213E"/>
    <w:rsid w:val="00752444"/>
    <w:rsid w:val="007554B0"/>
    <w:rsid w:val="00756BD2"/>
    <w:rsid w:val="007577AA"/>
    <w:rsid w:val="0077716C"/>
    <w:rsid w:val="00780A82"/>
    <w:rsid w:val="00782A09"/>
    <w:rsid w:val="00782E9B"/>
    <w:rsid w:val="00793B86"/>
    <w:rsid w:val="007A4831"/>
    <w:rsid w:val="007A6406"/>
    <w:rsid w:val="007B0AA6"/>
    <w:rsid w:val="007B0E95"/>
    <w:rsid w:val="007B2FB7"/>
    <w:rsid w:val="007B45B3"/>
    <w:rsid w:val="007B6F7C"/>
    <w:rsid w:val="007C1888"/>
    <w:rsid w:val="007C39B9"/>
    <w:rsid w:val="007C3F4B"/>
    <w:rsid w:val="007D2D52"/>
    <w:rsid w:val="007D4070"/>
    <w:rsid w:val="007D4811"/>
    <w:rsid w:val="007D7ED3"/>
    <w:rsid w:val="007E26C5"/>
    <w:rsid w:val="007E3727"/>
    <w:rsid w:val="007E6AB4"/>
    <w:rsid w:val="007F0F86"/>
    <w:rsid w:val="007F17C0"/>
    <w:rsid w:val="007F6F9B"/>
    <w:rsid w:val="008003D0"/>
    <w:rsid w:val="0080248B"/>
    <w:rsid w:val="00804732"/>
    <w:rsid w:val="00806165"/>
    <w:rsid w:val="008063DB"/>
    <w:rsid w:val="00810AFF"/>
    <w:rsid w:val="00811B61"/>
    <w:rsid w:val="0082096B"/>
    <w:rsid w:val="0082103D"/>
    <w:rsid w:val="0082353C"/>
    <w:rsid w:val="00826150"/>
    <w:rsid w:val="00827AF3"/>
    <w:rsid w:val="0084600A"/>
    <w:rsid w:val="00846B24"/>
    <w:rsid w:val="008515BC"/>
    <w:rsid w:val="0085462D"/>
    <w:rsid w:val="00855A06"/>
    <w:rsid w:val="00856DD4"/>
    <w:rsid w:val="00870A40"/>
    <w:rsid w:val="00872E8F"/>
    <w:rsid w:val="0087477E"/>
    <w:rsid w:val="00876E3B"/>
    <w:rsid w:val="00877CD4"/>
    <w:rsid w:val="00881D96"/>
    <w:rsid w:val="00882868"/>
    <w:rsid w:val="00893A8D"/>
    <w:rsid w:val="0089609F"/>
    <w:rsid w:val="00896B62"/>
    <w:rsid w:val="008A054D"/>
    <w:rsid w:val="008A45A1"/>
    <w:rsid w:val="008A6FC0"/>
    <w:rsid w:val="008A7FC5"/>
    <w:rsid w:val="008C02B4"/>
    <w:rsid w:val="008C3055"/>
    <w:rsid w:val="008C440A"/>
    <w:rsid w:val="008D2F07"/>
    <w:rsid w:val="008D4054"/>
    <w:rsid w:val="008E770A"/>
    <w:rsid w:val="009025DB"/>
    <w:rsid w:val="00902E17"/>
    <w:rsid w:val="00906134"/>
    <w:rsid w:val="0091773B"/>
    <w:rsid w:val="00927ACB"/>
    <w:rsid w:val="00931C74"/>
    <w:rsid w:val="00934FA4"/>
    <w:rsid w:val="009372EA"/>
    <w:rsid w:val="00944809"/>
    <w:rsid w:val="00945FA8"/>
    <w:rsid w:val="0095335F"/>
    <w:rsid w:val="00953A86"/>
    <w:rsid w:val="00957BAD"/>
    <w:rsid w:val="0096542F"/>
    <w:rsid w:val="0096722A"/>
    <w:rsid w:val="00971FE2"/>
    <w:rsid w:val="00973A80"/>
    <w:rsid w:val="00981D91"/>
    <w:rsid w:val="00990603"/>
    <w:rsid w:val="009917C1"/>
    <w:rsid w:val="00991B41"/>
    <w:rsid w:val="00993A05"/>
    <w:rsid w:val="009956A6"/>
    <w:rsid w:val="009967EE"/>
    <w:rsid w:val="009976C8"/>
    <w:rsid w:val="009A2107"/>
    <w:rsid w:val="009A563A"/>
    <w:rsid w:val="009A65A8"/>
    <w:rsid w:val="009B22B9"/>
    <w:rsid w:val="009C6087"/>
    <w:rsid w:val="009D020A"/>
    <w:rsid w:val="009D4215"/>
    <w:rsid w:val="009D5AE1"/>
    <w:rsid w:val="009E4D17"/>
    <w:rsid w:val="009E5447"/>
    <w:rsid w:val="009F0536"/>
    <w:rsid w:val="009F69FF"/>
    <w:rsid w:val="00A00850"/>
    <w:rsid w:val="00A00E3B"/>
    <w:rsid w:val="00A102D8"/>
    <w:rsid w:val="00A12B62"/>
    <w:rsid w:val="00A13150"/>
    <w:rsid w:val="00A14B72"/>
    <w:rsid w:val="00A15B26"/>
    <w:rsid w:val="00A17278"/>
    <w:rsid w:val="00A33398"/>
    <w:rsid w:val="00A3358A"/>
    <w:rsid w:val="00A3485A"/>
    <w:rsid w:val="00A36A10"/>
    <w:rsid w:val="00A41A23"/>
    <w:rsid w:val="00A43BA8"/>
    <w:rsid w:val="00A461D9"/>
    <w:rsid w:val="00A60894"/>
    <w:rsid w:val="00A60CEB"/>
    <w:rsid w:val="00A6497B"/>
    <w:rsid w:val="00A65065"/>
    <w:rsid w:val="00A66EB2"/>
    <w:rsid w:val="00A74D42"/>
    <w:rsid w:val="00A7718C"/>
    <w:rsid w:val="00A81ED5"/>
    <w:rsid w:val="00A83852"/>
    <w:rsid w:val="00A83F14"/>
    <w:rsid w:val="00A87EB2"/>
    <w:rsid w:val="00A902C5"/>
    <w:rsid w:val="00A90EAE"/>
    <w:rsid w:val="00A91418"/>
    <w:rsid w:val="00A93C42"/>
    <w:rsid w:val="00AA218F"/>
    <w:rsid w:val="00AA6221"/>
    <w:rsid w:val="00AB0633"/>
    <w:rsid w:val="00AB1C2F"/>
    <w:rsid w:val="00AB2919"/>
    <w:rsid w:val="00AC00E5"/>
    <w:rsid w:val="00AC3362"/>
    <w:rsid w:val="00AC3BDE"/>
    <w:rsid w:val="00AC4131"/>
    <w:rsid w:val="00AC53BB"/>
    <w:rsid w:val="00AC5EF3"/>
    <w:rsid w:val="00AD507C"/>
    <w:rsid w:val="00AD5CAC"/>
    <w:rsid w:val="00AD6D29"/>
    <w:rsid w:val="00AF5108"/>
    <w:rsid w:val="00AF67B6"/>
    <w:rsid w:val="00B03DD4"/>
    <w:rsid w:val="00B0687A"/>
    <w:rsid w:val="00B072B6"/>
    <w:rsid w:val="00B10704"/>
    <w:rsid w:val="00B1307B"/>
    <w:rsid w:val="00B1396A"/>
    <w:rsid w:val="00B1584A"/>
    <w:rsid w:val="00B169B3"/>
    <w:rsid w:val="00B24D97"/>
    <w:rsid w:val="00B26F1B"/>
    <w:rsid w:val="00B547BA"/>
    <w:rsid w:val="00B5533E"/>
    <w:rsid w:val="00B574C0"/>
    <w:rsid w:val="00B61F26"/>
    <w:rsid w:val="00B64CFB"/>
    <w:rsid w:val="00B75766"/>
    <w:rsid w:val="00B76546"/>
    <w:rsid w:val="00B77E3B"/>
    <w:rsid w:val="00B82B8C"/>
    <w:rsid w:val="00B82DA7"/>
    <w:rsid w:val="00B837AA"/>
    <w:rsid w:val="00B83E45"/>
    <w:rsid w:val="00B8498E"/>
    <w:rsid w:val="00B91ED7"/>
    <w:rsid w:val="00B930A6"/>
    <w:rsid w:val="00BA3EC7"/>
    <w:rsid w:val="00BA4BC2"/>
    <w:rsid w:val="00BC1CCE"/>
    <w:rsid w:val="00BC4744"/>
    <w:rsid w:val="00BE11AA"/>
    <w:rsid w:val="00BE7AD7"/>
    <w:rsid w:val="00BF3171"/>
    <w:rsid w:val="00BF5542"/>
    <w:rsid w:val="00C007BB"/>
    <w:rsid w:val="00C049E6"/>
    <w:rsid w:val="00C06208"/>
    <w:rsid w:val="00C06558"/>
    <w:rsid w:val="00C067BD"/>
    <w:rsid w:val="00C1152C"/>
    <w:rsid w:val="00C13042"/>
    <w:rsid w:val="00C22938"/>
    <w:rsid w:val="00C335D0"/>
    <w:rsid w:val="00C36CF3"/>
    <w:rsid w:val="00C36D61"/>
    <w:rsid w:val="00C43B37"/>
    <w:rsid w:val="00C43FA7"/>
    <w:rsid w:val="00C46A68"/>
    <w:rsid w:val="00C5011F"/>
    <w:rsid w:val="00C56BA4"/>
    <w:rsid w:val="00C617F5"/>
    <w:rsid w:val="00C6619F"/>
    <w:rsid w:val="00C70A7E"/>
    <w:rsid w:val="00C72A11"/>
    <w:rsid w:val="00C76F0E"/>
    <w:rsid w:val="00C82E58"/>
    <w:rsid w:val="00C92C23"/>
    <w:rsid w:val="00CA30D3"/>
    <w:rsid w:val="00CC0D0F"/>
    <w:rsid w:val="00CC7962"/>
    <w:rsid w:val="00CD1437"/>
    <w:rsid w:val="00CD2964"/>
    <w:rsid w:val="00CD4E0B"/>
    <w:rsid w:val="00CD62DC"/>
    <w:rsid w:val="00CE554E"/>
    <w:rsid w:val="00CF04BD"/>
    <w:rsid w:val="00D0111D"/>
    <w:rsid w:val="00D02A77"/>
    <w:rsid w:val="00D04748"/>
    <w:rsid w:val="00D220B3"/>
    <w:rsid w:val="00D25F6A"/>
    <w:rsid w:val="00D27DA0"/>
    <w:rsid w:val="00D3115A"/>
    <w:rsid w:val="00D32762"/>
    <w:rsid w:val="00D355D9"/>
    <w:rsid w:val="00D41BD8"/>
    <w:rsid w:val="00D42EAF"/>
    <w:rsid w:val="00D52A91"/>
    <w:rsid w:val="00D55129"/>
    <w:rsid w:val="00D55B3E"/>
    <w:rsid w:val="00D57C9E"/>
    <w:rsid w:val="00D629D2"/>
    <w:rsid w:val="00D64E62"/>
    <w:rsid w:val="00D77042"/>
    <w:rsid w:val="00D849EA"/>
    <w:rsid w:val="00DB6D8D"/>
    <w:rsid w:val="00DC2D9C"/>
    <w:rsid w:val="00DD0171"/>
    <w:rsid w:val="00DD3F6A"/>
    <w:rsid w:val="00DD4A97"/>
    <w:rsid w:val="00DD53DA"/>
    <w:rsid w:val="00DD5B29"/>
    <w:rsid w:val="00DF4BBC"/>
    <w:rsid w:val="00DF697D"/>
    <w:rsid w:val="00DF7088"/>
    <w:rsid w:val="00E00BF0"/>
    <w:rsid w:val="00E01118"/>
    <w:rsid w:val="00E114E3"/>
    <w:rsid w:val="00E11C5C"/>
    <w:rsid w:val="00E140FC"/>
    <w:rsid w:val="00E151AE"/>
    <w:rsid w:val="00E15936"/>
    <w:rsid w:val="00E15AF5"/>
    <w:rsid w:val="00E15BAF"/>
    <w:rsid w:val="00E206F3"/>
    <w:rsid w:val="00E23380"/>
    <w:rsid w:val="00E24F37"/>
    <w:rsid w:val="00E2531A"/>
    <w:rsid w:val="00E2589E"/>
    <w:rsid w:val="00E32FFA"/>
    <w:rsid w:val="00E37CF0"/>
    <w:rsid w:val="00E4099A"/>
    <w:rsid w:val="00E41D8C"/>
    <w:rsid w:val="00E5438E"/>
    <w:rsid w:val="00E66901"/>
    <w:rsid w:val="00E74440"/>
    <w:rsid w:val="00E7486F"/>
    <w:rsid w:val="00E75AFF"/>
    <w:rsid w:val="00E76A33"/>
    <w:rsid w:val="00E8185D"/>
    <w:rsid w:val="00E85429"/>
    <w:rsid w:val="00E85AC5"/>
    <w:rsid w:val="00E873DB"/>
    <w:rsid w:val="00EA21CC"/>
    <w:rsid w:val="00EA3CD4"/>
    <w:rsid w:val="00EA4DC2"/>
    <w:rsid w:val="00EA629F"/>
    <w:rsid w:val="00EA744D"/>
    <w:rsid w:val="00EB18A7"/>
    <w:rsid w:val="00EC226E"/>
    <w:rsid w:val="00EC5E10"/>
    <w:rsid w:val="00EC6ADD"/>
    <w:rsid w:val="00EC7190"/>
    <w:rsid w:val="00ED3532"/>
    <w:rsid w:val="00ED3A3E"/>
    <w:rsid w:val="00ED43FB"/>
    <w:rsid w:val="00ED6B46"/>
    <w:rsid w:val="00EE0DF0"/>
    <w:rsid w:val="00EE6620"/>
    <w:rsid w:val="00EF2FCB"/>
    <w:rsid w:val="00EF3186"/>
    <w:rsid w:val="00EF4B61"/>
    <w:rsid w:val="00F035C2"/>
    <w:rsid w:val="00F05530"/>
    <w:rsid w:val="00F1777F"/>
    <w:rsid w:val="00F226BA"/>
    <w:rsid w:val="00F227D2"/>
    <w:rsid w:val="00F42A36"/>
    <w:rsid w:val="00F50A5E"/>
    <w:rsid w:val="00F70CE4"/>
    <w:rsid w:val="00F77F57"/>
    <w:rsid w:val="00F84D73"/>
    <w:rsid w:val="00F8583A"/>
    <w:rsid w:val="00F95E0E"/>
    <w:rsid w:val="00FA3DA7"/>
    <w:rsid w:val="00FA53E0"/>
    <w:rsid w:val="00FA7020"/>
    <w:rsid w:val="00FB46DE"/>
    <w:rsid w:val="00FB66FB"/>
    <w:rsid w:val="00FB6CD5"/>
    <w:rsid w:val="00FB754D"/>
    <w:rsid w:val="00FB7D05"/>
    <w:rsid w:val="00FC066A"/>
    <w:rsid w:val="00FC12C3"/>
    <w:rsid w:val="00FC2157"/>
    <w:rsid w:val="00FC4E13"/>
    <w:rsid w:val="00FD1EA2"/>
    <w:rsid w:val="00FD4D2E"/>
    <w:rsid w:val="00FE1CE1"/>
    <w:rsid w:val="00FE33E0"/>
    <w:rsid w:val="00FE70CF"/>
    <w:rsid w:val="00FE768A"/>
    <w:rsid w:val="00FF0CF0"/>
    <w:rsid w:val="00FF1555"/>
    <w:rsid w:val="00FF6AF4"/>
    <w:rsid w:val="03D74C99"/>
    <w:rsid w:val="04867F58"/>
    <w:rsid w:val="063C0F7B"/>
    <w:rsid w:val="0AD46352"/>
    <w:rsid w:val="106B129B"/>
    <w:rsid w:val="1152536B"/>
    <w:rsid w:val="19A11867"/>
    <w:rsid w:val="1A376040"/>
    <w:rsid w:val="1C2D1A85"/>
    <w:rsid w:val="1D857F7C"/>
    <w:rsid w:val="1E5D5D27"/>
    <w:rsid w:val="1FCA6FDD"/>
    <w:rsid w:val="2164050B"/>
    <w:rsid w:val="22181964"/>
    <w:rsid w:val="25F17CCE"/>
    <w:rsid w:val="2C3D4920"/>
    <w:rsid w:val="34C9402B"/>
    <w:rsid w:val="34F266A5"/>
    <w:rsid w:val="365A2503"/>
    <w:rsid w:val="3AC41D77"/>
    <w:rsid w:val="3C4F579B"/>
    <w:rsid w:val="3C5E6903"/>
    <w:rsid w:val="41AA3E63"/>
    <w:rsid w:val="44BB7EBA"/>
    <w:rsid w:val="57723A6D"/>
    <w:rsid w:val="59166814"/>
    <w:rsid w:val="591A2C0E"/>
    <w:rsid w:val="5B185506"/>
    <w:rsid w:val="5B2E0D0C"/>
    <w:rsid w:val="5D2A05E8"/>
    <w:rsid w:val="61A55953"/>
    <w:rsid w:val="633249F7"/>
    <w:rsid w:val="648F4206"/>
    <w:rsid w:val="66DD014F"/>
    <w:rsid w:val="679A1396"/>
    <w:rsid w:val="6A0F7EA6"/>
    <w:rsid w:val="6A713A2E"/>
    <w:rsid w:val="6CA756BD"/>
    <w:rsid w:val="720A66DF"/>
    <w:rsid w:val="73C80EB0"/>
    <w:rsid w:val="74520FC7"/>
    <w:rsid w:val="75A7778C"/>
    <w:rsid w:val="76325C4C"/>
    <w:rsid w:val="7BCA2F07"/>
    <w:rsid w:val="7FD939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9"/>
    <w:qFormat/>
    <w:uiPriority w:val="0"/>
    <w:pPr>
      <w:keepNext/>
      <w:keepLines/>
      <w:adjustRightInd w:val="0"/>
      <w:snapToGrid w:val="0"/>
      <w:spacing w:line="360" w:lineRule="auto"/>
      <w:outlineLvl w:val="1"/>
    </w:pPr>
    <w:rPr>
      <w:rFonts w:ascii="宋体" w:hAnsi="宋体"/>
      <w:sz w:val="28"/>
      <w:szCs w:val="20"/>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0"/>
    <w:pPr>
      <w:jc w:val="left"/>
    </w:pPr>
  </w:style>
  <w:style w:type="paragraph" w:styleId="4">
    <w:name w:val="Body Text Indent"/>
    <w:basedOn w:val="1"/>
    <w:link w:val="21"/>
    <w:qFormat/>
    <w:uiPriority w:val="0"/>
    <w:pPr>
      <w:spacing w:after="120"/>
      <w:ind w:left="420" w:leftChars="200"/>
    </w:pPr>
    <w:rPr>
      <w:sz w:val="28"/>
      <w:szCs w:val="20"/>
    </w:rPr>
  </w:style>
  <w:style w:type="paragraph" w:styleId="5">
    <w:name w:val="Date"/>
    <w:basedOn w:val="1"/>
    <w:next w:val="1"/>
    <w:link w:val="22"/>
    <w:qFormat/>
    <w:uiPriority w:val="0"/>
    <w:rPr>
      <w:kern w:val="0"/>
      <w:sz w:val="28"/>
      <w:szCs w:val="20"/>
    </w:rPr>
  </w:style>
  <w:style w:type="paragraph" w:styleId="6">
    <w:name w:val="Balloon Text"/>
    <w:basedOn w:val="1"/>
    <w:link w:val="30"/>
    <w:semiHidden/>
    <w:unhideWhenUsed/>
    <w:qFormat/>
    <w:uiPriority w:val="99"/>
    <w:rPr>
      <w:sz w:val="18"/>
      <w:szCs w:val="18"/>
    </w:rPr>
  </w:style>
  <w:style w:type="paragraph" w:styleId="7">
    <w:name w:val="footer"/>
    <w:basedOn w:val="1"/>
    <w:link w:val="23"/>
    <w:qFormat/>
    <w:uiPriority w:val="0"/>
    <w:pPr>
      <w:tabs>
        <w:tab w:val="center" w:pos="4153"/>
        <w:tab w:val="right" w:pos="8306"/>
      </w:tabs>
      <w:snapToGrid w:val="0"/>
      <w:jc w:val="left"/>
    </w:pPr>
    <w:rPr>
      <w:sz w:val="18"/>
      <w:szCs w:val="18"/>
    </w:rPr>
  </w:style>
  <w:style w:type="paragraph" w:styleId="8">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2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0">
    <w:name w:val="Normal (Web)"/>
    <w:basedOn w:val="1"/>
    <w:qFormat/>
    <w:uiPriority w:val="0"/>
    <w:pPr>
      <w:spacing w:before="100" w:beforeAutospacing="1" w:after="100" w:afterAutospacing="1"/>
      <w:jc w:val="left"/>
    </w:pPr>
    <w:rPr>
      <w:kern w:val="0"/>
      <w:sz w:val="24"/>
    </w:rPr>
  </w:style>
  <w:style w:type="character" w:styleId="13">
    <w:name w:val="Strong"/>
    <w:basedOn w:val="12"/>
    <w:qFormat/>
    <w:uiPriority w:val="0"/>
    <w:rPr>
      <w:b/>
      <w:bCs/>
    </w:rPr>
  </w:style>
  <w:style w:type="character" w:styleId="14">
    <w:name w:val="page number"/>
    <w:basedOn w:val="12"/>
    <w:qFormat/>
    <w:uiPriority w:val="0"/>
  </w:style>
  <w:style w:type="character" w:styleId="15">
    <w:name w:val="Hyperlink"/>
    <w:basedOn w:val="12"/>
    <w:unhideWhenUsed/>
    <w:qFormat/>
    <w:uiPriority w:val="99"/>
    <w:rPr>
      <w:color w:val="0000FF" w:themeColor="hyperlink"/>
      <w:u w:val="single"/>
    </w:rPr>
  </w:style>
  <w:style w:type="paragraph" w:customStyle="1" w:styleId="16">
    <w:name w:val="列出段落1"/>
    <w:basedOn w:val="1"/>
    <w:qFormat/>
    <w:uiPriority w:val="34"/>
    <w:pPr>
      <w:ind w:firstLine="420" w:firstLineChars="200"/>
    </w:pPr>
  </w:style>
  <w:style w:type="paragraph" w:customStyle="1" w:styleId="17">
    <w:name w:val="列出段落11"/>
    <w:basedOn w:val="1"/>
    <w:qFormat/>
    <w:uiPriority w:val="0"/>
    <w:pPr>
      <w:ind w:firstLine="420" w:firstLineChars="200"/>
    </w:pPr>
  </w:style>
  <w:style w:type="paragraph" w:customStyle="1" w:styleId="18">
    <w:name w:val="_Style 3"/>
    <w:basedOn w:val="1"/>
    <w:qFormat/>
    <w:uiPriority w:val="99"/>
    <w:pPr>
      <w:ind w:firstLine="200" w:firstLineChars="200"/>
    </w:pPr>
    <w:rPr>
      <w:rFonts w:ascii="Calibri" w:hAnsi="Calibri"/>
      <w:szCs w:val="22"/>
    </w:rPr>
  </w:style>
  <w:style w:type="character" w:customStyle="1" w:styleId="19">
    <w:name w:val="标题 2 Char"/>
    <w:basedOn w:val="12"/>
    <w:link w:val="2"/>
    <w:qFormat/>
    <w:uiPriority w:val="0"/>
    <w:rPr>
      <w:rFonts w:ascii="宋体" w:hAnsi="宋体" w:eastAsia="宋体" w:cs="Times New Roman"/>
      <w:sz w:val="28"/>
      <w:szCs w:val="20"/>
    </w:rPr>
  </w:style>
  <w:style w:type="character" w:customStyle="1" w:styleId="20">
    <w:name w:val="批注文字 Char"/>
    <w:basedOn w:val="12"/>
    <w:link w:val="3"/>
    <w:qFormat/>
    <w:uiPriority w:val="0"/>
    <w:rPr>
      <w:rFonts w:ascii="Times New Roman" w:hAnsi="Times New Roman" w:eastAsia="宋体" w:cs="Times New Roman"/>
      <w:szCs w:val="24"/>
    </w:rPr>
  </w:style>
  <w:style w:type="character" w:customStyle="1" w:styleId="21">
    <w:name w:val="正文文本缩进 Char"/>
    <w:basedOn w:val="12"/>
    <w:link w:val="4"/>
    <w:qFormat/>
    <w:uiPriority w:val="0"/>
    <w:rPr>
      <w:rFonts w:ascii="Times New Roman" w:hAnsi="Times New Roman" w:eastAsia="宋体" w:cs="Times New Roman"/>
      <w:sz w:val="28"/>
      <w:szCs w:val="20"/>
    </w:rPr>
  </w:style>
  <w:style w:type="character" w:customStyle="1" w:styleId="22">
    <w:name w:val="日期 Char"/>
    <w:basedOn w:val="12"/>
    <w:link w:val="5"/>
    <w:qFormat/>
    <w:uiPriority w:val="0"/>
    <w:rPr>
      <w:rFonts w:ascii="Times New Roman" w:hAnsi="Times New Roman" w:eastAsia="宋体" w:cs="Times New Roman"/>
      <w:kern w:val="0"/>
      <w:sz w:val="28"/>
      <w:szCs w:val="20"/>
    </w:rPr>
  </w:style>
  <w:style w:type="character" w:customStyle="1" w:styleId="23">
    <w:name w:val="页脚 Char"/>
    <w:basedOn w:val="12"/>
    <w:link w:val="7"/>
    <w:qFormat/>
    <w:uiPriority w:val="0"/>
    <w:rPr>
      <w:rFonts w:ascii="Times New Roman" w:hAnsi="Times New Roman" w:eastAsia="宋体" w:cs="Times New Roman"/>
      <w:sz w:val="18"/>
      <w:szCs w:val="18"/>
    </w:rPr>
  </w:style>
  <w:style w:type="character" w:customStyle="1" w:styleId="24">
    <w:name w:val="页眉 Char"/>
    <w:basedOn w:val="12"/>
    <w:link w:val="8"/>
    <w:qFormat/>
    <w:uiPriority w:val="0"/>
    <w:rPr>
      <w:rFonts w:ascii="Times New Roman" w:hAnsi="Times New Roman" w:eastAsia="宋体" w:cs="Times New Roman"/>
      <w:sz w:val="18"/>
      <w:szCs w:val="18"/>
    </w:rPr>
  </w:style>
  <w:style w:type="character" w:customStyle="1" w:styleId="25">
    <w:name w:val="日期 Char1"/>
    <w:basedOn w:val="12"/>
    <w:semiHidden/>
    <w:qFormat/>
    <w:uiPriority w:val="99"/>
    <w:rPr>
      <w:rFonts w:ascii="Times New Roman" w:hAnsi="Times New Roman" w:eastAsia="宋体" w:cs="Times New Roman"/>
      <w:szCs w:val="24"/>
    </w:rPr>
  </w:style>
  <w:style w:type="character" w:customStyle="1" w:styleId="26">
    <w:name w:val="txt1"/>
    <w:basedOn w:val="12"/>
    <w:qFormat/>
    <w:uiPriority w:val="0"/>
    <w:rPr>
      <w:rFonts w:hint="eastAsia" w:ascii="宋体" w:hAnsi="宋体" w:eastAsia="宋体"/>
      <w:sz w:val="22"/>
      <w:szCs w:val="22"/>
    </w:rPr>
  </w:style>
  <w:style w:type="character" w:customStyle="1" w:styleId="27">
    <w:name w:val="HTML 预设格式 Char"/>
    <w:basedOn w:val="12"/>
    <w:link w:val="9"/>
    <w:qFormat/>
    <w:uiPriority w:val="0"/>
    <w:rPr>
      <w:rFonts w:ascii="宋体" w:hAnsi="宋体" w:cs="宋体"/>
      <w:sz w:val="24"/>
      <w:szCs w:val="24"/>
    </w:rPr>
  </w:style>
  <w:style w:type="paragraph" w:customStyle="1" w:styleId="28">
    <w:name w:val="p15"/>
    <w:basedOn w:val="1"/>
    <w:qFormat/>
    <w:uiPriority w:val="0"/>
    <w:pPr>
      <w:widowControl/>
    </w:pPr>
    <w:rPr>
      <w:kern w:val="0"/>
      <w:szCs w:val="21"/>
    </w:rPr>
  </w:style>
  <w:style w:type="paragraph" w:styleId="29">
    <w:name w:val="List Paragraph"/>
    <w:basedOn w:val="1"/>
    <w:unhideWhenUsed/>
    <w:qFormat/>
    <w:uiPriority w:val="99"/>
    <w:pPr>
      <w:ind w:firstLine="420" w:firstLineChars="200"/>
    </w:pPr>
  </w:style>
  <w:style w:type="character" w:customStyle="1" w:styleId="30">
    <w:name w:val="批注框文本 Char"/>
    <w:basedOn w:val="12"/>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26</Pages>
  <Words>15020</Words>
  <Characters>15563</Characters>
  <Lines>24</Lines>
  <Paragraphs>36</Paragraphs>
  <TotalTime>3</TotalTime>
  <ScaleCrop>false</ScaleCrop>
  <LinksUpToDate>false</LinksUpToDate>
  <CharactersWithSpaces>16004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2020-06-28T05:05:00Z</dcterms:created>
  <dc:creator>gfreyt</dc:creator>
  <cp:lastModifiedBy>萧萧夜月风</cp:lastModifiedBy>
  <cp:lastPrinted>2021-01-08T01:39:00Z</cp:lastPrinted>
  <dcterms:modified xsi:type="dcterms:W3CDTF">2024-11-05T04:25:53Z</dcterms:modified>
  <dc:title>政府采购</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36E6E9E9F49F4041A7159D431881CB05</vt:lpwstr>
  </property>
</Properties>
</file>