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67488">
      <w:pPr>
        <w:spacing w:line="1600" w:lineRule="exact"/>
        <w:jc w:val="center"/>
        <w:rPr>
          <w:rFonts w:ascii="宋体" w:hAnsi="宋体"/>
          <w:color w:val="000000"/>
          <w:sz w:val="84"/>
          <w:szCs w:val="84"/>
        </w:rPr>
      </w:pPr>
      <w:bookmarkStart w:id="43" w:name="_GoBack"/>
      <w:bookmarkEnd w:id="43"/>
    </w:p>
    <w:p w14:paraId="0C759584">
      <w:pPr>
        <w:spacing w:line="1600" w:lineRule="exact"/>
        <w:jc w:val="center"/>
        <w:rPr>
          <w:rFonts w:ascii="宋体" w:hAnsi="宋体"/>
          <w:color w:val="000000"/>
          <w:sz w:val="84"/>
          <w:szCs w:val="84"/>
        </w:rPr>
      </w:pPr>
      <w:r>
        <w:rPr>
          <w:rFonts w:hint="eastAsia" w:ascii="宋体" w:hAnsi="宋体"/>
          <w:color w:val="000000"/>
          <w:sz w:val="84"/>
          <w:szCs w:val="84"/>
        </w:rPr>
        <w:t>招 标 文 件</w:t>
      </w:r>
    </w:p>
    <w:p w14:paraId="1F463614">
      <w:pPr>
        <w:spacing w:line="1600" w:lineRule="exact"/>
        <w:jc w:val="center"/>
        <w:rPr>
          <w:rFonts w:ascii="宋体" w:hAnsi="宋体"/>
          <w:color w:val="000000"/>
          <w:sz w:val="84"/>
          <w:szCs w:val="84"/>
        </w:rPr>
      </w:pPr>
    </w:p>
    <w:p w14:paraId="0FA5F13B">
      <w:pPr>
        <w:spacing w:line="600" w:lineRule="exact"/>
        <w:rPr>
          <w:rFonts w:ascii="宋体" w:hAnsi="宋体"/>
          <w:color w:val="000000"/>
          <w:sz w:val="84"/>
          <w:szCs w:val="84"/>
        </w:rPr>
      </w:pPr>
      <w:r>
        <w:rPr>
          <w:rFonts w:hint="eastAsia" w:ascii="仿宋_GB2312" w:eastAsia="仿宋_GB2312"/>
          <w:color w:val="000000"/>
          <w:sz w:val="32"/>
          <w:szCs w:val="32"/>
        </w:rPr>
        <w:t>项目名称：</w:t>
      </w:r>
      <w:r>
        <w:rPr>
          <w:rFonts w:hint="eastAsia" w:ascii="仿宋_GB2312" w:eastAsia="仿宋_GB2312"/>
          <w:color w:val="000000"/>
          <w:sz w:val="32"/>
          <w:szCs w:val="32"/>
          <w:lang w:eastAsia="zh-CN"/>
        </w:rPr>
        <w:t>潼南金福岛万达广场文旅小镇项目（一期）南地块</w:t>
      </w:r>
      <w:r>
        <w:rPr>
          <w:rFonts w:hint="eastAsia" w:ascii="仿宋_GB2312" w:eastAsia="仿宋_GB2312"/>
          <w:color w:val="000000"/>
          <w:sz w:val="32"/>
          <w:szCs w:val="32"/>
        </w:rPr>
        <w:t>项目前期物业管理服务</w:t>
      </w:r>
    </w:p>
    <w:p w14:paraId="6ED5D3AA">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招标编号：</w:t>
      </w:r>
      <w:r>
        <w:rPr>
          <w:rFonts w:hint="eastAsia" w:ascii="仿宋_GB2312" w:eastAsia="仿宋_GB2312"/>
          <w:sz w:val="32"/>
          <w:szCs w:val="32"/>
        </w:rPr>
        <w:t>WFD202</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-1</w:t>
      </w:r>
    </w:p>
    <w:p w14:paraId="6B3E7D8A">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14:paraId="47D9A482">
      <w:pPr>
        <w:spacing w:before="100" w:beforeAutospacing="1" w:after="100" w:afterAutospacing="1"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6D924766">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2FF3B957">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4A55255C">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01007844">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62ABDCAC">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   标   人：重庆万涪达置业有限公司</w:t>
      </w:r>
    </w:p>
    <w:p w14:paraId="10DCBF66">
      <w:pPr>
        <w:spacing w:line="500" w:lineRule="exact"/>
        <w:ind w:firstLine="1050" w:firstLineChars="350"/>
        <w:rPr>
          <w:rFonts w:ascii="仿宋_GB2312" w:eastAsia="仿宋_GB2312"/>
          <w:color w:val="000000"/>
          <w:sz w:val="30"/>
          <w:szCs w:val="30"/>
        </w:rPr>
      </w:pPr>
    </w:p>
    <w:p w14:paraId="2C2D20FC">
      <w:pPr>
        <w:keepNext/>
        <w:snapToGrid w:val="0"/>
        <w:spacing w:beforeLines="100" w:afterLines="50" w:line="800" w:lineRule="atLeast"/>
        <w:jc w:val="center"/>
        <w:outlineLvl w:val="0"/>
        <w:rPr>
          <w:rFonts w:ascii="仿宋_GB2312" w:eastAsia="仿宋_GB2312"/>
          <w:b/>
          <w:bCs/>
          <w:color w:val="000000"/>
          <w:sz w:val="32"/>
          <w:szCs w:val="32"/>
        </w:rPr>
      </w:pPr>
      <w:r>
        <w:rPr>
          <w:rFonts w:hint="eastAsia" w:ascii="仿宋_GB2312" w:eastAsia="仿宋_GB2312"/>
          <w:b/>
          <w:bCs/>
          <w:color w:val="000000"/>
          <w:sz w:val="32"/>
          <w:szCs w:val="32"/>
        </w:rPr>
        <w:t>202</w:t>
      </w:r>
      <w:r>
        <w:rPr>
          <w:rFonts w:hint="eastAsia" w:ascii="仿宋_GB2312" w:eastAsia="仿宋_GB2312"/>
          <w:b/>
          <w:bCs/>
          <w:color w:val="000000"/>
          <w:sz w:val="32"/>
          <w:szCs w:val="32"/>
          <w:lang w:val="en-US" w:eastAsia="zh-CN"/>
        </w:rPr>
        <w:t>1</w:t>
      </w:r>
      <w:r>
        <w:rPr>
          <w:rFonts w:hint="eastAsia" w:ascii="仿宋_GB2312" w:eastAsia="仿宋_GB2312"/>
          <w:b/>
          <w:bCs/>
          <w:color w:val="000000"/>
          <w:sz w:val="32"/>
          <w:szCs w:val="32"/>
        </w:rPr>
        <w:t>年</w:t>
      </w:r>
      <w:r>
        <w:rPr>
          <w:rFonts w:hint="eastAsia" w:ascii="仿宋_GB2312" w:eastAsia="仿宋_GB2312"/>
          <w:b/>
          <w:bCs/>
          <w:color w:val="000000"/>
          <w:sz w:val="32"/>
          <w:szCs w:val="32"/>
          <w:lang w:val="en-US" w:eastAsia="zh-CN"/>
        </w:rPr>
        <w:t>5</w:t>
      </w:r>
      <w:r>
        <w:rPr>
          <w:rFonts w:hint="eastAsia" w:ascii="仿宋_GB2312" w:eastAsia="仿宋_GB2312"/>
          <w:b/>
          <w:bCs/>
          <w:color w:val="000000"/>
          <w:sz w:val="32"/>
          <w:szCs w:val="32"/>
        </w:rPr>
        <w:t>月</w:t>
      </w:r>
    </w:p>
    <w:p w14:paraId="4D40FD54">
      <w:pPr>
        <w:widowControl/>
        <w:jc w:val="left"/>
        <w:rPr>
          <w:rFonts w:ascii="宋体" w:hAnsi="宋体" w:cs="宋体"/>
          <w:color w:val="000000"/>
          <w:sz w:val="32"/>
          <w:szCs w:val="32"/>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14:paraId="5A0920AE">
      <w:pPr>
        <w:snapToGrid w:val="0"/>
        <w:spacing w:line="500" w:lineRule="exact"/>
        <w:jc w:val="center"/>
        <w:rPr>
          <w:rFonts w:ascii="宋体" w:hAnsi="宋体"/>
          <w:color w:val="000000"/>
          <w:sz w:val="32"/>
          <w:szCs w:val="32"/>
        </w:rPr>
      </w:pPr>
      <w:r>
        <w:rPr>
          <w:rFonts w:hint="eastAsia" w:ascii="宋体" w:hAnsi="宋体"/>
          <w:color w:val="000000"/>
          <w:sz w:val="32"/>
          <w:szCs w:val="32"/>
        </w:rPr>
        <w:t>目    录</w:t>
      </w:r>
    </w:p>
    <w:p w14:paraId="27ED1778">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14:paraId="51ECE859">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6</w:t>
      </w:r>
    </w:p>
    <w:p w14:paraId="0E70A105">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7</w:t>
      </w:r>
    </w:p>
    <w:p w14:paraId="05EAFF23">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14:paraId="454EA5E7">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14:paraId="70E68E52">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14:paraId="383CD804">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14:paraId="70B3215C">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14:paraId="5D98EE61">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14:paraId="3F338180">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14:paraId="29044D19">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14:paraId="5B6D3027">
      <w:pPr>
        <w:spacing w:before="100" w:beforeAutospacing="1" w:after="100" w:afterAutospacing="1"/>
        <w:ind w:left="280"/>
        <w:jc w:val="left"/>
        <w:rPr>
          <w:rFonts w:hint="eastAsia" w:ascii="宋体" w:hAnsi="宋体" w:eastAsia="宋体"/>
          <w:color w:val="000000"/>
          <w:szCs w:val="21"/>
          <w:lang w:eastAsia="zh-CN"/>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lang w:val="en-US" w:eastAsia="zh-CN"/>
        </w:rPr>
        <w:t>9</w:t>
      </w:r>
    </w:p>
    <w:p w14:paraId="79639602">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14:paraId="4155686C">
      <w:pPr>
        <w:spacing w:before="120" w:after="120"/>
        <w:jc w:val="left"/>
        <w:rPr>
          <w:rFonts w:hint="eastAsia" w:eastAsia="宋体"/>
          <w:color w:val="000000"/>
          <w:szCs w:val="21"/>
          <w:lang w:eastAsia="zh-CN"/>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w:t>
      </w:r>
      <w:r>
        <w:rPr>
          <w:rFonts w:hint="eastAsia" w:ascii="宋体" w:hAnsi="宋体"/>
          <w:caps/>
          <w:color w:val="000000"/>
          <w:szCs w:val="21"/>
          <w:lang w:val="en-US" w:eastAsia="zh-CN"/>
        </w:rPr>
        <w:t>0</w:t>
      </w:r>
    </w:p>
    <w:p w14:paraId="576198F6">
      <w:pPr>
        <w:spacing w:before="100" w:beforeAutospacing="1" w:after="100" w:afterAutospacing="1"/>
        <w:ind w:left="280"/>
        <w:jc w:val="left"/>
        <w:rPr>
          <w:rFonts w:hint="default" w:eastAsia="宋体"/>
          <w:color w:val="000000"/>
          <w:szCs w:val="21"/>
          <w:lang w:val="en-US" w:eastAsia="zh-CN"/>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lang w:val="en-US" w:eastAsia="zh-CN"/>
        </w:rPr>
        <w:t>10</w:t>
      </w:r>
    </w:p>
    <w:p w14:paraId="2F0B0697">
      <w:pPr>
        <w:spacing w:before="100" w:beforeAutospacing="1" w:after="100" w:afterAutospacing="1"/>
        <w:ind w:left="280"/>
        <w:jc w:val="left"/>
        <w:rPr>
          <w:rFonts w:hint="default" w:eastAsia="宋体"/>
          <w:color w:val="000000"/>
          <w:szCs w:val="21"/>
          <w:lang w:val="en-US" w:eastAsia="zh-CN"/>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lang w:val="en-US" w:eastAsia="zh-CN"/>
        </w:rPr>
        <w:t>10</w:t>
      </w:r>
    </w:p>
    <w:p w14:paraId="575F99B4">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w:t>
      </w:r>
      <w:r>
        <w:rPr>
          <w:rFonts w:hint="eastAsia" w:ascii="宋体" w:hAnsi="宋体"/>
          <w:smallCaps/>
          <w:color w:val="000000"/>
          <w:szCs w:val="21"/>
          <w:lang w:val="en-US" w:eastAsia="zh-CN"/>
        </w:rPr>
        <w:t>0</w:t>
      </w:r>
    </w:p>
    <w:p w14:paraId="6416B582">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668EDE09">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14:paraId="0E4E060D">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w:t>
      </w:r>
      <w:r>
        <w:rPr>
          <w:rFonts w:hint="eastAsia"/>
          <w:smallCaps/>
          <w:color w:val="000000"/>
          <w:szCs w:val="21"/>
          <w:lang w:val="en-US" w:eastAsia="zh-CN"/>
        </w:rPr>
        <w:t>2</w:t>
      </w:r>
    </w:p>
    <w:p w14:paraId="381B28A9">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w:t>
      </w:r>
      <w:r>
        <w:rPr>
          <w:rFonts w:hint="eastAsia"/>
          <w:smallCaps/>
          <w:color w:val="000000"/>
          <w:szCs w:val="21"/>
          <w:lang w:val="en-US" w:eastAsia="zh-CN"/>
        </w:rPr>
        <w:t>2</w:t>
      </w:r>
    </w:p>
    <w:p w14:paraId="58CA2C7B">
      <w:pPr>
        <w:spacing w:before="100" w:beforeAutospacing="1" w:after="100" w:afterAutospacing="1"/>
        <w:ind w:left="280"/>
        <w:jc w:val="left"/>
        <w:rPr>
          <w:rFonts w:hint="default" w:eastAsia="宋体"/>
          <w:color w:val="000000"/>
          <w:szCs w:val="21"/>
          <w:lang w:val="en-US" w:eastAsia="zh-CN"/>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lang w:val="en-US" w:eastAsia="zh-CN"/>
        </w:rPr>
        <w:t>12</w:t>
      </w:r>
    </w:p>
    <w:p w14:paraId="31FD9DB5">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w:t>
      </w:r>
      <w:r>
        <w:rPr>
          <w:rFonts w:hint="eastAsia"/>
          <w:smallCaps/>
          <w:color w:val="000000"/>
          <w:szCs w:val="21"/>
          <w:lang w:val="en-US" w:eastAsia="zh-CN"/>
        </w:rPr>
        <w:t>3</w:t>
      </w:r>
    </w:p>
    <w:p w14:paraId="2FF8D74A">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w:t>
      </w:r>
      <w:r>
        <w:rPr>
          <w:rFonts w:hint="eastAsia"/>
          <w:smallCaps/>
          <w:color w:val="000000"/>
          <w:szCs w:val="21"/>
          <w:lang w:val="en-US" w:eastAsia="zh-CN"/>
        </w:rPr>
        <w:t>3</w:t>
      </w:r>
    </w:p>
    <w:p w14:paraId="3FAC04C3">
      <w:pPr>
        <w:spacing w:before="120" w:after="120"/>
        <w:jc w:val="left"/>
        <w:rPr>
          <w:rFonts w:hint="eastAsia" w:eastAsia="宋体"/>
          <w:color w:val="000000"/>
          <w:szCs w:val="21"/>
          <w:lang w:eastAsia="zh-CN"/>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w:t>
      </w:r>
      <w:r>
        <w:rPr>
          <w:rFonts w:hint="eastAsia"/>
          <w:caps/>
          <w:color w:val="000000"/>
          <w:szCs w:val="21"/>
          <w:lang w:val="en-US" w:eastAsia="zh-CN"/>
        </w:rPr>
        <w:t>4</w:t>
      </w:r>
    </w:p>
    <w:p w14:paraId="2A4A63E1">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14:paraId="589D2F6E">
      <w:pPr>
        <w:spacing w:before="100" w:beforeAutospacing="1" w:after="100" w:afterAutospacing="1"/>
        <w:ind w:left="280"/>
        <w:jc w:val="left"/>
        <w:rPr>
          <w:rFonts w:hint="eastAsia" w:eastAsia="宋体"/>
          <w:color w:val="000000"/>
          <w:szCs w:val="21"/>
          <w:lang w:eastAsia="zh-CN"/>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w:t>
      </w:r>
      <w:r>
        <w:rPr>
          <w:rFonts w:hint="eastAsia"/>
          <w:smallCaps/>
          <w:color w:val="000000"/>
          <w:szCs w:val="21"/>
          <w:lang w:val="en-US" w:eastAsia="zh-CN"/>
        </w:rPr>
        <w:t>1</w:t>
      </w:r>
    </w:p>
    <w:p w14:paraId="323386B7">
      <w:pPr>
        <w:spacing w:before="100" w:beforeAutospacing="1" w:after="100" w:afterAutospacing="1"/>
        <w:ind w:left="280"/>
        <w:jc w:val="left"/>
        <w:rPr>
          <w:rFonts w:hint="eastAsia" w:eastAsia="宋体"/>
          <w:color w:val="000000"/>
          <w:szCs w:val="21"/>
          <w:lang w:val="en-US" w:eastAsia="zh-CN"/>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w:t>
      </w:r>
      <w:r>
        <w:rPr>
          <w:rFonts w:hint="eastAsia"/>
          <w:smallCaps/>
          <w:color w:val="000000"/>
          <w:szCs w:val="21"/>
          <w:lang w:val="en-US" w:eastAsia="zh-CN"/>
        </w:rPr>
        <w:t>2</w:t>
      </w:r>
    </w:p>
    <w:p w14:paraId="4B6DB1B1">
      <w:pPr>
        <w:spacing w:before="100" w:beforeAutospacing="1" w:after="100" w:afterAutospacing="1"/>
        <w:ind w:left="280"/>
        <w:jc w:val="left"/>
        <w:rPr>
          <w:rFonts w:hint="eastAsia" w:ascii="宋体" w:hAnsi="宋体" w:eastAsia="宋体"/>
          <w:color w:val="000000"/>
          <w:szCs w:val="21"/>
          <w:lang w:val="en-US" w:eastAsia="zh-CN"/>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w:t>
      </w:r>
      <w:r>
        <w:rPr>
          <w:rFonts w:hint="eastAsia" w:ascii="宋体" w:hAnsi="宋体"/>
          <w:smallCaps/>
          <w:color w:val="000000"/>
          <w:szCs w:val="21"/>
          <w:lang w:val="en-US" w:eastAsia="zh-CN"/>
        </w:rPr>
        <w:t>3</w:t>
      </w:r>
    </w:p>
    <w:p w14:paraId="337C7C69">
      <w:pPr>
        <w:spacing w:before="100" w:beforeAutospacing="1" w:after="100" w:afterAutospacing="1"/>
        <w:ind w:left="280"/>
        <w:jc w:val="left"/>
        <w:rPr>
          <w:rFonts w:hint="eastAsia" w:ascii="宋体" w:hAnsi="宋体" w:eastAsia="宋体"/>
          <w:smallCaps/>
          <w:color w:val="000000"/>
          <w:szCs w:val="21"/>
          <w:lang w:val="en-US" w:eastAsia="zh-CN"/>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w:t>
      </w:r>
      <w:r>
        <w:rPr>
          <w:rFonts w:hint="eastAsia" w:ascii="宋体" w:hAnsi="宋体"/>
          <w:smallCaps/>
          <w:color w:val="000000"/>
          <w:szCs w:val="21"/>
          <w:lang w:val="en-US" w:eastAsia="zh-CN"/>
        </w:rPr>
        <w:t>4</w:t>
      </w:r>
    </w:p>
    <w:p w14:paraId="520D857C">
      <w:pPr>
        <w:spacing w:before="100" w:beforeAutospacing="1" w:after="100" w:afterAutospacing="1"/>
        <w:ind w:left="280"/>
        <w:jc w:val="left"/>
        <w:rPr>
          <w:rFonts w:hint="eastAsia" w:ascii="宋体" w:hAnsi="宋体" w:eastAsia="宋体"/>
          <w:smallCaps/>
          <w:color w:val="000000"/>
          <w:szCs w:val="21"/>
          <w:lang w:val="en-US" w:eastAsia="zh-CN"/>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w:t>
      </w:r>
      <w:r>
        <w:rPr>
          <w:rFonts w:hint="eastAsia" w:ascii="宋体" w:hAnsi="宋体"/>
          <w:smallCaps/>
          <w:color w:val="000000"/>
          <w:szCs w:val="21"/>
          <w:lang w:val="en-US" w:eastAsia="zh-CN"/>
        </w:rPr>
        <w:t>5</w:t>
      </w:r>
    </w:p>
    <w:p w14:paraId="698A3E5D">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14:paraId="4788F3F8">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14:paraId="62CD0E8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重庆万涪达置业有限公司现对</w:t>
      </w: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项目前期物业管理服务进行公开招标，欢迎合格的投标人参与投标。</w:t>
      </w:r>
    </w:p>
    <w:p w14:paraId="70A2D18F">
      <w:pPr>
        <w:spacing w:line="400" w:lineRule="exact"/>
        <w:ind w:right="12" w:firstLine="480"/>
        <w:rPr>
          <w:rFonts w:ascii="仿宋" w:hAnsi="仿宋" w:eastAsia="仿宋"/>
          <w:color w:val="000000"/>
          <w:sz w:val="24"/>
          <w:szCs w:val="24"/>
        </w:rPr>
      </w:pPr>
      <w:bookmarkStart w:id="2" w:name="_Toc403569644"/>
      <w:r>
        <w:rPr>
          <w:rFonts w:hint="eastAsia" w:ascii="仿宋" w:hAnsi="仿宋" w:eastAsia="仿宋"/>
          <w:color w:val="000000"/>
          <w:sz w:val="24"/>
          <w:szCs w:val="24"/>
        </w:rPr>
        <w:t>一、招标项目内容</w:t>
      </w:r>
      <w:bookmarkEnd w:id="2"/>
    </w:p>
    <w:tbl>
      <w:tblPr>
        <w:tblStyle w:val="11"/>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14:paraId="5440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14:paraId="148E182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项目名称</w:t>
            </w:r>
          </w:p>
        </w:tc>
        <w:tc>
          <w:tcPr>
            <w:tcW w:w="1842" w:type="dxa"/>
            <w:vAlign w:val="center"/>
          </w:tcPr>
          <w:p w14:paraId="7C12EB04">
            <w:pPr>
              <w:spacing w:line="400" w:lineRule="exact"/>
              <w:ind w:right="12"/>
              <w:jc w:val="center"/>
              <w:rPr>
                <w:rFonts w:ascii="仿宋" w:hAnsi="仿宋" w:eastAsia="仿宋"/>
                <w:color w:val="000000"/>
                <w:sz w:val="24"/>
                <w:szCs w:val="24"/>
              </w:rPr>
            </w:pPr>
            <w:r>
              <w:rPr>
                <w:rFonts w:hint="eastAsia" w:ascii="仿宋" w:hAnsi="仿宋" w:eastAsia="仿宋"/>
                <w:color w:val="000000"/>
                <w:sz w:val="24"/>
                <w:szCs w:val="24"/>
              </w:rPr>
              <w:t>项目内容</w:t>
            </w:r>
          </w:p>
        </w:tc>
        <w:tc>
          <w:tcPr>
            <w:tcW w:w="3142" w:type="dxa"/>
            <w:vAlign w:val="center"/>
          </w:tcPr>
          <w:p w14:paraId="13455EC0">
            <w:pPr>
              <w:spacing w:line="400" w:lineRule="exact"/>
              <w:ind w:right="12"/>
              <w:jc w:val="center"/>
              <w:rPr>
                <w:rFonts w:ascii="仿宋" w:hAnsi="仿宋" w:eastAsia="仿宋"/>
                <w:color w:val="000000"/>
                <w:sz w:val="24"/>
                <w:szCs w:val="24"/>
              </w:rPr>
            </w:pPr>
            <w:r>
              <w:rPr>
                <w:rFonts w:ascii="仿宋" w:hAnsi="仿宋" w:eastAsia="仿宋"/>
                <w:color w:val="000000"/>
                <w:sz w:val="24"/>
                <w:szCs w:val="24"/>
              </w:rPr>
              <w:t>最高单价限价</w:t>
            </w:r>
          </w:p>
          <w:p w14:paraId="413986E9">
            <w:pPr>
              <w:spacing w:line="400" w:lineRule="exact"/>
              <w:ind w:right="12"/>
              <w:jc w:val="center"/>
              <w:rPr>
                <w:rFonts w:ascii="仿宋" w:hAnsi="仿宋" w:eastAsia="仿宋"/>
                <w:color w:val="000000"/>
                <w:sz w:val="24"/>
                <w:szCs w:val="24"/>
              </w:rPr>
            </w:pPr>
            <w:r>
              <w:rPr>
                <w:rFonts w:hint="eastAsia" w:ascii="仿宋" w:hAnsi="仿宋" w:eastAsia="仿宋"/>
                <w:color w:val="000000"/>
                <w:sz w:val="24"/>
                <w:szCs w:val="24"/>
              </w:rPr>
              <w:t>（非经济标标底）</w:t>
            </w:r>
          </w:p>
        </w:tc>
        <w:tc>
          <w:tcPr>
            <w:tcW w:w="1410" w:type="dxa"/>
            <w:vAlign w:val="center"/>
          </w:tcPr>
          <w:p w14:paraId="557D5918">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合同期限</w:t>
            </w:r>
          </w:p>
        </w:tc>
      </w:tr>
      <w:tr w14:paraId="7268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14:paraId="0025FAC3">
            <w:pPr>
              <w:spacing w:line="400" w:lineRule="exact"/>
              <w:ind w:right="12"/>
              <w:rPr>
                <w:rFonts w:ascii="仿宋" w:hAnsi="仿宋" w:eastAsia="仿宋"/>
                <w:color w:val="000000"/>
                <w:sz w:val="24"/>
                <w:szCs w:val="24"/>
              </w:rPr>
            </w:pP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项目前期物业管理服务</w:t>
            </w:r>
          </w:p>
        </w:tc>
        <w:tc>
          <w:tcPr>
            <w:tcW w:w="1842" w:type="dxa"/>
            <w:vAlign w:val="center"/>
          </w:tcPr>
          <w:p w14:paraId="6E15C38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小区前期物业服务</w:t>
            </w:r>
          </w:p>
        </w:tc>
        <w:tc>
          <w:tcPr>
            <w:tcW w:w="3142" w:type="dxa"/>
            <w:vAlign w:val="center"/>
          </w:tcPr>
          <w:p w14:paraId="04BF6D27">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高层2.50元/月/平方米</w:t>
            </w:r>
          </w:p>
          <w:p w14:paraId="5112911F">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洋房2.80元/月/平方米</w:t>
            </w:r>
          </w:p>
          <w:p w14:paraId="708672F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车位80元/月/个</w:t>
            </w:r>
          </w:p>
        </w:tc>
        <w:tc>
          <w:tcPr>
            <w:tcW w:w="1410" w:type="dxa"/>
            <w:vAlign w:val="center"/>
          </w:tcPr>
          <w:p w14:paraId="759547EA">
            <w:pPr>
              <w:spacing w:line="400" w:lineRule="exact"/>
              <w:ind w:right="12"/>
              <w:jc w:val="center"/>
              <w:rPr>
                <w:rFonts w:ascii="仿宋" w:hAnsi="仿宋" w:eastAsia="仿宋"/>
                <w:color w:val="000000"/>
                <w:sz w:val="24"/>
                <w:szCs w:val="24"/>
              </w:rPr>
            </w:pPr>
            <w:r>
              <w:rPr>
                <w:rFonts w:ascii="仿宋" w:hAnsi="仿宋" w:eastAsia="仿宋"/>
                <w:color w:val="000000"/>
                <w:sz w:val="24"/>
                <w:szCs w:val="24"/>
              </w:rPr>
              <w:t>三年</w:t>
            </w:r>
          </w:p>
        </w:tc>
      </w:tr>
    </w:tbl>
    <w:p w14:paraId="470FD1C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注：投标人投标单价报价不得高于规定的单价最高限价，单价报价高于单价限价的，将视为无效投标。</w:t>
      </w:r>
    </w:p>
    <w:p w14:paraId="4D7B342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二、投标人资格要求及有关规定</w:t>
      </w:r>
    </w:p>
    <w:p w14:paraId="7192E8D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（一）投标人基本资格要求</w:t>
      </w:r>
    </w:p>
    <w:p w14:paraId="6BF5360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1.具有独立承担民事责任的能力；</w:t>
      </w:r>
    </w:p>
    <w:p w14:paraId="4FD208D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2.具有良好的商业信誉和健全的财务会计制度；</w:t>
      </w:r>
    </w:p>
    <w:p w14:paraId="4221954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3.具有履行合同所必需的设备和专业技术能力；</w:t>
      </w:r>
    </w:p>
    <w:p w14:paraId="06337BE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4.有依法缴纳税收的良好记录。</w:t>
      </w:r>
    </w:p>
    <w:p w14:paraId="440216F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（二）特定资格条件</w:t>
      </w:r>
    </w:p>
    <w:p w14:paraId="76997FE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1.投标人提供有效的《营业执照》副本（复印件必须是原件复印或扫描且加盖印章，装订至投标文件中，原件备查）。</w:t>
      </w:r>
    </w:p>
    <w:p w14:paraId="2717CF6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2.投标人营业执照经营范围必须有物业管理。</w:t>
      </w:r>
    </w:p>
    <w:p w14:paraId="4C6A2CF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（三）投标有关规定</w:t>
      </w:r>
    </w:p>
    <w:p w14:paraId="4DE30E0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1.法定代表人为同一个人的，两个及两个以上法人，母公司、全资子公司及其控股公司，都不得在招标中同时投标。</w:t>
      </w:r>
    </w:p>
    <w:p w14:paraId="2DD1F3E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2.本招标项目所有补遗文件（如果有）一律在重庆市潼南区住房和城乡建设委员会网站（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）上发布，请各投标人注意下载，无论是否下载，我公司视为投标人知晓。</w:t>
      </w:r>
    </w:p>
    <w:p w14:paraId="66E97CB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(四)特别说明：</w:t>
      </w:r>
    </w:p>
    <w:p w14:paraId="1F149BA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招标文件要求的所有材料的复印件加盖鲜章装订到投标文件中（复印件必须清晰），原件备查，评标若审查原件，于审查结束后退还各投标人，评委需审查原件时而未提供原件者视为无效投标。</w:t>
      </w:r>
    </w:p>
    <w:p w14:paraId="00C3ADE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三、投标、开标有关说明</w:t>
      </w:r>
      <w:r>
        <w:rPr>
          <w:rFonts w:hint="eastAsia" w:ascii="仿宋" w:hAnsi="仿宋" w:eastAsia="仿宋"/>
          <w:color w:val="000000"/>
          <w:sz w:val="24"/>
          <w:szCs w:val="24"/>
        </w:rPr>
        <w:tab/>
      </w:r>
    </w:p>
    <w:p w14:paraId="22F3075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（一）凡有意参加投标的投标人，请在重庆市潼南区住房和城乡建设委员会网站（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）上下载本项目招标文件和补遗等开标前公布的所有项目资料，无论投标人下载与否，均视为已知晓所有招标内容。</w:t>
      </w:r>
    </w:p>
    <w:p w14:paraId="48FDB7F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（二）招标文件公告期限：</w:t>
      </w:r>
      <w:r>
        <w:rPr>
          <w:rFonts w:hint="eastAsia" w:ascii="仿宋" w:hAnsi="仿宋" w:eastAsia="仿宋"/>
          <w:sz w:val="24"/>
          <w:szCs w:val="24"/>
        </w:rPr>
        <w:t>202</w:t>
      </w:r>
      <w:r>
        <w:rPr>
          <w:rFonts w:hint="eastAsia" w:ascii="仿宋" w:hAnsi="仿宋" w:eastAsia="仿宋"/>
          <w:sz w:val="24"/>
          <w:szCs w:val="24"/>
          <w:lang w:val="en-US" w:eastAsia="zh-CN"/>
        </w:rPr>
        <w:t>1</w:t>
      </w:r>
      <w:r>
        <w:rPr>
          <w:rFonts w:hint="eastAsia" w:ascii="仿宋" w:hAnsi="仿宋" w:eastAsia="仿宋"/>
          <w:sz w:val="24"/>
          <w:szCs w:val="24"/>
        </w:rPr>
        <w:t>年</w:t>
      </w:r>
      <w:r>
        <w:rPr>
          <w:rFonts w:hint="eastAsia" w:ascii="仿宋" w:hAnsi="仿宋" w:eastAsia="仿宋"/>
          <w:sz w:val="24"/>
          <w:szCs w:val="24"/>
          <w:lang w:val="en-US" w:eastAsia="zh-CN"/>
        </w:rPr>
        <w:t>5</w:t>
      </w:r>
      <w:r>
        <w:rPr>
          <w:rFonts w:hint="eastAsia" w:ascii="仿宋" w:hAnsi="仿宋" w:eastAsia="仿宋"/>
          <w:sz w:val="24"/>
          <w:szCs w:val="24"/>
        </w:rPr>
        <w:t>月</w:t>
      </w:r>
      <w:r>
        <w:rPr>
          <w:rFonts w:hint="eastAsia" w:ascii="仿宋" w:hAnsi="仿宋" w:eastAsia="仿宋"/>
          <w:sz w:val="24"/>
          <w:szCs w:val="24"/>
          <w:lang w:val="en-US" w:eastAsia="zh-CN"/>
        </w:rPr>
        <w:t>8</w:t>
      </w:r>
      <w:r>
        <w:rPr>
          <w:rFonts w:hint="eastAsia" w:ascii="仿宋" w:hAnsi="仿宋" w:eastAsia="仿宋"/>
          <w:sz w:val="24"/>
          <w:szCs w:val="24"/>
        </w:rPr>
        <w:t>日至20</w:t>
      </w:r>
      <w:r>
        <w:rPr>
          <w:rFonts w:hint="eastAsia" w:ascii="仿宋" w:hAnsi="仿宋" w:eastAsia="仿宋"/>
          <w:sz w:val="24"/>
          <w:szCs w:val="24"/>
          <w:lang w:val="en-US" w:eastAsia="zh-CN"/>
        </w:rPr>
        <w:t>21</w:t>
      </w:r>
      <w:r>
        <w:rPr>
          <w:rFonts w:hint="eastAsia" w:ascii="仿宋" w:hAnsi="仿宋" w:eastAsia="仿宋"/>
          <w:sz w:val="24"/>
          <w:szCs w:val="24"/>
        </w:rPr>
        <w:t>年</w:t>
      </w:r>
      <w:r>
        <w:rPr>
          <w:rFonts w:hint="eastAsia" w:ascii="仿宋" w:hAnsi="仿宋" w:eastAsia="仿宋"/>
          <w:sz w:val="24"/>
          <w:szCs w:val="24"/>
          <w:lang w:val="en-US" w:eastAsia="zh-CN"/>
        </w:rPr>
        <w:t>5</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hint="eastAsia" w:ascii="仿宋" w:hAnsi="仿宋" w:eastAsia="仿宋"/>
          <w:color w:val="000000"/>
          <w:sz w:val="24"/>
          <w:szCs w:val="24"/>
        </w:rPr>
        <w:t>。</w:t>
      </w:r>
    </w:p>
    <w:p w14:paraId="79735DB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（三）招标文件购买费为： 0元/份；。</w:t>
      </w:r>
    </w:p>
    <w:p w14:paraId="3A92E2A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（四）投标人须在投标截止时间前满足以下三种要件，其投标才被接受：</w:t>
      </w:r>
    </w:p>
    <w:p w14:paraId="642829F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1、按时成功报名，报名截止时间</w:t>
      </w:r>
      <w:r>
        <w:rPr>
          <w:rFonts w:hint="eastAsia" w:ascii="仿宋" w:hAnsi="仿宋" w:eastAsia="仿宋"/>
          <w:sz w:val="24"/>
          <w:szCs w:val="24"/>
        </w:rPr>
        <w:t>202</w:t>
      </w:r>
      <w:r>
        <w:rPr>
          <w:rFonts w:hint="eastAsia" w:ascii="仿宋" w:hAnsi="仿宋" w:eastAsia="仿宋"/>
          <w:sz w:val="24"/>
          <w:szCs w:val="24"/>
          <w:lang w:val="en-US" w:eastAsia="zh-CN"/>
        </w:rPr>
        <w:t>1</w:t>
      </w:r>
      <w:r>
        <w:rPr>
          <w:rFonts w:hint="eastAsia" w:ascii="仿宋" w:hAnsi="仿宋" w:eastAsia="仿宋"/>
          <w:sz w:val="24"/>
          <w:szCs w:val="24"/>
        </w:rPr>
        <w:t>年</w:t>
      </w:r>
      <w:r>
        <w:rPr>
          <w:rFonts w:hint="eastAsia" w:ascii="仿宋" w:hAnsi="仿宋" w:eastAsia="仿宋"/>
          <w:sz w:val="24"/>
          <w:szCs w:val="24"/>
          <w:lang w:val="en-US" w:eastAsia="zh-CN"/>
        </w:rPr>
        <w:t>5</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hint="eastAsia" w:ascii="仿宋" w:hAnsi="仿宋" w:eastAsia="仿宋"/>
          <w:sz w:val="24"/>
          <w:szCs w:val="24"/>
          <w:lang w:val="en-US" w:eastAsia="zh-CN"/>
        </w:rPr>
        <w:t>18 时</w:t>
      </w:r>
      <w:r>
        <w:rPr>
          <w:rFonts w:hint="eastAsia" w:ascii="仿宋" w:hAnsi="仿宋" w:eastAsia="仿宋"/>
          <w:color w:val="000000"/>
          <w:sz w:val="24"/>
          <w:szCs w:val="24"/>
        </w:rPr>
        <w:t>；</w:t>
      </w:r>
    </w:p>
    <w:p w14:paraId="4D3EA21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2、按时递交了投标文件；</w:t>
      </w:r>
    </w:p>
    <w:p w14:paraId="396E175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3、按时签到。</w:t>
      </w:r>
    </w:p>
    <w:p w14:paraId="0CC7B3BE">
      <w:pPr>
        <w:spacing w:line="400" w:lineRule="exact"/>
        <w:ind w:right="12" w:firstLine="480"/>
        <w:rPr>
          <w:rFonts w:ascii="仿宋" w:hAnsi="仿宋" w:eastAsia="仿宋"/>
          <w:sz w:val="24"/>
          <w:szCs w:val="24"/>
        </w:rPr>
      </w:pPr>
      <w:r>
        <w:rPr>
          <w:rFonts w:hint="eastAsia" w:ascii="仿宋" w:hAnsi="仿宋" w:eastAsia="仿宋"/>
          <w:sz w:val="24"/>
          <w:szCs w:val="24"/>
        </w:rPr>
        <w:t>（五）报名方式：提供报名单位的营业执照复印件盖公章（鲜章），扫描后以附件形式发送至</w:t>
      </w:r>
      <w:r>
        <w:rPr>
          <w:rFonts w:hint="eastAsia" w:ascii="仿宋" w:hAnsi="仿宋" w:eastAsia="仿宋"/>
          <w:sz w:val="24"/>
          <w:szCs w:val="24"/>
          <w:lang w:val="en-US" w:eastAsia="zh-CN"/>
        </w:rPr>
        <w:t>reagan100</w:t>
      </w:r>
      <w:r>
        <w:rPr>
          <w:rFonts w:hint="eastAsia" w:ascii="仿宋" w:hAnsi="仿宋" w:eastAsia="仿宋"/>
          <w:sz w:val="24"/>
          <w:szCs w:val="24"/>
        </w:rPr>
        <w:t>@qq.com ,邮件标题请使用“WFD202</w:t>
      </w:r>
      <w:r>
        <w:rPr>
          <w:rFonts w:hint="eastAsia" w:ascii="仿宋" w:hAnsi="仿宋" w:eastAsia="仿宋"/>
          <w:sz w:val="24"/>
          <w:szCs w:val="24"/>
          <w:lang w:val="en-US" w:eastAsia="zh-CN"/>
        </w:rPr>
        <w:t>1</w:t>
      </w:r>
      <w:r>
        <w:rPr>
          <w:rFonts w:hint="eastAsia" w:ascii="仿宋" w:hAnsi="仿宋" w:eastAsia="仿宋"/>
          <w:sz w:val="24"/>
          <w:szCs w:val="24"/>
        </w:rPr>
        <w:t>-</w:t>
      </w:r>
      <w:r>
        <w:rPr>
          <w:rFonts w:hint="eastAsia" w:ascii="仿宋" w:hAnsi="仿宋" w:eastAsia="仿宋"/>
          <w:sz w:val="24"/>
          <w:szCs w:val="24"/>
          <w:lang w:val="en-US" w:eastAsia="zh-CN"/>
        </w:rPr>
        <w:t>5</w:t>
      </w:r>
      <w:r>
        <w:rPr>
          <w:rFonts w:hint="eastAsia" w:ascii="仿宋" w:hAnsi="仿宋" w:eastAsia="仿宋"/>
          <w:sz w:val="24"/>
          <w:szCs w:val="24"/>
        </w:rPr>
        <w:t>-1投标报名”，并在邮件正文注明本项目名称和招标编号，以报名截止时间前收到该邮箱回复的报名成功确认邮件为报名成功的标志，如报名后未收到确认邮件，请报名截止时间前通过本篇第八条的联系方式与招标人进行联系咨询。</w:t>
      </w:r>
    </w:p>
    <w:p w14:paraId="00E3C745">
      <w:pPr>
        <w:spacing w:line="400" w:lineRule="exact"/>
        <w:ind w:right="12" w:firstLine="480"/>
        <w:rPr>
          <w:rFonts w:ascii="仿宋" w:hAnsi="仿宋" w:eastAsia="仿宋"/>
          <w:sz w:val="24"/>
          <w:szCs w:val="24"/>
        </w:rPr>
      </w:pPr>
      <w:r>
        <w:rPr>
          <w:rFonts w:hint="eastAsia" w:ascii="仿宋" w:hAnsi="仿宋" w:eastAsia="仿宋"/>
          <w:sz w:val="24"/>
          <w:szCs w:val="24"/>
        </w:rPr>
        <w:t>（六）投标签到时间：北京时间202</w:t>
      </w:r>
      <w:r>
        <w:rPr>
          <w:rFonts w:hint="eastAsia" w:ascii="仿宋" w:hAnsi="仿宋" w:eastAsia="仿宋"/>
          <w:sz w:val="24"/>
          <w:szCs w:val="24"/>
          <w:lang w:val="en-US" w:eastAsia="zh-CN"/>
        </w:rPr>
        <w:t>1</w:t>
      </w:r>
      <w:r>
        <w:rPr>
          <w:rFonts w:hint="eastAsia" w:ascii="仿宋" w:hAnsi="仿宋" w:eastAsia="仿宋"/>
          <w:sz w:val="24"/>
          <w:szCs w:val="24"/>
        </w:rPr>
        <w:t>年</w:t>
      </w:r>
      <w:r>
        <w:rPr>
          <w:rFonts w:hint="eastAsia" w:ascii="仿宋" w:hAnsi="仿宋" w:eastAsia="仿宋"/>
          <w:sz w:val="24"/>
          <w:szCs w:val="24"/>
          <w:lang w:val="en-US" w:eastAsia="zh-CN"/>
        </w:rPr>
        <w:t>5</w:t>
      </w:r>
      <w:r>
        <w:rPr>
          <w:rFonts w:hint="eastAsia" w:ascii="仿宋" w:hAnsi="仿宋" w:eastAsia="仿宋"/>
          <w:sz w:val="24"/>
          <w:szCs w:val="24"/>
        </w:rPr>
        <w:t>月</w:t>
      </w:r>
      <w:r>
        <w:rPr>
          <w:rFonts w:hint="eastAsia" w:ascii="仿宋" w:hAnsi="仿宋" w:eastAsia="仿宋"/>
          <w:sz w:val="24"/>
          <w:szCs w:val="24"/>
          <w:lang w:val="en-US" w:eastAsia="zh-CN"/>
        </w:rPr>
        <w:t>16</w:t>
      </w:r>
      <w:r>
        <w:rPr>
          <w:rFonts w:hint="eastAsia" w:ascii="仿宋" w:hAnsi="仿宋" w:eastAsia="仿宋"/>
          <w:sz w:val="24"/>
          <w:szCs w:val="24"/>
        </w:rPr>
        <w:t>日</w:t>
      </w:r>
      <w:r>
        <w:rPr>
          <w:rFonts w:hint="eastAsia" w:ascii="仿宋" w:hAnsi="仿宋" w:eastAsia="仿宋"/>
          <w:sz w:val="24"/>
          <w:szCs w:val="24"/>
          <w:lang w:val="en-US" w:eastAsia="zh-CN"/>
        </w:rPr>
        <w:t>09</w:t>
      </w:r>
      <w:r>
        <w:rPr>
          <w:rFonts w:hint="eastAsia" w:ascii="仿宋" w:hAnsi="仿宋" w:eastAsia="仿宋"/>
          <w:sz w:val="24"/>
          <w:szCs w:val="24"/>
        </w:rPr>
        <w:t>：00-</w:t>
      </w:r>
      <w:r>
        <w:rPr>
          <w:rFonts w:hint="eastAsia" w:ascii="仿宋" w:hAnsi="仿宋" w:eastAsia="仿宋"/>
          <w:sz w:val="24"/>
          <w:szCs w:val="24"/>
          <w:lang w:val="en-US" w:eastAsia="zh-CN"/>
        </w:rPr>
        <w:t>09</w:t>
      </w:r>
      <w:r>
        <w:rPr>
          <w:rFonts w:hint="eastAsia" w:ascii="仿宋" w:hAnsi="仿宋" w:eastAsia="仿宋"/>
          <w:sz w:val="24"/>
          <w:szCs w:val="24"/>
        </w:rPr>
        <w:t>：30，报名成功的投标人必须在截止时间前将投标文件交到投标地点。</w:t>
      </w:r>
    </w:p>
    <w:p w14:paraId="146A4B31">
      <w:pPr>
        <w:spacing w:line="400" w:lineRule="exact"/>
        <w:ind w:right="12" w:firstLine="480"/>
        <w:rPr>
          <w:rFonts w:ascii="仿宋" w:hAnsi="仿宋" w:eastAsia="仿宋"/>
          <w:sz w:val="24"/>
          <w:szCs w:val="24"/>
        </w:rPr>
      </w:pPr>
      <w:r>
        <w:rPr>
          <w:rFonts w:hint="eastAsia" w:ascii="仿宋" w:hAnsi="仿宋" w:eastAsia="仿宋"/>
          <w:sz w:val="24"/>
          <w:szCs w:val="24"/>
        </w:rPr>
        <w:t>（七）开标会时间：北京时间202</w:t>
      </w:r>
      <w:r>
        <w:rPr>
          <w:rFonts w:hint="eastAsia" w:ascii="仿宋" w:hAnsi="仿宋" w:eastAsia="仿宋"/>
          <w:sz w:val="24"/>
          <w:szCs w:val="24"/>
          <w:lang w:val="en-US" w:eastAsia="zh-CN"/>
        </w:rPr>
        <w:t>1</w:t>
      </w:r>
      <w:r>
        <w:rPr>
          <w:rFonts w:hint="eastAsia" w:ascii="仿宋" w:hAnsi="仿宋" w:eastAsia="仿宋"/>
          <w:sz w:val="24"/>
          <w:szCs w:val="24"/>
        </w:rPr>
        <w:t>年</w:t>
      </w:r>
      <w:r>
        <w:rPr>
          <w:rFonts w:hint="eastAsia" w:ascii="仿宋" w:hAnsi="仿宋" w:eastAsia="仿宋"/>
          <w:sz w:val="24"/>
          <w:szCs w:val="24"/>
          <w:lang w:val="en-US" w:eastAsia="zh-CN"/>
        </w:rPr>
        <w:t>5</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hint="eastAsia" w:ascii="仿宋" w:hAnsi="仿宋" w:eastAsia="仿宋"/>
          <w:sz w:val="24"/>
          <w:szCs w:val="24"/>
          <w:lang w:val="en-US" w:eastAsia="zh-CN"/>
        </w:rPr>
        <w:t>09</w:t>
      </w:r>
      <w:r>
        <w:rPr>
          <w:rFonts w:hint="eastAsia" w:ascii="仿宋" w:hAnsi="仿宋" w:eastAsia="仿宋"/>
          <w:sz w:val="24"/>
          <w:szCs w:val="24"/>
        </w:rPr>
        <w:t>:30。</w:t>
      </w:r>
    </w:p>
    <w:p w14:paraId="0F9B2055">
      <w:pPr>
        <w:spacing w:line="400" w:lineRule="exact"/>
        <w:ind w:right="12" w:firstLine="480"/>
        <w:rPr>
          <w:rFonts w:ascii="仿宋" w:hAnsi="仿宋" w:eastAsia="仿宋"/>
          <w:sz w:val="24"/>
          <w:szCs w:val="24"/>
        </w:rPr>
      </w:pPr>
      <w:r>
        <w:rPr>
          <w:rFonts w:hint="eastAsia" w:ascii="仿宋" w:hAnsi="仿宋" w:eastAsia="仿宋"/>
          <w:sz w:val="24"/>
          <w:szCs w:val="24"/>
        </w:rPr>
        <w:t>（八）开标会地点：重庆市潼南区桂林街道办事处潼铖之光酒店12楼会议室。</w:t>
      </w:r>
    </w:p>
    <w:p w14:paraId="3887153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四、超过投标截止时间的投标，招标人恕不接受。</w:t>
      </w:r>
    </w:p>
    <w:p w14:paraId="5E57B8D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14:paraId="36A2B69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14:paraId="12838DB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七、投标费用：投标人应承担其编制与递交投标文件所涉及的一切费用，无论投标结果如何，招标人对上述费用概不负责，均由投标人承担。</w:t>
      </w:r>
    </w:p>
    <w:p w14:paraId="33287B0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八、联系方式</w:t>
      </w:r>
    </w:p>
    <w:p w14:paraId="1932A8D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招标人：重庆万涪达置业有限公司</w:t>
      </w:r>
    </w:p>
    <w:p w14:paraId="34B33325">
      <w:pPr>
        <w:spacing w:line="400" w:lineRule="exact"/>
        <w:ind w:right="12" w:firstLine="480"/>
        <w:rPr>
          <w:rFonts w:ascii="仿宋" w:hAnsi="仿宋" w:eastAsia="仿宋"/>
          <w:sz w:val="24"/>
          <w:szCs w:val="24"/>
        </w:rPr>
      </w:pPr>
      <w:r>
        <w:rPr>
          <w:rFonts w:hint="eastAsia" w:ascii="仿宋" w:hAnsi="仿宋" w:eastAsia="仿宋"/>
          <w:sz w:val="24"/>
          <w:szCs w:val="24"/>
        </w:rPr>
        <w:t>联系人：陈勇</w:t>
      </w:r>
    </w:p>
    <w:p w14:paraId="07B2689A">
      <w:pPr>
        <w:spacing w:line="400" w:lineRule="exact"/>
        <w:ind w:right="12" w:firstLine="480"/>
        <w:rPr>
          <w:rFonts w:ascii="仿宋" w:hAnsi="仿宋" w:eastAsia="仿宋"/>
          <w:sz w:val="24"/>
          <w:szCs w:val="24"/>
        </w:rPr>
      </w:pPr>
      <w:r>
        <w:rPr>
          <w:rFonts w:hint="eastAsia" w:ascii="仿宋" w:hAnsi="仿宋" w:eastAsia="仿宋"/>
          <w:sz w:val="24"/>
          <w:szCs w:val="24"/>
        </w:rPr>
        <w:t>电  话：18200330097</w:t>
      </w:r>
    </w:p>
    <w:p w14:paraId="7B9345A4">
      <w:pPr>
        <w:spacing w:line="400" w:lineRule="exact"/>
        <w:ind w:right="12" w:firstLine="480"/>
        <w:rPr>
          <w:rFonts w:ascii="仿宋" w:hAnsi="仿宋" w:eastAsia="仿宋"/>
          <w:sz w:val="28"/>
          <w:szCs w:val="28"/>
        </w:rPr>
      </w:pPr>
    </w:p>
    <w:p w14:paraId="1279FDA8">
      <w:pPr>
        <w:spacing w:line="400" w:lineRule="exact"/>
        <w:ind w:right="12" w:firstLine="480"/>
        <w:rPr>
          <w:rFonts w:ascii="仿宋" w:hAnsi="仿宋" w:eastAsia="仿宋"/>
          <w:sz w:val="28"/>
          <w:szCs w:val="28"/>
        </w:rPr>
      </w:pPr>
    </w:p>
    <w:p w14:paraId="6E8134F6">
      <w:pPr>
        <w:spacing w:line="400" w:lineRule="exact"/>
        <w:ind w:right="12" w:firstLine="480"/>
        <w:rPr>
          <w:rFonts w:ascii="仿宋" w:hAnsi="仿宋" w:eastAsia="仿宋"/>
          <w:sz w:val="28"/>
          <w:szCs w:val="28"/>
        </w:rPr>
      </w:pPr>
    </w:p>
    <w:p w14:paraId="04C162F2">
      <w:pPr>
        <w:spacing w:line="400" w:lineRule="exact"/>
        <w:ind w:right="12" w:firstLine="480"/>
        <w:rPr>
          <w:rFonts w:ascii="仿宋" w:hAnsi="仿宋" w:eastAsia="仿宋"/>
          <w:sz w:val="28"/>
          <w:szCs w:val="28"/>
        </w:rPr>
      </w:pPr>
    </w:p>
    <w:p w14:paraId="1EFCF621">
      <w:pPr>
        <w:spacing w:line="400" w:lineRule="exact"/>
        <w:ind w:right="12" w:firstLine="480"/>
        <w:rPr>
          <w:rFonts w:ascii="仿宋" w:hAnsi="仿宋" w:eastAsia="仿宋"/>
          <w:sz w:val="28"/>
          <w:szCs w:val="28"/>
        </w:rPr>
      </w:pPr>
    </w:p>
    <w:p w14:paraId="2016E416">
      <w:pPr>
        <w:spacing w:line="400" w:lineRule="exact"/>
        <w:ind w:right="12" w:firstLine="480"/>
        <w:rPr>
          <w:rFonts w:ascii="仿宋" w:hAnsi="仿宋" w:eastAsia="仿宋"/>
          <w:sz w:val="28"/>
          <w:szCs w:val="28"/>
        </w:rPr>
      </w:pPr>
    </w:p>
    <w:p w14:paraId="69ADE506">
      <w:pPr>
        <w:snapToGrid w:val="0"/>
        <w:spacing w:line="500" w:lineRule="exact"/>
        <w:jc w:val="center"/>
        <w:outlineLvl w:val="0"/>
        <w:rPr>
          <w:rFonts w:ascii="仿宋" w:hAnsi="仿宋" w:eastAsia="仿宋"/>
          <w:b/>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14:paraId="2A10267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投标人须明确承诺提供四级住宅物业服务以上等级标准，</w:t>
      </w:r>
      <w:r>
        <w:rPr>
          <w:rFonts w:hint="eastAsia" w:ascii="仿宋" w:hAnsi="仿宋" w:eastAsia="仿宋"/>
          <w:color w:val="000000"/>
          <w:sz w:val="24"/>
          <w:szCs w:val="24"/>
          <w:lang w:val="en-US" w:eastAsia="zh-CN"/>
        </w:rPr>
        <w:t>并</w:t>
      </w:r>
      <w:r>
        <w:rPr>
          <w:rFonts w:hint="eastAsia" w:ascii="仿宋" w:hAnsi="仿宋" w:eastAsia="仿宋"/>
          <w:color w:val="000000"/>
          <w:sz w:val="24"/>
          <w:szCs w:val="24"/>
        </w:rPr>
        <w:t>请在投标文件中制作体现。</w:t>
      </w:r>
    </w:p>
    <w:p w14:paraId="6B5F0681">
      <w:pPr>
        <w:spacing w:line="400" w:lineRule="exact"/>
        <w:ind w:right="12" w:firstLine="480"/>
        <w:rPr>
          <w:rFonts w:ascii="仿宋" w:hAnsi="仿宋" w:eastAsia="仿宋"/>
          <w:color w:val="000000"/>
          <w:sz w:val="24"/>
          <w:szCs w:val="24"/>
        </w:rPr>
      </w:pPr>
      <w:r>
        <w:rPr>
          <w:rFonts w:ascii="仿宋" w:hAnsi="仿宋" w:eastAsia="仿宋"/>
          <w:color w:val="000000"/>
          <w:sz w:val="24"/>
          <w:szCs w:val="24"/>
        </w:rPr>
        <w:t>项目介绍</w:t>
      </w:r>
    </w:p>
    <w:p w14:paraId="4D0A92F8">
      <w:pPr>
        <w:spacing w:line="400" w:lineRule="exact"/>
        <w:ind w:right="12" w:firstLine="480"/>
        <w:rPr>
          <w:rFonts w:hint="eastAsia" w:ascii="仿宋" w:hAnsi="仿宋" w:eastAsia="仿宋"/>
          <w:sz w:val="24"/>
          <w:szCs w:val="24"/>
          <w:lang w:eastAsia="zh-CN"/>
        </w:rPr>
      </w:pPr>
      <w:r>
        <w:rPr>
          <w:rFonts w:hint="eastAsia" w:ascii="仿宋" w:hAnsi="仿宋" w:eastAsia="仿宋"/>
          <w:sz w:val="24"/>
          <w:szCs w:val="24"/>
        </w:rPr>
        <w:t>一、物业名称：</w:t>
      </w:r>
      <w:r>
        <w:rPr>
          <w:rFonts w:hint="eastAsia" w:ascii="仿宋" w:hAnsi="仿宋" w:eastAsia="仿宋"/>
          <w:sz w:val="24"/>
          <w:szCs w:val="24"/>
          <w:lang w:eastAsia="zh-CN"/>
        </w:rPr>
        <w:t>潼南金福岛万达广场文旅小镇项目（一期）南地块</w:t>
      </w:r>
    </w:p>
    <w:p w14:paraId="31CC32FB">
      <w:pPr>
        <w:spacing w:line="400" w:lineRule="exact"/>
        <w:ind w:right="12" w:firstLine="480"/>
        <w:rPr>
          <w:rFonts w:hint="eastAsia" w:ascii="仿宋" w:hAnsi="仿宋" w:eastAsia="仿宋"/>
          <w:sz w:val="24"/>
          <w:szCs w:val="24"/>
        </w:rPr>
      </w:pPr>
      <w:r>
        <w:rPr>
          <w:rFonts w:hint="eastAsia" w:ascii="仿宋" w:hAnsi="仿宋" w:eastAsia="仿宋"/>
          <w:sz w:val="24"/>
          <w:szCs w:val="24"/>
        </w:rPr>
        <w:t>二、物业位置：项目位于潼南区江北片区B-25-02/02(原A1-1)号地块、B-25-01/02（原A1-2）号地块，东至：巴蜀大道（新城西十二路），西至：运河东路，南至：夏露西街，北至：巴渝大道，是未来潼南区的中心区域；距离潼南中心约 5km，距离青成渝高速入口10KM。</w:t>
      </w:r>
    </w:p>
    <w:p w14:paraId="3C6D3FE3">
      <w:pPr>
        <w:spacing w:line="400" w:lineRule="exact"/>
        <w:ind w:right="12" w:firstLine="480"/>
        <w:rPr>
          <w:rFonts w:hint="eastAsia" w:ascii="仿宋" w:hAnsi="仿宋" w:eastAsia="仿宋"/>
          <w:sz w:val="24"/>
          <w:szCs w:val="24"/>
        </w:rPr>
      </w:pPr>
      <w:r>
        <w:rPr>
          <w:rFonts w:hint="eastAsia" w:ascii="仿宋" w:hAnsi="仿宋" w:eastAsia="仿宋"/>
          <w:sz w:val="24"/>
          <w:szCs w:val="24"/>
        </w:rPr>
        <w:t>三、物业类型：住宅</w:t>
      </w:r>
    </w:p>
    <w:p w14:paraId="409FEA09">
      <w:pPr>
        <w:spacing w:line="400" w:lineRule="exact"/>
        <w:ind w:right="12" w:firstLine="480"/>
        <w:rPr>
          <w:rFonts w:hint="eastAsia" w:ascii="仿宋" w:hAnsi="仿宋" w:eastAsia="仿宋"/>
          <w:sz w:val="24"/>
          <w:szCs w:val="24"/>
        </w:rPr>
      </w:pPr>
      <w:r>
        <w:rPr>
          <w:rFonts w:hint="eastAsia" w:ascii="仿宋" w:hAnsi="仿宋" w:eastAsia="仿宋"/>
          <w:sz w:val="24"/>
          <w:szCs w:val="24"/>
        </w:rPr>
        <w:t>四、物业面积：</w:t>
      </w:r>
    </w:p>
    <w:p w14:paraId="77B972CF">
      <w:pPr>
        <w:spacing w:line="400" w:lineRule="exact"/>
        <w:ind w:right="12" w:firstLine="480"/>
        <w:rPr>
          <w:rFonts w:hint="eastAsia" w:ascii="仿宋" w:hAnsi="仿宋" w:eastAsia="仿宋"/>
          <w:sz w:val="24"/>
          <w:szCs w:val="24"/>
        </w:rPr>
      </w:pPr>
      <w:r>
        <w:rPr>
          <w:rFonts w:hint="eastAsia" w:ascii="仿宋" w:hAnsi="仿宋" w:eastAsia="仿宋"/>
          <w:sz w:val="24"/>
          <w:szCs w:val="24"/>
        </w:rPr>
        <w:t>潼南金福岛万达广场文旅小镇项目（一期）规划设计的物业类型主要为住宅（小高层18F、洋房9F），规划建设净用地面积为91333.73平方米，项目绿地率为30.55%，整体容积率为1.80，建筑密度21.90%。总建筑面积221540.70平方米，其中：住宅建筑面积约161978.68平方米（小高层面积64837.59平方米，洋房面积97141.09平方米）；建筑物总面积20005.70平方米，地下车库面积50013.64平方米；地下设备房面积3189.97平方米；绿化面积27902.45平方米。项目共有37栋楼（其中小高层10栋，洋房27栋），共1278户住宅，社区配套用房1622.27平方米，物业管理用房664.65平方米，地下停车位1629个，地上停车位16个。主要功能为居民住宅、休闲设施和停车场等。</w:t>
      </w:r>
    </w:p>
    <w:p w14:paraId="722E851C">
      <w:pPr>
        <w:spacing w:line="400" w:lineRule="exact"/>
        <w:ind w:right="12" w:firstLine="480"/>
        <w:rPr>
          <w:rFonts w:hint="eastAsia" w:ascii="仿宋" w:hAnsi="仿宋" w:eastAsia="仿宋"/>
          <w:sz w:val="24"/>
          <w:szCs w:val="24"/>
        </w:rPr>
      </w:pPr>
      <w:r>
        <w:rPr>
          <w:rFonts w:hint="eastAsia" w:ascii="仿宋" w:hAnsi="仿宋" w:eastAsia="仿宋"/>
          <w:sz w:val="24"/>
          <w:szCs w:val="24"/>
        </w:rPr>
        <w:t>本次招标为项目南地块，规划建设净用地面积为38767.15平方米，项目绿地率为30.54%，整体容积率为1.86，建筑密度20.71%。总建筑面积97799.14平方米，其中：住宅建筑面积约71951.66平方米（小高层面积39467.53平方米，洋房面积32484.13平方米）；建筑物总面积8028.35平方米，地下车库面积21514.36平方米；地下设备房面积1462.88平方米；绿化面积11839.59平方米。共有16栋楼（其中小高层6栋，洋房10栋），共562户住宅，物业管理用房289.99平方米，地下停车位724个。</w:t>
      </w:r>
    </w:p>
    <w:p w14:paraId="055D4C18">
      <w:pPr>
        <w:spacing w:line="400" w:lineRule="exact"/>
        <w:ind w:right="12" w:firstLine="480"/>
        <w:rPr>
          <w:rFonts w:hint="eastAsia" w:ascii="仿宋" w:hAnsi="仿宋" w:eastAsia="仿宋"/>
          <w:sz w:val="24"/>
          <w:szCs w:val="24"/>
        </w:rPr>
      </w:pPr>
      <w:r>
        <w:rPr>
          <w:rFonts w:hint="eastAsia" w:ascii="仿宋" w:hAnsi="仿宋" w:eastAsia="仿宋"/>
          <w:sz w:val="24"/>
          <w:szCs w:val="24"/>
        </w:rPr>
        <w:t>五、规划建设基本情况</w:t>
      </w:r>
    </w:p>
    <w:p w14:paraId="6481BA9B">
      <w:pPr>
        <w:spacing w:line="400" w:lineRule="exact"/>
        <w:ind w:right="12" w:firstLine="480"/>
        <w:rPr>
          <w:rFonts w:hint="eastAsia" w:ascii="仿宋" w:hAnsi="仿宋" w:eastAsia="仿宋"/>
          <w:sz w:val="24"/>
          <w:szCs w:val="24"/>
        </w:rPr>
      </w:pPr>
      <w:r>
        <w:rPr>
          <w:rFonts w:hint="eastAsia" w:ascii="仿宋" w:hAnsi="仿宋" w:eastAsia="仿宋"/>
          <w:sz w:val="24"/>
          <w:szCs w:val="24"/>
        </w:rPr>
        <w:t>（一）建设单位及交付时间</w:t>
      </w:r>
    </w:p>
    <w:p w14:paraId="430D6716">
      <w:pPr>
        <w:spacing w:line="400" w:lineRule="exact"/>
        <w:ind w:right="12" w:firstLine="480"/>
        <w:rPr>
          <w:rFonts w:hint="eastAsia" w:ascii="仿宋" w:hAnsi="仿宋" w:eastAsia="仿宋"/>
          <w:sz w:val="24"/>
          <w:szCs w:val="24"/>
        </w:rPr>
      </w:pPr>
      <w:r>
        <w:rPr>
          <w:rFonts w:hint="eastAsia" w:ascii="仿宋" w:hAnsi="仿宋" w:eastAsia="仿宋"/>
          <w:sz w:val="24"/>
          <w:szCs w:val="24"/>
        </w:rPr>
        <w:t>1、开发单位：重庆万涪达置业有限公司</w:t>
      </w:r>
    </w:p>
    <w:p w14:paraId="2D3AE761">
      <w:pPr>
        <w:spacing w:line="400" w:lineRule="exact"/>
        <w:ind w:right="12" w:firstLine="480"/>
        <w:rPr>
          <w:rFonts w:hint="eastAsia" w:ascii="仿宋" w:hAnsi="仿宋" w:eastAsia="仿宋"/>
          <w:sz w:val="24"/>
          <w:szCs w:val="24"/>
        </w:rPr>
      </w:pPr>
      <w:r>
        <w:rPr>
          <w:rFonts w:hint="eastAsia" w:ascii="仿宋" w:hAnsi="仿宋" w:eastAsia="仿宋"/>
          <w:sz w:val="24"/>
          <w:szCs w:val="24"/>
        </w:rPr>
        <w:t>2、设计单位：重庆市设计院有限公司</w:t>
      </w:r>
    </w:p>
    <w:p w14:paraId="10C9D065">
      <w:pPr>
        <w:spacing w:line="400" w:lineRule="exact"/>
        <w:ind w:right="12" w:firstLine="480"/>
        <w:rPr>
          <w:rFonts w:hint="eastAsia" w:ascii="仿宋" w:hAnsi="仿宋" w:eastAsia="仿宋"/>
          <w:sz w:val="24"/>
          <w:szCs w:val="24"/>
        </w:rPr>
      </w:pPr>
      <w:r>
        <w:rPr>
          <w:rFonts w:hint="eastAsia" w:ascii="仿宋" w:hAnsi="仿宋" w:eastAsia="仿宋"/>
          <w:sz w:val="24"/>
          <w:szCs w:val="24"/>
        </w:rPr>
        <w:t>3、计划竣工日期：2023年12月</w:t>
      </w:r>
    </w:p>
    <w:p w14:paraId="37D64827">
      <w:pPr>
        <w:spacing w:line="400" w:lineRule="exact"/>
        <w:ind w:right="12" w:firstLine="480"/>
        <w:rPr>
          <w:rFonts w:hint="eastAsia" w:ascii="仿宋" w:hAnsi="仿宋" w:eastAsia="仿宋"/>
          <w:sz w:val="24"/>
          <w:szCs w:val="24"/>
        </w:rPr>
      </w:pPr>
      <w:r>
        <w:rPr>
          <w:rFonts w:hint="eastAsia" w:ascii="仿宋" w:hAnsi="仿宋" w:eastAsia="仿宋"/>
          <w:sz w:val="24"/>
          <w:szCs w:val="24"/>
        </w:rPr>
        <w:t>（二）物业设施设备</w:t>
      </w:r>
    </w:p>
    <w:p w14:paraId="648EF003">
      <w:pPr>
        <w:spacing w:line="400" w:lineRule="exact"/>
        <w:ind w:right="12" w:firstLine="480"/>
        <w:rPr>
          <w:rFonts w:hint="eastAsia" w:ascii="仿宋" w:hAnsi="仿宋" w:eastAsia="仿宋"/>
          <w:sz w:val="24"/>
          <w:szCs w:val="24"/>
        </w:rPr>
      </w:pPr>
      <w:r>
        <w:rPr>
          <w:rFonts w:hint="eastAsia" w:ascii="仿宋" w:hAnsi="仿宋" w:eastAsia="仿宋"/>
          <w:sz w:val="24"/>
          <w:szCs w:val="24"/>
        </w:rPr>
        <w:t>1.化粪池：3个，888.50立方米（南地块380立方米）。</w:t>
      </w:r>
    </w:p>
    <w:p w14:paraId="1B224038">
      <w:pPr>
        <w:spacing w:line="400" w:lineRule="exact"/>
        <w:ind w:right="12" w:firstLine="480"/>
        <w:rPr>
          <w:rFonts w:hint="eastAsia" w:ascii="仿宋" w:hAnsi="仿宋" w:eastAsia="仿宋"/>
          <w:sz w:val="24"/>
          <w:szCs w:val="24"/>
        </w:rPr>
      </w:pPr>
      <w:r>
        <w:rPr>
          <w:rFonts w:hint="eastAsia" w:ascii="仿宋" w:hAnsi="仿宋" w:eastAsia="仿宋"/>
          <w:sz w:val="24"/>
          <w:szCs w:val="24"/>
        </w:rPr>
        <w:t>2. 4个人行出入口和4个车行出入口（南地块2个人行出入口和2个车行出入口）。</w:t>
      </w:r>
    </w:p>
    <w:p w14:paraId="5CC6A1A3">
      <w:pPr>
        <w:spacing w:line="400" w:lineRule="exact"/>
        <w:ind w:right="12" w:firstLine="480"/>
        <w:rPr>
          <w:rFonts w:hint="eastAsia" w:ascii="仿宋" w:hAnsi="仿宋" w:eastAsia="仿宋"/>
          <w:sz w:val="24"/>
          <w:szCs w:val="24"/>
        </w:rPr>
      </w:pPr>
      <w:r>
        <w:rPr>
          <w:rFonts w:hint="eastAsia" w:ascii="仿宋" w:hAnsi="仿宋" w:eastAsia="仿宋"/>
          <w:sz w:val="24"/>
          <w:szCs w:val="24"/>
        </w:rPr>
        <w:t>3. 电梯台数共78台（南地块34台），其中9F洋房为一梯两户配置，共计16台；18F小高层为两梯两户配置，共计18台。</w:t>
      </w:r>
    </w:p>
    <w:p w14:paraId="7E3DDC7F">
      <w:pPr>
        <w:spacing w:line="400" w:lineRule="exact"/>
        <w:ind w:right="12" w:firstLine="480"/>
        <w:rPr>
          <w:rFonts w:hint="eastAsia" w:ascii="仿宋" w:hAnsi="仿宋" w:eastAsia="仿宋"/>
          <w:sz w:val="24"/>
          <w:szCs w:val="24"/>
        </w:rPr>
      </w:pPr>
      <w:r>
        <w:rPr>
          <w:rFonts w:hint="eastAsia" w:ascii="仿宋" w:hAnsi="仿宋" w:eastAsia="仿宋"/>
          <w:sz w:val="24"/>
          <w:szCs w:val="24"/>
        </w:rPr>
        <w:t>（三）配套情况</w:t>
      </w:r>
    </w:p>
    <w:p w14:paraId="0EEA97D9">
      <w:pPr>
        <w:spacing w:line="400" w:lineRule="exact"/>
        <w:ind w:right="12" w:firstLine="480"/>
        <w:rPr>
          <w:rFonts w:ascii="仿宋" w:hAnsi="仿宋" w:eastAsia="仿宋"/>
          <w:sz w:val="24"/>
          <w:szCs w:val="24"/>
        </w:rPr>
      </w:pPr>
      <w:r>
        <w:rPr>
          <w:rFonts w:hint="eastAsia" w:ascii="仿宋" w:hAnsi="仿宋" w:eastAsia="仿宋"/>
          <w:sz w:val="24"/>
          <w:szCs w:val="24"/>
        </w:rPr>
        <w:t>小区设有供配电系统，弱电安防系统，给排水系统，消防水系统（喷淋系统，室内外消火栓系统），通风系统，消防风系统（正压送风系统，排烟及补风系统），燃气系统等。</w:t>
      </w:r>
    </w:p>
    <w:p w14:paraId="765EB9A6">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14:paraId="662CB3BD">
      <w:pPr>
        <w:spacing w:line="400" w:lineRule="exact"/>
        <w:ind w:right="12" w:firstLine="480"/>
        <w:rPr>
          <w:rFonts w:ascii="仿宋" w:hAnsi="仿宋" w:eastAsia="仿宋"/>
          <w:color w:val="000000"/>
          <w:sz w:val="24"/>
          <w:szCs w:val="24"/>
        </w:rPr>
      </w:pPr>
      <w:bookmarkStart w:id="4" w:name="_Toc271791968"/>
      <w:bookmarkEnd w:id="4"/>
      <w:r>
        <w:rPr>
          <w:rFonts w:hint="eastAsia" w:ascii="仿宋" w:hAnsi="仿宋" w:eastAsia="仿宋"/>
          <w:color w:val="000000"/>
          <w:sz w:val="24"/>
          <w:szCs w:val="24"/>
        </w:rPr>
        <w:t>一、服务时间：从项目交房入伙开始计算，服务时间三年。</w:t>
      </w:r>
    </w:p>
    <w:p w14:paraId="4A877EB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二、地点：</w:t>
      </w: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小区。</w:t>
      </w:r>
    </w:p>
    <w:p w14:paraId="7DA4C04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三、质量保证及售后服务内容：</w:t>
      </w:r>
    </w:p>
    <w:p w14:paraId="182FBC5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投标人应承诺提供的服务满足招标人要求。</w:t>
      </w:r>
    </w:p>
    <w:p w14:paraId="5D16F10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投标人应承诺根据招标人的合理建议，做好物业服务工作。</w:t>
      </w:r>
    </w:p>
    <w:p w14:paraId="3AA04FF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投标人应承诺对服务人员进行培训，以提高服务人员的服务意识和服务质量。</w:t>
      </w:r>
    </w:p>
    <w:p w14:paraId="57E429E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投标人可根据自身实力，作更为优惠的服务承诺。</w:t>
      </w:r>
    </w:p>
    <w:p w14:paraId="616285C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四、知识产权</w:t>
      </w:r>
    </w:p>
    <w:p w14:paraId="6592303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招标人在中华人民共和国境内使用投标人提供的货物及服务时免受第三方提出的侵犯其专利权或其它知识产权的起诉。如果第三方提出侵权指控，中标人应承担由此而引起的一切法律责任和费用。</w:t>
      </w:r>
    </w:p>
    <w:p w14:paraId="7E93431A">
      <w:pPr>
        <w:spacing w:line="400" w:lineRule="exact"/>
        <w:ind w:right="12" w:firstLine="480"/>
        <w:rPr>
          <w:rFonts w:ascii="仿宋" w:hAnsi="仿宋" w:eastAsia="仿宋"/>
          <w:color w:val="000000"/>
          <w:sz w:val="24"/>
          <w:szCs w:val="24"/>
        </w:rPr>
      </w:pPr>
      <w:bookmarkStart w:id="5" w:name="_Toc271791969"/>
      <w:bookmarkEnd w:id="5"/>
      <w:bookmarkStart w:id="6" w:name="_Toc271791971"/>
      <w:bookmarkEnd w:id="6"/>
      <w:r>
        <w:rPr>
          <w:rFonts w:hint="eastAsia" w:ascii="仿宋" w:hAnsi="仿宋" w:eastAsia="仿宋"/>
          <w:color w:val="000000"/>
          <w:sz w:val="24"/>
          <w:szCs w:val="24"/>
        </w:rPr>
        <w:t>五、其他未尽事宜由供需双方在商务合同中详细约定。</w:t>
      </w:r>
      <w:bookmarkStart w:id="7" w:name="_Toc311729662"/>
      <w:bookmarkEnd w:id="7"/>
    </w:p>
    <w:p w14:paraId="596BED48">
      <w:pPr>
        <w:spacing w:line="500" w:lineRule="exact"/>
        <w:ind w:firstLine="560" w:firstLineChars="200"/>
        <w:jc w:val="left"/>
        <w:rPr>
          <w:rFonts w:ascii="仿宋" w:hAnsi="仿宋" w:eastAsia="仿宋"/>
          <w:color w:val="000000"/>
          <w:sz w:val="28"/>
          <w:szCs w:val="28"/>
        </w:rPr>
      </w:pPr>
    </w:p>
    <w:p w14:paraId="7F69380F">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14:paraId="32F209A2">
      <w:pPr>
        <w:spacing w:line="400" w:lineRule="exact"/>
        <w:ind w:right="12" w:firstLine="480"/>
        <w:rPr>
          <w:rFonts w:ascii="仿宋" w:hAnsi="仿宋" w:eastAsia="仿宋"/>
          <w:color w:val="000000"/>
          <w:sz w:val="24"/>
          <w:szCs w:val="24"/>
        </w:rPr>
      </w:pPr>
      <w:bookmarkStart w:id="9" w:name="_Toc316654047"/>
      <w:bookmarkEnd w:id="9"/>
      <w:bookmarkStart w:id="10" w:name="_Toc311729664"/>
      <w:r>
        <w:rPr>
          <w:rFonts w:hint="eastAsia" w:ascii="仿宋" w:hAnsi="仿宋" w:eastAsia="仿宋"/>
          <w:color w:val="000000"/>
          <w:sz w:val="24"/>
          <w:szCs w:val="24"/>
        </w:rPr>
        <w:t>一、评标方法</w:t>
      </w:r>
      <w:bookmarkEnd w:id="10"/>
    </w:p>
    <w:p w14:paraId="43E515C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（一）评标方法定义</w:t>
      </w:r>
    </w:p>
    <w:p w14:paraId="71E4EBA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本项目采用综合评分法进行评标。综合评分法是指投标文件满足招标文件全部实质性要求且按照评审因素的量化指标评审得分最高的投标人为中标候选人的评标方法。投标人总得分为价格、技术、答辩等评定因素分别按照相应权重值计算分项得分后相加，满分为100分。</w:t>
      </w:r>
    </w:p>
    <w:p w14:paraId="0F7E028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（二）评标程序</w:t>
      </w:r>
    </w:p>
    <w:p w14:paraId="1FFD009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评标工作由招标机构负责组织，具体评标事务由依法组建的评标委员会负责（评标委员会成员由招标人到区物业</w:t>
      </w:r>
      <w:r>
        <w:rPr>
          <w:rFonts w:hint="eastAsia" w:ascii="仿宋" w:hAnsi="仿宋" w:eastAsia="仿宋"/>
          <w:color w:val="000000"/>
          <w:sz w:val="24"/>
          <w:szCs w:val="24"/>
          <w:lang w:val="en-US" w:eastAsia="zh-CN"/>
        </w:rPr>
        <w:t>办</w:t>
      </w:r>
      <w:r>
        <w:rPr>
          <w:rFonts w:hint="eastAsia" w:ascii="仿宋" w:hAnsi="仿宋" w:eastAsia="仿宋"/>
          <w:color w:val="000000"/>
          <w:sz w:val="24"/>
          <w:szCs w:val="24"/>
        </w:rPr>
        <w:t>评标专家库随机抽取4名评标专家和1名招标人代表组成）。</w:t>
      </w:r>
    </w:p>
    <w:p w14:paraId="26FE276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评标委员会成员到位后，推举其中一位评审专家担任评审组长，并由评审组长牵头组织该项目评审工作。评标委员会按以下程序独立履行评审职责：</w:t>
      </w:r>
    </w:p>
    <w:p w14:paraId="5B6E458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14:paraId="21AAF53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资格性检查资料表如下：</w:t>
      </w:r>
    </w:p>
    <w:tbl>
      <w:tblPr>
        <w:tblStyle w:val="11"/>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14:paraId="535A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14:paraId="0DB38F1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序号</w:t>
            </w:r>
          </w:p>
        </w:tc>
        <w:tc>
          <w:tcPr>
            <w:tcW w:w="4987" w:type="dxa"/>
            <w:gridSpan w:val="2"/>
            <w:vAlign w:val="center"/>
          </w:tcPr>
          <w:p w14:paraId="494AC78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检查因素</w:t>
            </w:r>
          </w:p>
        </w:tc>
        <w:tc>
          <w:tcPr>
            <w:tcW w:w="4433" w:type="dxa"/>
            <w:vAlign w:val="center"/>
          </w:tcPr>
          <w:p w14:paraId="7ECEFED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检查内容</w:t>
            </w:r>
          </w:p>
        </w:tc>
      </w:tr>
      <w:tr w14:paraId="5891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14:paraId="176BE821">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w:t>
            </w:r>
          </w:p>
        </w:tc>
        <w:tc>
          <w:tcPr>
            <w:tcW w:w="877" w:type="dxa"/>
            <w:vMerge w:val="restart"/>
            <w:vAlign w:val="center"/>
          </w:tcPr>
          <w:p w14:paraId="0B59FA3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投标人应符合的基本资格条件</w:t>
            </w:r>
          </w:p>
        </w:tc>
        <w:tc>
          <w:tcPr>
            <w:tcW w:w="4110" w:type="dxa"/>
            <w:vAlign w:val="center"/>
          </w:tcPr>
          <w:p w14:paraId="508D12CA">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（1）具有独立承担民事责任的能力</w:t>
            </w:r>
          </w:p>
        </w:tc>
        <w:tc>
          <w:tcPr>
            <w:tcW w:w="4433" w:type="dxa"/>
            <w:vAlign w:val="center"/>
          </w:tcPr>
          <w:p w14:paraId="6F55D53A">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投标人法人营业执照；</w:t>
            </w:r>
          </w:p>
          <w:p w14:paraId="61ABD58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投标人法定代表人身份证明或法定代表人授权代表委托书。</w:t>
            </w:r>
          </w:p>
        </w:tc>
      </w:tr>
      <w:tr w14:paraId="558D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14:paraId="6E1F20A7">
            <w:pPr>
              <w:spacing w:line="400" w:lineRule="exact"/>
              <w:ind w:right="12" w:firstLine="480"/>
              <w:rPr>
                <w:rFonts w:ascii="仿宋" w:hAnsi="仿宋" w:eastAsia="仿宋"/>
                <w:color w:val="000000"/>
                <w:sz w:val="24"/>
                <w:szCs w:val="24"/>
              </w:rPr>
            </w:pPr>
          </w:p>
        </w:tc>
        <w:tc>
          <w:tcPr>
            <w:tcW w:w="877" w:type="dxa"/>
            <w:vMerge w:val="continue"/>
            <w:vAlign w:val="center"/>
          </w:tcPr>
          <w:p w14:paraId="04F00ED1">
            <w:pPr>
              <w:spacing w:line="400" w:lineRule="exact"/>
              <w:ind w:right="12" w:firstLine="480"/>
              <w:rPr>
                <w:rFonts w:ascii="仿宋" w:hAnsi="仿宋" w:eastAsia="仿宋"/>
                <w:color w:val="000000"/>
                <w:sz w:val="24"/>
                <w:szCs w:val="24"/>
              </w:rPr>
            </w:pPr>
          </w:p>
        </w:tc>
        <w:tc>
          <w:tcPr>
            <w:tcW w:w="4110" w:type="dxa"/>
            <w:vAlign w:val="center"/>
          </w:tcPr>
          <w:p w14:paraId="3C741C8F">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（2）具有良好的商业信誉和健全的财务会计制度</w:t>
            </w:r>
          </w:p>
        </w:tc>
        <w:tc>
          <w:tcPr>
            <w:tcW w:w="4433" w:type="dxa"/>
            <w:vMerge w:val="restart"/>
            <w:vAlign w:val="center"/>
          </w:tcPr>
          <w:p w14:paraId="6C885F87">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投标人提供诚信声明</w:t>
            </w:r>
          </w:p>
        </w:tc>
      </w:tr>
      <w:tr w14:paraId="6F0E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14:paraId="20001A74">
            <w:pPr>
              <w:spacing w:line="400" w:lineRule="exact"/>
              <w:ind w:right="12" w:firstLine="480"/>
              <w:rPr>
                <w:rFonts w:ascii="仿宋" w:hAnsi="仿宋" w:eastAsia="仿宋"/>
                <w:color w:val="000000"/>
                <w:sz w:val="24"/>
                <w:szCs w:val="24"/>
              </w:rPr>
            </w:pPr>
          </w:p>
        </w:tc>
        <w:tc>
          <w:tcPr>
            <w:tcW w:w="877" w:type="dxa"/>
            <w:vMerge w:val="continue"/>
            <w:vAlign w:val="center"/>
          </w:tcPr>
          <w:p w14:paraId="63D8A896">
            <w:pPr>
              <w:spacing w:line="400" w:lineRule="exact"/>
              <w:ind w:right="12" w:firstLine="480"/>
              <w:rPr>
                <w:rFonts w:ascii="仿宋" w:hAnsi="仿宋" w:eastAsia="仿宋"/>
                <w:color w:val="000000"/>
                <w:sz w:val="24"/>
                <w:szCs w:val="24"/>
              </w:rPr>
            </w:pPr>
          </w:p>
        </w:tc>
        <w:tc>
          <w:tcPr>
            <w:tcW w:w="4110" w:type="dxa"/>
            <w:vAlign w:val="center"/>
          </w:tcPr>
          <w:p w14:paraId="65289E8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（3）具有履行合同所必需的设备和专业技术能力</w:t>
            </w:r>
          </w:p>
        </w:tc>
        <w:tc>
          <w:tcPr>
            <w:tcW w:w="4433" w:type="dxa"/>
            <w:vMerge w:val="continue"/>
            <w:vAlign w:val="center"/>
          </w:tcPr>
          <w:p w14:paraId="1422B425">
            <w:pPr>
              <w:spacing w:line="400" w:lineRule="exact"/>
              <w:ind w:right="12" w:firstLine="480"/>
              <w:rPr>
                <w:rFonts w:ascii="仿宋" w:hAnsi="仿宋" w:eastAsia="仿宋"/>
                <w:color w:val="000000"/>
                <w:sz w:val="24"/>
                <w:szCs w:val="24"/>
              </w:rPr>
            </w:pPr>
          </w:p>
        </w:tc>
      </w:tr>
      <w:tr w14:paraId="1AD4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14:paraId="0B453576">
            <w:pPr>
              <w:spacing w:line="400" w:lineRule="exact"/>
              <w:ind w:right="12" w:firstLine="480"/>
              <w:rPr>
                <w:rFonts w:ascii="仿宋" w:hAnsi="仿宋" w:eastAsia="仿宋"/>
                <w:color w:val="000000"/>
                <w:sz w:val="24"/>
                <w:szCs w:val="24"/>
              </w:rPr>
            </w:pPr>
          </w:p>
        </w:tc>
        <w:tc>
          <w:tcPr>
            <w:tcW w:w="877" w:type="dxa"/>
            <w:vMerge w:val="continue"/>
            <w:vAlign w:val="center"/>
          </w:tcPr>
          <w:p w14:paraId="79619B37">
            <w:pPr>
              <w:spacing w:line="400" w:lineRule="exact"/>
              <w:ind w:right="12" w:firstLine="480"/>
              <w:rPr>
                <w:rFonts w:ascii="仿宋" w:hAnsi="仿宋" w:eastAsia="仿宋"/>
                <w:color w:val="000000"/>
                <w:sz w:val="24"/>
                <w:szCs w:val="24"/>
              </w:rPr>
            </w:pPr>
          </w:p>
        </w:tc>
        <w:tc>
          <w:tcPr>
            <w:tcW w:w="4110" w:type="dxa"/>
            <w:vAlign w:val="center"/>
          </w:tcPr>
          <w:p w14:paraId="2D802759">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（4）有依法缴纳税收的良好记录</w:t>
            </w:r>
          </w:p>
        </w:tc>
        <w:tc>
          <w:tcPr>
            <w:tcW w:w="4433" w:type="dxa"/>
            <w:vMerge w:val="continue"/>
            <w:vAlign w:val="center"/>
          </w:tcPr>
          <w:p w14:paraId="08384227">
            <w:pPr>
              <w:spacing w:line="400" w:lineRule="exact"/>
              <w:ind w:right="12" w:firstLine="480"/>
              <w:rPr>
                <w:rFonts w:ascii="仿宋" w:hAnsi="仿宋" w:eastAsia="仿宋"/>
                <w:color w:val="000000"/>
                <w:sz w:val="24"/>
                <w:szCs w:val="24"/>
              </w:rPr>
            </w:pPr>
          </w:p>
        </w:tc>
      </w:tr>
      <w:tr w14:paraId="1459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7F5458C8">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w:t>
            </w:r>
          </w:p>
        </w:tc>
        <w:tc>
          <w:tcPr>
            <w:tcW w:w="4987" w:type="dxa"/>
            <w:gridSpan w:val="2"/>
            <w:vAlign w:val="center"/>
          </w:tcPr>
          <w:p w14:paraId="6848F024">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特定资格条件：投标人营业执照经营范围必须有物业管理。</w:t>
            </w:r>
          </w:p>
        </w:tc>
        <w:tc>
          <w:tcPr>
            <w:tcW w:w="4433" w:type="dxa"/>
            <w:vAlign w:val="center"/>
          </w:tcPr>
          <w:p w14:paraId="0D77F86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证明材料的复印件（加盖投标人公章），原件备查</w:t>
            </w:r>
          </w:p>
        </w:tc>
      </w:tr>
      <w:tr w14:paraId="74CE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2AD2749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w:t>
            </w:r>
          </w:p>
        </w:tc>
        <w:tc>
          <w:tcPr>
            <w:tcW w:w="4987" w:type="dxa"/>
            <w:gridSpan w:val="2"/>
            <w:vAlign w:val="center"/>
          </w:tcPr>
          <w:p w14:paraId="0413048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投标人明确承诺提供四级住宅物业服务或以上服务标准</w:t>
            </w:r>
          </w:p>
        </w:tc>
        <w:tc>
          <w:tcPr>
            <w:tcW w:w="4433" w:type="dxa"/>
            <w:vAlign w:val="center"/>
          </w:tcPr>
          <w:p w14:paraId="5F96872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投标人在投标文件中明确承诺提供四级住宅物业服务以上服务标准，并清楚列举条款</w:t>
            </w:r>
          </w:p>
        </w:tc>
      </w:tr>
      <w:tr w14:paraId="7274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675B084A">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w:t>
            </w:r>
          </w:p>
        </w:tc>
        <w:tc>
          <w:tcPr>
            <w:tcW w:w="4987" w:type="dxa"/>
            <w:gridSpan w:val="2"/>
            <w:vAlign w:val="center"/>
          </w:tcPr>
          <w:p w14:paraId="24CD43E9">
            <w:pPr>
              <w:spacing w:line="400" w:lineRule="exact"/>
              <w:ind w:right="12"/>
              <w:rPr>
                <w:rFonts w:ascii="仿宋" w:hAnsi="仿宋" w:eastAsia="仿宋"/>
                <w:color w:val="000000"/>
                <w:sz w:val="24"/>
                <w:szCs w:val="24"/>
              </w:rPr>
            </w:pPr>
            <w:r>
              <w:rPr>
                <w:rFonts w:ascii="仿宋" w:hAnsi="仿宋" w:eastAsia="仿宋"/>
                <w:color w:val="000000"/>
                <w:sz w:val="24"/>
                <w:szCs w:val="24"/>
              </w:rPr>
              <w:t>投标人</w:t>
            </w:r>
            <w:r>
              <w:rPr>
                <w:rFonts w:hint="eastAsia" w:ascii="仿宋" w:hAnsi="仿宋" w:eastAsia="仿宋"/>
                <w:color w:val="000000"/>
                <w:sz w:val="24"/>
                <w:szCs w:val="24"/>
              </w:rPr>
              <w:t>对应</w:t>
            </w:r>
            <w:r>
              <w:rPr>
                <w:rFonts w:ascii="仿宋" w:hAnsi="仿宋" w:eastAsia="仿宋"/>
                <w:color w:val="000000"/>
                <w:sz w:val="24"/>
                <w:szCs w:val="24"/>
              </w:rPr>
              <w:t>第三篇要求提供商务响应差异情况表</w:t>
            </w:r>
          </w:p>
        </w:tc>
        <w:tc>
          <w:tcPr>
            <w:tcW w:w="4433" w:type="dxa"/>
            <w:vAlign w:val="center"/>
          </w:tcPr>
          <w:p w14:paraId="69A8CB1E">
            <w:pPr>
              <w:spacing w:line="400" w:lineRule="exact"/>
              <w:ind w:right="12"/>
              <w:rPr>
                <w:rFonts w:ascii="仿宋" w:hAnsi="仿宋" w:eastAsia="仿宋"/>
                <w:color w:val="000000"/>
                <w:sz w:val="24"/>
                <w:szCs w:val="24"/>
              </w:rPr>
            </w:pPr>
            <w:r>
              <w:rPr>
                <w:rFonts w:ascii="仿宋" w:hAnsi="仿宋" w:eastAsia="仿宋"/>
                <w:color w:val="000000"/>
                <w:sz w:val="24"/>
                <w:szCs w:val="24"/>
              </w:rPr>
              <w:t>投标人</w:t>
            </w:r>
            <w:r>
              <w:rPr>
                <w:rFonts w:hint="eastAsia" w:ascii="仿宋" w:hAnsi="仿宋" w:eastAsia="仿宋"/>
                <w:color w:val="000000"/>
                <w:sz w:val="24"/>
                <w:szCs w:val="24"/>
              </w:rPr>
              <w:t>对应</w:t>
            </w:r>
            <w:r>
              <w:rPr>
                <w:rFonts w:ascii="仿宋" w:hAnsi="仿宋" w:eastAsia="仿宋"/>
                <w:color w:val="000000"/>
                <w:sz w:val="24"/>
                <w:szCs w:val="24"/>
              </w:rPr>
              <w:t>第三篇要求提供商务响应差异情况表</w:t>
            </w:r>
            <w:r>
              <w:rPr>
                <w:rFonts w:hint="eastAsia" w:ascii="仿宋" w:hAnsi="仿宋" w:eastAsia="仿宋"/>
                <w:color w:val="000000"/>
                <w:sz w:val="24"/>
                <w:szCs w:val="24"/>
              </w:rPr>
              <w:t>，</w:t>
            </w:r>
            <w:r>
              <w:rPr>
                <w:rFonts w:ascii="仿宋" w:hAnsi="仿宋" w:eastAsia="仿宋"/>
                <w:color w:val="000000"/>
                <w:sz w:val="24"/>
                <w:szCs w:val="24"/>
              </w:rPr>
              <w:t>且只允许</w:t>
            </w:r>
            <w:r>
              <w:rPr>
                <w:rFonts w:hint="eastAsia" w:ascii="仿宋" w:hAnsi="仿宋" w:eastAsia="仿宋"/>
                <w:color w:val="000000"/>
                <w:sz w:val="24"/>
                <w:szCs w:val="24"/>
              </w:rPr>
              <w:t>无差异或</w:t>
            </w:r>
            <w:r>
              <w:rPr>
                <w:rFonts w:ascii="仿宋" w:hAnsi="仿宋" w:eastAsia="仿宋"/>
                <w:color w:val="000000"/>
                <w:sz w:val="24"/>
                <w:szCs w:val="24"/>
              </w:rPr>
              <w:t>正差异</w:t>
            </w:r>
          </w:p>
        </w:tc>
      </w:tr>
    </w:tbl>
    <w:p w14:paraId="7066D61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2、符合性检查。依据招标文件的规定，从投标文件的有效性、完整性和对招标文件的响应程度进行审查，以确定是否对招标文件的要求作出响应。</w:t>
      </w:r>
    </w:p>
    <w:p w14:paraId="3489CC5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符合性检查资料表如下：</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14:paraId="3C85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6CF358C0">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序号</w:t>
            </w:r>
          </w:p>
        </w:tc>
        <w:tc>
          <w:tcPr>
            <w:tcW w:w="3544" w:type="dxa"/>
            <w:gridSpan w:val="2"/>
            <w:vAlign w:val="center"/>
          </w:tcPr>
          <w:p w14:paraId="1E1BF47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评审因素</w:t>
            </w:r>
          </w:p>
        </w:tc>
        <w:tc>
          <w:tcPr>
            <w:tcW w:w="5409" w:type="dxa"/>
            <w:vAlign w:val="center"/>
          </w:tcPr>
          <w:p w14:paraId="7A3317A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评审标准</w:t>
            </w:r>
          </w:p>
        </w:tc>
      </w:tr>
      <w:tr w14:paraId="3CB2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5BCC3F4F">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w:t>
            </w:r>
          </w:p>
        </w:tc>
        <w:tc>
          <w:tcPr>
            <w:tcW w:w="1134" w:type="dxa"/>
            <w:vMerge w:val="restart"/>
            <w:vAlign w:val="center"/>
          </w:tcPr>
          <w:p w14:paraId="6C8E56C6">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有效性审查</w:t>
            </w:r>
          </w:p>
        </w:tc>
        <w:tc>
          <w:tcPr>
            <w:tcW w:w="2410" w:type="dxa"/>
            <w:vAlign w:val="center"/>
          </w:tcPr>
          <w:p w14:paraId="23836C0D">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投标文件签署</w:t>
            </w:r>
          </w:p>
        </w:tc>
        <w:tc>
          <w:tcPr>
            <w:tcW w:w="5409" w:type="dxa"/>
            <w:vAlign w:val="center"/>
          </w:tcPr>
          <w:p w14:paraId="3D5B27D7">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投标文件内法定代表人或其授权代表人的签字和公章齐全。封面和签字盖章页内，对招标人和投标公司必须以全称称呼和落款。</w:t>
            </w:r>
          </w:p>
        </w:tc>
      </w:tr>
      <w:tr w14:paraId="65FD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1E79509A">
            <w:pPr>
              <w:spacing w:line="400" w:lineRule="exact"/>
              <w:ind w:right="12" w:firstLine="480"/>
              <w:rPr>
                <w:rFonts w:ascii="仿宋" w:hAnsi="仿宋" w:eastAsia="仿宋"/>
                <w:color w:val="000000"/>
                <w:sz w:val="24"/>
                <w:szCs w:val="24"/>
              </w:rPr>
            </w:pPr>
          </w:p>
        </w:tc>
        <w:tc>
          <w:tcPr>
            <w:tcW w:w="1134" w:type="dxa"/>
            <w:vMerge w:val="continue"/>
            <w:vAlign w:val="center"/>
          </w:tcPr>
          <w:p w14:paraId="5F67E1CB">
            <w:pPr>
              <w:spacing w:line="400" w:lineRule="exact"/>
              <w:ind w:right="12" w:firstLine="480"/>
              <w:rPr>
                <w:rFonts w:ascii="仿宋" w:hAnsi="仿宋" w:eastAsia="仿宋"/>
                <w:color w:val="000000"/>
                <w:sz w:val="24"/>
                <w:szCs w:val="24"/>
              </w:rPr>
            </w:pPr>
          </w:p>
        </w:tc>
        <w:tc>
          <w:tcPr>
            <w:tcW w:w="2410" w:type="dxa"/>
            <w:vAlign w:val="center"/>
          </w:tcPr>
          <w:p w14:paraId="71E99FFF">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法定代表人身份证明或授权委托书</w:t>
            </w:r>
          </w:p>
        </w:tc>
        <w:tc>
          <w:tcPr>
            <w:tcW w:w="5409" w:type="dxa"/>
            <w:vAlign w:val="center"/>
          </w:tcPr>
          <w:p w14:paraId="2873DAE8">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法定代表人身份证明或授权委托书有效，符合招标文件规定的格式且签章齐全。</w:t>
            </w:r>
          </w:p>
        </w:tc>
      </w:tr>
      <w:tr w14:paraId="6311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2017DD4B">
            <w:pPr>
              <w:spacing w:line="400" w:lineRule="exact"/>
              <w:ind w:right="12" w:firstLine="480"/>
              <w:rPr>
                <w:rFonts w:ascii="仿宋" w:hAnsi="仿宋" w:eastAsia="仿宋"/>
                <w:color w:val="000000"/>
                <w:sz w:val="24"/>
                <w:szCs w:val="24"/>
              </w:rPr>
            </w:pPr>
          </w:p>
        </w:tc>
        <w:tc>
          <w:tcPr>
            <w:tcW w:w="1134" w:type="dxa"/>
            <w:vMerge w:val="continue"/>
            <w:vAlign w:val="center"/>
          </w:tcPr>
          <w:p w14:paraId="7DC62D2A">
            <w:pPr>
              <w:spacing w:line="400" w:lineRule="exact"/>
              <w:ind w:right="12" w:firstLine="480"/>
              <w:rPr>
                <w:rFonts w:ascii="仿宋" w:hAnsi="仿宋" w:eastAsia="仿宋"/>
                <w:color w:val="000000"/>
                <w:sz w:val="24"/>
                <w:szCs w:val="24"/>
              </w:rPr>
            </w:pPr>
          </w:p>
        </w:tc>
        <w:tc>
          <w:tcPr>
            <w:tcW w:w="2410" w:type="dxa"/>
            <w:vAlign w:val="center"/>
          </w:tcPr>
          <w:p w14:paraId="4DFFD554">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投标方案</w:t>
            </w:r>
          </w:p>
        </w:tc>
        <w:tc>
          <w:tcPr>
            <w:tcW w:w="5409" w:type="dxa"/>
            <w:vAlign w:val="center"/>
          </w:tcPr>
          <w:p w14:paraId="3EAC1C56">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每个合同包只能有一个方案投标。</w:t>
            </w:r>
          </w:p>
        </w:tc>
      </w:tr>
      <w:tr w14:paraId="35EE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7628A9A9">
            <w:pPr>
              <w:spacing w:line="400" w:lineRule="exact"/>
              <w:ind w:right="12" w:firstLine="480"/>
              <w:rPr>
                <w:rFonts w:ascii="仿宋" w:hAnsi="仿宋" w:eastAsia="仿宋"/>
                <w:color w:val="000000"/>
                <w:sz w:val="24"/>
                <w:szCs w:val="24"/>
              </w:rPr>
            </w:pPr>
          </w:p>
        </w:tc>
        <w:tc>
          <w:tcPr>
            <w:tcW w:w="1134" w:type="dxa"/>
            <w:vMerge w:val="continue"/>
            <w:vAlign w:val="center"/>
          </w:tcPr>
          <w:p w14:paraId="4595B57C">
            <w:pPr>
              <w:spacing w:line="400" w:lineRule="exact"/>
              <w:ind w:right="12" w:firstLine="480"/>
              <w:rPr>
                <w:rFonts w:ascii="仿宋" w:hAnsi="仿宋" w:eastAsia="仿宋"/>
                <w:color w:val="000000"/>
                <w:sz w:val="24"/>
                <w:szCs w:val="24"/>
              </w:rPr>
            </w:pPr>
          </w:p>
        </w:tc>
        <w:tc>
          <w:tcPr>
            <w:tcW w:w="2410" w:type="dxa"/>
            <w:vAlign w:val="center"/>
          </w:tcPr>
          <w:p w14:paraId="7F2DE5E3">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报价唯一</w:t>
            </w:r>
          </w:p>
        </w:tc>
        <w:tc>
          <w:tcPr>
            <w:tcW w:w="5409" w:type="dxa"/>
            <w:vAlign w:val="center"/>
          </w:tcPr>
          <w:p w14:paraId="6560246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只能在限价范围内报价，只能有一个有效报价，不得提交选择性报价。</w:t>
            </w:r>
          </w:p>
        </w:tc>
      </w:tr>
      <w:tr w14:paraId="1C0B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14:paraId="07A40BB5">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w:t>
            </w:r>
          </w:p>
        </w:tc>
        <w:tc>
          <w:tcPr>
            <w:tcW w:w="1134" w:type="dxa"/>
            <w:vMerge w:val="restart"/>
            <w:vAlign w:val="center"/>
          </w:tcPr>
          <w:p w14:paraId="627F575D">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完整性审查</w:t>
            </w:r>
          </w:p>
        </w:tc>
        <w:tc>
          <w:tcPr>
            <w:tcW w:w="2410" w:type="dxa"/>
            <w:vAlign w:val="center"/>
          </w:tcPr>
          <w:p w14:paraId="719C45C9">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投标文件份数</w:t>
            </w:r>
          </w:p>
        </w:tc>
        <w:tc>
          <w:tcPr>
            <w:tcW w:w="5409" w:type="dxa"/>
            <w:vAlign w:val="center"/>
          </w:tcPr>
          <w:p w14:paraId="0FFBFA4D">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投标文件正、副本数量符合招标文件要求。</w:t>
            </w:r>
          </w:p>
        </w:tc>
      </w:tr>
      <w:tr w14:paraId="299F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14:paraId="7CCA357F">
            <w:pPr>
              <w:spacing w:line="400" w:lineRule="exact"/>
              <w:ind w:right="12" w:firstLine="480"/>
              <w:rPr>
                <w:rFonts w:ascii="仿宋" w:hAnsi="仿宋" w:eastAsia="仿宋"/>
                <w:color w:val="000000"/>
                <w:sz w:val="24"/>
                <w:szCs w:val="24"/>
              </w:rPr>
            </w:pPr>
          </w:p>
        </w:tc>
        <w:tc>
          <w:tcPr>
            <w:tcW w:w="1134" w:type="dxa"/>
            <w:vMerge w:val="continue"/>
            <w:vAlign w:val="center"/>
          </w:tcPr>
          <w:p w14:paraId="3CBBF304">
            <w:pPr>
              <w:spacing w:line="400" w:lineRule="exact"/>
              <w:ind w:right="12" w:firstLine="480"/>
              <w:rPr>
                <w:rFonts w:ascii="仿宋" w:hAnsi="仿宋" w:eastAsia="仿宋"/>
                <w:color w:val="000000"/>
                <w:sz w:val="24"/>
                <w:szCs w:val="24"/>
              </w:rPr>
            </w:pPr>
          </w:p>
        </w:tc>
        <w:tc>
          <w:tcPr>
            <w:tcW w:w="2410" w:type="dxa"/>
            <w:vAlign w:val="center"/>
          </w:tcPr>
          <w:p w14:paraId="5E4E7A20">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投标文件内容</w:t>
            </w:r>
          </w:p>
        </w:tc>
        <w:tc>
          <w:tcPr>
            <w:tcW w:w="5409" w:type="dxa"/>
            <w:vAlign w:val="center"/>
          </w:tcPr>
          <w:p w14:paraId="736C8688">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投标文件封面、目录、技术部分、经济部分齐全、无遗漏。</w:t>
            </w:r>
          </w:p>
        </w:tc>
      </w:tr>
      <w:tr w14:paraId="6207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14:paraId="41608771">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w:t>
            </w:r>
          </w:p>
        </w:tc>
        <w:tc>
          <w:tcPr>
            <w:tcW w:w="1134" w:type="dxa"/>
            <w:vMerge w:val="restart"/>
            <w:vAlign w:val="center"/>
          </w:tcPr>
          <w:p w14:paraId="46A0D354">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招标文件的响应程度审查</w:t>
            </w:r>
          </w:p>
        </w:tc>
        <w:tc>
          <w:tcPr>
            <w:tcW w:w="2410" w:type="dxa"/>
            <w:vAlign w:val="center"/>
          </w:tcPr>
          <w:p w14:paraId="0AC13C7A">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投标文件内容</w:t>
            </w:r>
          </w:p>
        </w:tc>
        <w:tc>
          <w:tcPr>
            <w:tcW w:w="5409" w:type="dxa"/>
            <w:vAlign w:val="center"/>
          </w:tcPr>
          <w:p w14:paraId="2B58355D">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对招标文件规定的招标内容全部作出响应。</w:t>
            </w:r>
          </w:p>
        </w:tc>
      </w:tr>
      <w:tr w14:paraId="0DC0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0CB73383">
            <w:pPr>
              <w:spacing w:line="400" w:lineRule="exact"/>
              <w:ind w:right="12" w:firstLine="480"/>
              <w:rPr>
                <w:rFonts w:ascii="仿宋" w:hAnsi="仿宋" w:eastAsia="仿宋"/>
                <w:color w:val="000000"/>
                <w:sz w:val="24"/>
                <w:szCs w:val="24"/>
              </w:rPr>
            </w:pPr>
          </w:p>
        </w:tc>
        <w:tc>
          <w:tcPr>
            <w:tcW w:w="1134" w:type="dxa"/>
            <w:vMerge w:val="continue"/>
            <w:vAlign w:val="center"/>
          </w:tcPr>
          <w:p w14:paraId="07F6515F">
            <w:pPr>
              <w:spacing w:line="400" w:lineRule="exact"/>
              <w:ind w:right="12" w:firstLine="480"/>
              <w:rPr>
                <w:rFonts w:ascii="仿宋" w:hAnsi="仿宋" w:eastAsia="仿宋"/>
                <w:color w:val="000000"/>
                <w:sz w:val="24"/>
                <w:szCs w:val="24"/>
              </w:rPr>
            </w:pPr>
          </w:p>
        </w:tc>
        <w:tc>
          <w:tcPr>
            <w:tcW w:w="2410" w:type="dxa"/>
            <w:vAlign w:val="center"/>
          </w:tcPr>
          <w:p w14:paraId="6C99A3C1">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投标有效期</w:t>
            </w:r>
          </w:p>
        </w:tc>
        <w:tc>
          <w:tcPr>
            <w:tcW w:w="5409" w:type="dxa"/>
            <w:vAlign w:val="center"/>
          </w:tcPr>
          <w:p w14:paraId="4398CD66">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满足招标文件规定。</w:t>
            </w:r>
          </w:p>
        </w:tc>
      </w:tr>
    </w:tbl>
    <w:p w14:paraId="44B9D0C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14:paraId="54BB52F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4、比较与评价。按招标文件中规定的评标方法和标准，对资格性检查和符合性检查合格的投标文件进行商务和技术评估。</w:t>
      </w:r>
    </w:p>
    <w:p w14:paraId="367D5E2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14:paraId="2765584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复核后，招标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汇总每个投标人每项评分因素的得分。</w:t>
      </w:r>
    </w:p>
    <w:p w14:paraId="24E9991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5、推荐中标候选人名单。按评审后得分由高到低的排列顺序推荐综合得分排名前三的投标人为本分包（项目）中标候选人，排名第一的为第一中标候选人。得分相同的，按经济标得分由高到低顺序排列。</w:t>
      </w:r>
    </w:p>
    <w:p w14:paraId="30D6A43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二、评标标准</w:t>
      </w:r>
      <w:bookmarkStart w:id="11" w:name="_Toc311729665"/>
      <w:bookmarkEnd w:id="11"/>
      <w:r>
        <w:rPr>
          <w:rFonts w:hint="eastAsia" w:ascii="仿宋" w:hAnsi="仿宋" w:eastAsia="仿宋"/>
          <w:color w:val="000000"/>
          <w:sz w:val="24"/>
          <w:szCs w:val="24"/>
        </w:rPr>
        <w:t>：</w:t>
      </w:r>
    </w:p>
    <w:tbl>
      <w:tblPr>
        <w:tblStyle w:val="11"/>
        <w:tblW w:w="9921" w:type="dxa"/>
        <w:tblInd w:w="-34" w:type="dxa"/>
        <w:tblLayout w:type="fixed"/>
        <w:tblCellMar>
          <w:top w:w="0" w:type="dxa"/>
          <w:left w:w="108" w:type="dxa"/>
          <w:bottom w:w="0" w:type="dxa"/>
          <w:right w:w="108" w:type="dxa"/>
        </w:tblCellMar>
      </w:tblPr>
      <w:tblGrid>
        <w:gridCol w:w="1359"/>
        <w:gridCol w:w="828"/>
        <w:gridCol w:w="6907"/>
        <w:gridCol w:w="827"/>
      </w:tblGrid>
      <w:tr w14:paraId="471FBD1A">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000000" w:sz="4" w:space="0"/>
              <w:right w:val="single" w:color="auto" w:sz="4" w:space="0"/>
            </w:tcBorders>
            <w:vAlign w:val="center"/>
          </w:tcPr>
          <w:p w14:paraId="755951E5">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评分因素及权重</w:t>
            </w:r>
          </w:p>
        </w:tc>
        <w:tc>
          <w:tcPr>
            <w:tcW w:w="828" w:type="dxa"/>
            <w:tcBorders>
              <w:top w:val="single" w:color="000000" w:sz="4" w:space="0"/>
              <w:left w:val="single" w:color="auto" w:sz="4" w:space="0"/>
              <w:bottom w:val="single" w:color="000000" w:sz="4" w:space="0"/>
              <w:right w:val="single" w:color="000000" w:sz="4" w:space="0"/>
            </w:tcBorders>
            <w:vAlign w:val="center"/>
          </w:tcPr>
          <w:p w14:paraId="7CE89ED6">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 xml:space="preserve">分值 </w:t>
            </w:r>
          </w:p>
        </w:tc>
        <w:tc>
          <w:tcPr>
            <w:tcW w:w="6907" w:type="dxa"/>
            <w:tcBorders>
              <w:top w:val="single" w:color="000000" w:sz="4" w:space="0"/>
              <w:left w:val="nil"/>
              <w:bottom w:val="single" w:color="000000" w:sz="4" w:space="0"/>
              <w:right w:val="single" w:color="000000" w:sz="4" w:space="0"/>
            </w:tcBorders>
            <w:vAlign w:val="center"/>
          </w:tcPr>
          <w:p w14:paraId="6E3610E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评分标准</w:t>
            </w:r>
          </w:p>
        </w:tc>
        <w:tc>
          <w:tcPr>
            <w:tcW w:w="827" w:type="dxa"/>
            <w:tcBorders>
              <w:top w:val="single" w:color="000000" w:sz="4" w:space="0"/>
              <w:left w:val="nil"/>
              <w:bottom w:val="single" w:color="000000" w:sz="4" w:space="0"/>
              <w:right w:val="single" w:color="000000" w:sz="4" w:space="0"/>
            </w:tcBorders>
            <w:vAlign w:val="center"/>
          </w:tcPr>
          <w:p w14:paraId="23B2F647">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 xml:space="preserve">说明 </w:t>
            </w:r>
          </w:p>
        </w:tc>
      </w:tr>
      <w:tr w14:paraId="1D3B1DB7">
        <w:tblPrEx>
          <w:tblCellMar>
            <w:top w:w="0" w:type="dxa"/>
            <w:left w:w="108" w:type="dxa"/>
            <w:bottom w:w="0" w:type="dxa"/>
            <w:right w:w="108" w:type="dxa"/>
          </w:tblCellMar>
        </w:tblPrEx>
        <w:trPr>
          <w:trHeight w:val="313" w:hRule="atLeast"/>
        </w:trPr>
        <w:tc>
          <w:tcPr>
            <w:tcW w:w="1359" w:type="dxa"/>
            <w:vMerge w:val="restart"/>
            <w:tcBorders>
              <w:top w:val="single" w:color="000000" w:sz="4" w:space="0"/>
              <w:left w:val="single" w:color="000000" w:sz="4" w:space="0"/>
              <w:right w:val="single" w:color="auto" w:sz="4" w:space="0"/>
            </w:tcBorders>
            <w:vAlign w:val="center"/>
          </w:tcPr>
          <w:p w14:paraId="5BB58CD7">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经济</w:t>
            </w:r>
          </w:p>
          <w:p w14:paraId="444DD56E">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部分</w:t>
            </w:r>
          </w:p>
          <w:p w14:paraId="6E8B246C">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40%</w:t>
            </w:r>
          </w:p>
        </w:tc>
        <w:tc>
          <w:tcPr>
            <w:tcW w:w="828" w:type="dxa"/>
            <w:vMerge w:val="restart"/>
            <w:tcBorders>
              <w:top w:val="single" w:color="000000" w:sz="4" w:space="0"/>
              <w:left w:val="single" w:color="auto" w:sz="4" w:space="0"/>
              <w:right w:val="single" w:color="000000" w:sz="4" w:space="0"/>
            </w:tcBorders>
            <w:vAlign w:val="center"/>
          </w:tcPr>
          <w:p w14:paraId="06439502">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40分</w:t>
            </w:r>
          </w:p>
        </w:tc>
        <w:tc>
          <w:tcPr>
            <w:tcW w:w="6907" w:type="dxa"/>
            <w:tcBorders>
              <w:top w:val="single" w:color="000000" w:sz="4" w:space="0"/>
              <w:left w:val="nil"/>
              <w:bottom w:val="single" w:color="auto" w:sz="4" w:space="0"/>
              <w:right w:val="single" w:color="000000" w:sz="4" w:space="0"/>
            </w:tcBorders>
            <w:vAlign w:val="center"/>
          </w:tcPr>
          <w:p w14:paraId="48DAD81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高层住宅15分：与标底相比±0.05元，扣1分</w:t>
            </w:r>
          </w:p>
        </w:tc>
        <w:tc>
          <w:tcPr>
            <w:tcW w:w="827" w:type="dxa"/>
            <w:vMerge w:val="restart"/>
            <w:tcBorders>
              <w:top w:val="single" w:color="000000" w:sz="4" w:space="0"/>
              <w:left w:val="nil"/>
              <w:right w:val="single" w:color="000000" w:sz="4" w:space="0"/>
            </w:tcBorders>
            <w:vAlign w:val="center"/>
          </w:tcPr>
          <w:p w14:paraId="439EFA8F">
            <w:pPr>
              <w:spacing w:line="400" w:lineRule="exact"/>
              <w:ind w:right="12" w:firstLine="480"/>
              <w:rPr>
                <w:rFonts w:ascii="仿宋" w:hAnsi="仿宋" w:eastAsia="仿宋"/>
                <w:color w:val="000000"/>
                <w:sz w:val="24"/>
                <w:szCs w:val="24"/>
              </w:rPr>
            </w:pPr>
          </w:p>
        </w:tc>
      </w:tr>
      <w:tr w14:paraId="4F821E7C">
        <w:tblPrEx>
          <w:tblCellMar>
            <w:top w:w="0" w:type="dxa"/>
            <w:left w:w="108" w:type="dxa"/>
            <w:bottom w:w="0" w:type="dxa"/>
            <w:right w:w="108" w:type="dxa"/>
          </w:tblCellMar>
        </w:tblPrEx>
        <w:trPr>
          <w:trHeight w:val="346" w:hRule="atLeast"/>
        </w:trPr>
        <w:tc>
          <w:tcPr>
            <w:tcW w:w="1359" w:type="dxa"/>
            <w:vMerge w:val="continue"/>
            <w:tcBorders>
              <w:left w:val="single" w:color="000000" w:sz="4" w:space="0"/>
              <w:right w:val="single" w:color="auto" w:sz="4" w:space="0"/>
            </w:tcBorders>
            <w:vAlign w:val="center"/>
          </w:tcPr>
          <w:p w14:paraId="5A273DB1">
            <w:pPr>
              <w:spacing w:line="400" w:lineRule="exact"/>
              <w:ind w:right="12" w:firstLine="480"/>
              <w:rPr>
                <w:rFonts w:ascii="仿宋" w:hAnsi="仿宋" w:eastAsia="仿宋"/>
                <w:color w:val="000000"/>
                <w:sz w:val="24"/>
                <w:szCs w:val="24"/>
              </w:rPr>
            </w:pPr>
          </w:p>
        </w:tc>
        <w:tc>
          <w:tcPr>
            <w:tcW w:w="828" w:type="dxa"/>
            <w:vMerge w:val="continue"/>
            <w:tcBorders>
              <w:left w:val="single" w:color="auto" w:sz="4" w:space="0"/>
              <w:right w:val="single" w:color="000000" w:sz="4" w:space="0"/>
            </w:tcBorders>
            <w:vAlign w:val="center"/>
          </w:tcPr>
          <w:p w14:paraId="10817C5C">
            <w:pPr>
              <w:spacing w:line="400" w:lineRule="exact"/>
              <w:ind w:right="12" w:firstLine="480"/>
              <w:rPr>
                <w:rFonts w:ascii="仿宋" w:hAnsi="仿宋" w:eastAsia="仿宋"/>
                <w:color w:val="000000"/>
                <w:sz w:val="24"/>
                <w:szCs w:val="24"/>
              </w:rPr>
            </w:pPr>
          </w:p>
        </w:tc>
        <w:tc>
          <w:tcPr>
            <w:tcW w:w="6907" w:type="dxa"/>
            <w:tcBorders>
              <w:top w:val="single" w:color="auto" w:sz="4" w:space="0"/>
              <w:left w:val="nil"/>
              <w:bottom w:val="single" w:color="auto" w:sz="4" w:space="0"/>
              <w:right w:val="single" w:color="000000" w:sz="4" w:space="0"/>
            </w:tcBorders>
            <w:vAlign w:val="center"/>
          </w:tcPr>
          <w:p w14:paraId="1C007CA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洋房住宅15分：与标底相比±0.10元，扣1分</w:t>
            </w:r>
          </w:p>
        </w:tc>
        <w:tc>
          <w:tcPr>
            <w:tcW w:w="827" w:type="dxa"/>
            <w:vMerge w:val="continue"/>
            <w:tcBorders>
              <w:left w:val="nil"/>
              <w:right w:val="single" w:color="000000" w:sz="4" w:space="0"/>
            </w:tcBorders>
            <w:vAlign w:val="center"/>
          </w:tcPr>
          <w:p w14:paraId="2C203257">
            <w:pPr>
              <w:spacing w:line="400" w:lineRule="exact"/>
              <w:ind w:right="12" w:firstLine="480"/>
              <w:rPr>
                <w:rFonts w:ascii="仿宋" w:hAnsi="仿宋" w:eastAsia="仿宋"/>
                <w:color w:val="000000"/>
                <w:sz w:val="24"/>
                <w:szCs w:val="24"/>
              </w:rPr>
            </w:pPr>
          </w:p>
        </w:tc>
      </w:tr>
      <w:tr w14:paraId="4A1E061D">
        <w:tblPrEx>
          <w:tblCellMar>
            <w:top w:w="0" w:type="dxa"/>
            <w:left w:w="108" w:type="dxa"/>
            <w:bottom w:w="0" w:type="dxa"/>
            <w:right w:w="108" w:type="dxa"/>
          </w:tblCellMar>
        </w:tblPrEx>
        <w:trPr>
          <w:trHeight w:val="491" w:hRule="atLeast"/>
        </w:trPr>
        <w:tc>
          <w:tcPr>
            <w:tcW w:w="1359" w:type="dxa"/>
            <w:vMerge w:val="continue"/>
            <w:tcBorders>
              <w:left w:val="single" w:color="000000" w:sz="4" w:space="0"/>
              <w:bottom w:val="single" w:color="auto" w:sz="4" w:space="0"/>
              <w:right w:val="single" w:color="auto" w:sz="4" w:space="0"/>
            </w:tcBorders>
            <w:vAlign w:val="center"/>
          </w:tcPr>
          <w:p w14:paraId="530FC00A">
            <w:pPr>
              <w:spacing w:line="400" w:lineRule="exact"/>
              <w:ind w:right="12" w:firstLine="480"/>
              <w:rPr>
                <w:rFonts w:ascii="仿宋" w:hAnsi="仿宋" w:eastAsia="仿宋"/>
                <w:color w:val="000000"/>
                <w:sz w:val="24"/>
                <w:szCs w:val="24"/>
              </w:rPr>
            </w:pPr>
          </w:p>
        </w:tc>
        <w:tc>
          <w:tcPr>
            <w:tcW w:w="828" w:type="dxa"/>
            <w:vMerge w:val="continue"/>
            <w:tcBorders>
              <w:left w:val="single" w:color="auto" w:sz="4" w:space="0"/>
              <w:bottom w:val="single" w:color="auto" w:sz="4" w:space="0"/>
              <w:right w:val="single" w:color="000000" w:sz="4" w:space="0"/>
            </w:tcBorders>
            <w:vAlign w:val="center"/>
          </w:tcPr>
          <w:p w14:paraId="190AADBD">
            <w:pPr>
              <w:spacing w:line="400" w:lineRule="exact"/>
              <w:ind w:right="12" w:firstLine="480"/>
              <w:rPr>
                <w:rFonts w:ascii="仿宋" w:hAnsi="仿宋" w:eastAsia="仿宋"/>
                <w:color w:val="000000"/>
                <w:sz w:val="24"/>
                <w:szCs w:val="24"/>
              </w:rPr>
            </w:pPr>
          </w:p>
        </w:tc>
        <w:tc>
          <w:tcPr>
            <w:tcW w:w="6907" w:type="dxa"/>
            <w:tcBorders>
              <w:top w:val="single" w:color="auto" w:sz="4" w:space="0"/>
              <w:left w:val="nil"/>
              <w:bottom w:val="single" w:color="auto" w:sz="4" w:space="0"/>
              <w:right w:val="single" w:color="000000" w:sz="4" w:space="0"/>
            </w:tcBorders>
            <w:vAlign w:val="center"/>
          </w:tcPr>
          <w:p w14:paraId="0AF25CB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车位10分：与标底相比±5.00元，扣1分</w:t>
            </w:r>
          </w:p>
        </w:tc>
        <w:tc>
          <w:tcPr>
            <w:tcW w:w="827" w:type="dxa"/>
            <w:vMerge w:val="continue"/>
            <w:tcBorders>
              <w:left w:val="nil"/>
              <w:bottom w:val="single" w:color="auto" w:sz="4" w:space="0"/>
              <w:right w:val="single" w:color="000000" w:sz="4" w:space="0"/>
            </w:tcBorders>
            <w:vAlign w:val="center"/>
          </w:tcPr>
          <w:p w14:paraId="062EB189">
            <w:pPr>
              <w:spacing w:line="400" w:lineRule="exact"/>
              <w:ind w:right="12" w:firstLine="480"/>
              <w:rPr>
                <w:rFonts w:ascii="仿宋" w:hAnsi="仿宋" w:eastAsia="仿宋"/>
                <w:color w:val="000000"/>
                <w:sz w:val="24"/>
                <w:szCs w:val="24"/>
              </w:rPr>
            </w:pPr>
          </w:p>
        </w:tc>
      </w:tr>
      <w:tr w14:paraId="1B9AC2DB">
        <w:tblPrEx>
          <w:tblCellMar>
            <w:top w:w="0" w:type="dxa"/>
            <w:left w:w="108" w:type="dxa"/>
            <w:bottom w:w="0" w:type="dxa"/>
            <w:right w:w="108" w:type="dxa"/>
          </w:tblCellMar>
        </w:tblPrEx>
        <w:trPr>
          <w:trHeight w:val="1690" w:hRule="atLeast"/>
        </w:trPr>
        <w:tc>
          <w:tcPr>
            <w:tcW w:w="1359" w:type="dxa"/>
            <w:tcBorders>
              <w:top w:val="single" w:color="auto" w:sz="4" w:space="0"/>
              <w:left w:val="single" w:color="000000" w:sz="4" w:space="0"/>
              <w:bottom w:val="single" w:color="auto" w:sz="4" w:space="0"/>
              <w:right w:val="single" w:color="auto" w:sz="4" w:space="0"/>
            </w:tcBorders>
            <w:vAlign w:val="center"/>
          </w:tcPr>
          <w:p w14:paraId="351D230F">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技术</w:t>
            </w:r>
          </w:p>
          <w:p w14:paraId="45FB3E71">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部分</w:t>
            </w:r>
          </w:p>
          <w:p w14:paraId="25E6308B">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40%</w:t>
            </w:r>
          </w:p>
        </w:tc>
        <w:tc>
          <w:tcPr>
            <w:tcW w:w="828" w:type="dxa"/>
            <w:tcBorders>
              <w:top w:val="single" w:color="auto" w:sz="4" w:space="0"/>
              <w:left w:val="single" w:color="auto" w:sz="4" w:space="0"/>
              <w:bottom w:val="single" w:color="auto" w:sz="4" w:space="0"/>
              <w:right w:val="single" w:color="000000" w:sz="4" w:space="0"/>
            </w:tcBorders>
            <w:vAlign w:val="center"/>
          </w:tcPr>
          <w:p w14:paraId="15DAD3FD">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40分</w:t>
            </w:r>
          </w:p>
        </w:tc>
        <w:tc>
          <w:tcPr>
            <w:tcW w:w="6907" w:type="dxa"/>
            <w:tcBorders>
              <w:top w:val="single" w:color="auto" w:sz="4" w:space="0"/>
              <w:left w:val="nil"/>
              <w:bottom w:val="single" w:color="auto" w:sz="4" w:space="0"/>
              <w:right w:val="single" w:color="000000" w:sz="4" w:space="0"/>
            </w:tcBorders>
            <w:vAlign w:val="center"/>
          </w:tcPr>
          <w:p w14:paraId="0214BF8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以下</w:t>
            </w:r>
            <w:r>
              <w:rPr>
                <w:rFonts w:ascii="仿宋" w:hAnsi="仿宋" w:eastAsia="仿宋"/>
                <w:color w:val="000000"/>
                <w:sz w:val="24"/>
                <w:szCs w:val="24"/>
              </w:rPr>
              <w:t>各方面</w:t>
            </w:r>
            <w:r>
              <w:rPr>
                <w:rFonts w:hint="eastAsia" w:ascii="仿宋" w:hAnsi="仿宋" w:eastAsia="仿宋"/>
                <w:color w:val="000000"/>
                <w:sz w:val="24"/>
                <w:szCs w:val="24"/>
              </w:rPr>
              <w:t>，投标文件必须作出实质性响应，未响应条款按0分处理。评分标准如下：</w:t>
            </w:r>
          </w:p>
          <w:p w14:paraId="1CDBF33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1.物业管理的整体设想（4分）</w:t>
            </w:r>
          </w:p>
          <w:p w14:paraId="16DAB4B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2.项目组织机构设置和人员配置方案（4分）</w:t>
            </w:r>
          </w:p>
          <w:p w14:paraId="73382F5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3.物业服务人员招募、培训、上岗、培养教育、日常管理方案（5分）</w:t>
            </w:r>
          </w:p>
          <w:p w14:paraId="16EF8E1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4.早期介入和档案资料管理（5分）</w:t>
            </w:r>
          </w:p>
          <w:p w14:paraId="0F08EC1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5.服务内容和管理措施（5.5分）</w:t>
            </w:r>
          </w:p>
          <w:p w14:paraId="072EF2A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6.突发应急预案（6分）</w:t>
            </w:r>
          </w:p>
          <w:p w14:paraId="7A6DFE3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7.便民服务措施和服务标准承诺（4.5分）</w:t>
            </w:r>
          </w:p>
          <w:p w14:paraId="576E5F0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8.收支分项测算（6分）</w:t>
            </w:r>
          </w:p>
          <w:p w14:paraId="1403CEF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以上各条根据投标人提供的技术服务方案，由评标委员会各评审专家酌情评分。</w:t>
            </w:r>
          </w:p>
        </w:tc>
        <w:tc>
          <w:tcPr>
            <w:tcW w:w="827" w:type="dxa"/>
            <w:tcBorders>
              <w:top w:val="single" w:color="000000" w:sz="4" w:space="0"/>
              <w:left w:val="nil"/>
              <w:bottom w:val="single" w:color="auto" w:sz="4" w:space="0"/>
              <w:right w:val="single" w:color="000000" w:sz="4" w:space="0"/>
            </w:tcBorders>
            <w:vAlign w:val="center"/>
          </w:tcPr>
          <w:p w14:paraId="5C2BEB10">
            <w:pPr>
              <w:spacing w:line="400" w:lineRule="exact"/>
              <w:ind w:right="12" w:firstLine="480"/>
              <w:rPr>
                <w:rFonts w:ascii="仿宋" w:hAnsi="仿宋" w:eastAsia="仿宋"/>
                <w:color w:val="000000"/>
                <w:sz w:val="24"/>
                <w:szCs w:val="24"/>
              </w:rPr>
            </w:pPr>
          </w:p>
        </w:tc>
      </w:tr>
      <w:tr w14:paraId="7AFDD6CA">
        <w:tblPrEx>
          <w:tblCellMar>
            <w:top w:w="0" w:type="dxa"/>
            <w:left w:w="108" w:type="dxa"/>
            <w:bottom w:w="0" w:type="dxa"/>
            <w:right w:w="108" w:type="dxa"/>
          </w:tblCellMar>
        </w:tblPrEx>
        <w:trPr>
          <w:trHeight w:val="1295" w:hRule="atLeast"/>
        </w:trPr>
        <w:tc>
          <w:tcPr>
            <w:tcW w:w="1359" w:type="dxa"/>
            <w:tcBorders>
              <w:top w:val="single" w:color="auto" w:sz="4" w:space="0"/>
              <w:left w:val="single" w:color="000000" w:sz="4" w:space="0"/>
              <w:bottom w:val="single" w:color="auto" w:sz="4" w:space="0"/>
              <w:right w:val="single" w:color="auto" w:sz="4" w:space="0"/>
            </w:tcBorders>
            <w:vAlign w:val="center"/>
          </w:tcPr>
          <w:p w14:paraId="0F2EEF09">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现场答辩部分</w:t>
            </w:r>
          </w:p>
          <w:p w14:paraId="248D3933">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20%</w:t>
            </w:r>
          </w:p>
        </w:tc>
        <w:tc>
          <w:tcPr>
            <w:tcW w:w="828" w:type="dxa"/>
            <w:tcBorders>
              <w:top w:val="single" w:color="auto" w:sz="4" w:space="0"/>
              <w:left w:val="single" w:color="auto" w:sz="4" w:space="0"/>
              <w:bottom w:val="single" w:color="auto" w:sz="4" w:space="0"/>
              <w:right w:val="single" w:color="000000" w:sz="4" w:space="0"/>
            </w:tcBorders>
            <w:vAlign w:val="center"/>
          </w:tcPr>
          <w:p w14:paraId="12E4C0EE">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20分</w:t>
            </w:r>
          </w:p>
        </w:tc>
        <w:tc>
          <w:tcPr>
            <w:tcW w:w="6907" w:type="dxa"/>
            <w:tcBorders>
              <w:top w:val="single" w:color="auto" w:sz="4" w:space="0"/>
              <w:left w:val="nil"/>
              <w:bottom w:val="single" w:color="auto" w:sz="4" w:space="0"/>
              <w:right w:val="single" w:color="000000" w:sz="4" w:space="0"/>
            </w:tcBorders>
            <w:vAlign w:val="center"/>
          </w:tcPr>
          <w:p w14:paraId="69F9444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对物业管理知识和物业管理的法律法规的熟悉程度，回答问题的准确性、条理性及完整性，20分</w:t>
            </w:r>
          </w:p>
        </w:tc>
        <w:tc>
          <w:tcPr>
            <w:tcW w:w="827" w:type="dxa"/>
            <w:tcBorders>
              <w:top w:val="single" w:color="auto" w:sz="4" w:space="0"/>
              <w:left w:val="nil"/>
              <w:bottom w:val="single" w:color="auto" w:sz="4" w:space="0"/>
              <w:right w:val="single" w:color="000000" w:sz="4" w:space="0"/>
            </w:tcBorders>
            <w:vAlign w:val="center"/>
          </w:tcPr>
          <w:p w14:paraId="6AE8783E">
            <w:pPr>
              <w:spacing w:line="400" w:lineRule="exact"/>
              <w:ind w:right="12" w:firstLine="480"/>
              <w:rPr>
                <w:rFonts w:ascii="仿宋" w:hAnsi="仿宋" w:eastAsia="仿宋"/>
                <w:color w:val="000000"/>
                <w:sz w:val="24"/>
                <w:szCs w:val="24"/>
              </w:rPr>
            </w:pPr>
          </w:p>
        </w:tc>
      </w:tr>
    </w:tbl>
    <w:p w14:paraId="1EB375A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三、无效投标条款</w:t>
      </w:r>
    </w:p>
    <w:p w14:paraId="40C60A8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评标委员会评审时，投标人或其投标文件出现下列情况之一者，应为无效投标：</w:t>
      </w:r>
    </w:p>
    <w:p w14:paraId="45D6DEF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（一）投标人未通过资格性检查的；</w:t>
      </w:r>
    </w:p>
    <w:p w14:paraId="5F950C7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（二）投标人营业执照上经营范围无物业管理的；</w:t>
      </w:r>
    </w:p>
    <w:p w14:paraId="2725B32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（三）法定代表人为同一个人的两个及两个以上法人，母公司、全资子公司及其控股公司进行投标的，上述投标人的投标均无效；</w:t>
      </w:r>
    </w:p>
    <w:p w14:paraId="4694ED7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（四）投标文件出现多个投标方案或投标报价的；</w:t>
      </w:r>
    </w:p>
    <w:p w14:paraId="7237F28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（五）投标报价超出招标文件规定的单价最高限价的；</w:t>
      </w:r>
    </w:p>
    <w:p w14:paraId="72C1A04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（六）投标文件含有违反国家法律、法规的内容，或附有招标人不能接受的条件的；</w:t>
      </w:r>
    </w:p>
    <w:p w14:paraId="086D5A5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（七）经评标委员会审查，未对招标文件作实质性响应的；</w:t>
      </w:r>
    </w:p>
    <w:p w14:paraId="77816A1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（八）招标文件规定的其他无效投标条款。</w:t>
      </w:r>
    </w:p>
    <w:p w14:paraId="34E6B2BF">
      <w:pPr>
        <w:spacing w:line="400" w:lineRule="exact"/>
        <w:ind w:right="12" w:firstLine="480"/>
        <w:rPr>
          <w:rFonts w:ascii="仿宋" w:hAnsi="仿宋" w:eastAsia="仿宋"/>
          <w:color w:val="000000"/>
          <w:sz w:val="24"/>
          <w:szCs w:val="24"/>
        </w:rPr>
      </w:pPr>
      <w:bookmarkStart w:id="12" w:name="_Toc271791974"/>
      <w:bookmarkEnd w:id="12"/>
      <w:bookmarkStart w:id="13" w:name="_Toc311729666"/>
      <w:r>
        <w:rPr>
          <w:rFonts w:hint="eastAsia" w:ascii="仿宋" w:hAnsi="仿宋" w:eastAsia="仿宋"/>
          <w:color w:val="000000"/>
          <w:sz w:val="24"/>
          <w:szCs w:val="24"/>
        </w:rPr>
        <w:t>四、废标条款</w:t>
      </w:r>
      <w:bookmarkEnd w:id="13"/>
    </w:p>
    <w:p w14:paraId="7D149B0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评标委员会评审时出现以下情况之一的，应予废标：</w:t>
      </w:r>
    </w:p>
    <w:p w14:paraId="3BF7443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（一）符合专业条件的投标人或者对招标文件作实质响应的投标人不足三家的。</w:t>
      </w:r>
    </w:p>
    <w:p w14:paraId="4BE7E35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（二）投标人的报价符合招标最高限价的投标人不足三家的。</w:t>
      </w:r>
    </w:p>
    <w:p w14:paraId="1BBFDCA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（三）出现影响招标公正的违法、违规行为的。</w:t>
      </w:r>
    </w:p>
    <w:p w14:paraId="59AD53A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（四）因重大变故，招标任务取消的。</w:t>
      </w:r>
    </w:p>
    <w:p w14:paraId="2F1F2CB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废标后，应当重新组织招标。</w:t>
      </w:r>
      <w:bookmarkStart w:id="14" w:name="_Toc311729667"/>
      <w:bookmarkEnd w:id="14"/>
      <w:bookmarkStart w:id="15" w:name="_Toc271791975"/>
      <w:bookmarkEnd w:id="15"/>
    </w:p>
    <w:p w14:paraId="322E0CC6">
      <w:pPr>
        <w:snapToGrid w:val="0"/>
        <w:spacing w:line="500" w:lineRule="exact"/>
        <w:ind w:left="570"/>
        <w:rPr>
          <w:rFonts w:ascii="仿宋" w:hAnsi="仿宋" w:eastAsia="仿宋"/>
          <w:color w:val="000000"/>
          <w:sz w:val="28"/>
          <w:szCs w:val="28"/>
        </w:rPr>
      </w:pPr>
    </w:p>
    <w:p w14:paraId="385BC8BA">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14:paraId="2B98B430">
      <w:pPr>
        <w:spacing w:line="400" w:lineRule="exact"/>
        <w:ind w:right="12" w:firstLine="480"/>
        <w:rPr>
          <w:rFonts w:ascii="仿宋" w:hAnsi="仿宋" w:eastAsia="仿宋"/>
          <w:color w:val="000000"/>
          <w:sz w:val="24"/>
          <w:szCs w:val="24"/>
        </w:rPr>
      </w:pPr>
      <w:bookmarkStart w:id="16" w:name="_Toc271791976"/>
      <w:bookmarkEnd w:id="16"/>
      <w:bookmarkStart w:id="17" w:name="_Toc311729668"/>
      <w:r>
        <w:rPr>
          <w:rFonts w:hint="eastAsia" w:ascii="仿宋" w:hAnsi="仿宋" w:eastAsia="仿宋"/>
          <w:color w:val="000000"/>
          <w:sz w:val="24"/>
          <w:szCs w:val="24"/>
        </w:rPr>
        <w:t>一、投标费用</w:t>
      </w:r>
      <w:bookmarkEnd w:id="17"/>
    </w:p>
    <w:p w14:paraId="098C0F9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无论投标结果如何，投标人参与本项目投标的所有费用均应由投标人自行承担。</w:t>
      </w:r>
    </w:p>
    <w:p w14:paraId="60FABB3B">
      <w:pPr>
        <w:spacing w:line="400" w:lineRule="exact"/>
        <w:ind w:right="12" w:firstLine="480"/>
        <w:rPr>
          <w:rFonts w:ascii="仿宋" w:hAnsi="仿宋" w:eastAsia="仿宋"/>
          <w:color w:val="000000"/>
          <w:sz w:val="24"/>
          <w:szCs w:val="24"/>
        </w:rPr>
      </w:pPr>
      <w:bookmarkStart w:id="18" w:name="_Toc271791977"/>
      <w:bookmarkEnd w:id="18"/>
      <w:bookmarkStart w:id="19" w:name="_Toc311729669"/>
      <w:r>
        <w:rPr>
          <w:rFonts w:hint="eastAsia" w:ascii="仿宋" w:hAnsi="仿宋" w:eastAsia="仿宋"/>
          <w:color w:val="000000"/>
          <w:sz w:val="24"/>
          <w:szCs w:val="24"/>
        </w:rPr>
        <w:t>二、投标人</w:t>
      </w:r>
      <w:bookmarkEnd w:id="19"/>
    </w:p>
    <w:p w14:paraId="7F2C2C6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1、合格投标人条件</w:t>
      </w:r>
    </w:p>
    <w:p w14:paraId="79FC8E9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合格投标人应完全符合招标文件第一篇中规定的投标人资格条件，并对招标文件作出实质性响应。</w:t>
      </w:r>
    </w:p>
    <w:p w14:paraId="5F6678F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2、投标人的风险</w:t>
      </w:r>
    </w:p>
    <w:p w14:paraId="33249F0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投标人没有按照招标文件要求提供全部资料，或者投标人没有对招标文件在各方面作出实质性响应，可能导致投标被拒绝或评定为无效投标。</w:t>
      </w:r>
    </w:p>
    <w:p w14:paraId="6AA7B33D">
      <w:pPr>
        <w:spacing w:line="400" w:lineRule="exact"/>
        <w:ind w:right="12" w:firstLine="480"/>
        <w:rPr>
          <w:rFonts w:ascii="仿宋" w:hAnsi="仿宋" w:eastAsia="仿宋"/>
          <w:color w:val="000000"/>
          <w:sz w:val="24"/>
          <w:szCs w:val="24"/>
        </w:rPr>
      </w:pPr>
      <w:bookmarkStart w:id="20" w:name="_Toc271791978"/>
      <w:bookmarkEnd w:id="20"/>
      <w:bookmarkStart w:id="21" w:name="_Toc311729670"/>
      <w:r>
        <w:rPr>
          <w:rFonts w:hint="eastAsia" w:ascii="仿宋" w:hAnsi="仿宋" w:eastAsia="仿宋"/>
          <w:color w:val="000000"/>
          <w:sz w:val="24"/>
          <w:szCs w:val="24"/>
        </w:rPr>
        <w:t>三、招标文件</w:t>
      </w:r>
      <w:bookmarkEnd w:id="21"/>
    </w:p>
    <w:p w14:paraId="60C9183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招标文件是投标人编制投标文件的依据，是评标委员会评判依据和标准。招标文件也是招标人与中标投标人签订合同的基础。</w:t>
      </w:r>
    </w:p>
    <w:p w14:paraId="3C4AA0E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1、招标文件由投标邀请书；项目介绍和服务要求；商务条款；评标方法、评标标准、无效投标条款和废标条款；投标人须知；合同范本；投标文件格式等七部分组成。</w:t>
      </w:r>
    </w:p>
    <w:p w14:paraId="2D621E4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对招标文件所作的一切有效的书面通知、修改及补充，都是招标文件不可分割的部分。</w:t>
      </w:r>
    </w:p>
    <w:p w14:paraId="0F76AA9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3、投标人对招标文件如有异议，应在规定时间内以书面形式提交招标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对已发出的招标文件需要进行澄清或修改的，应以书面形式在重庆市潼南区住房和城乡建设委员会网站（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）进行通知。该澄清或者修改的内容为招标文件的组成部分。</w:t>
      </w:r>
    </w:p>
    <w:p w14:paraId="1E491F1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4、投标人对招标文件有异议的，应在规定时间内提出，否则视同认可招标文件所有要求。逾期提出异议的，招标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可以不予受理。</w:t>
      </w:r>
    </w:p>
    <w:p w14:paraId="6C2C2942">
      <w:pPr>
        <w:spacing w:line="400" w:lineRule="exact"/>
        <w:ind w:right="12" w:firstLine="480"/>
        <w:rPr>
          <w:rFonts w:ascii="仿宋" w:hAnsi="仿宋" w:eastAsia="仿宋"/>
          <w:color w:val="000000"/>
          <w:sz w:val="24"/>
          <w:szCs w:val="24"/>
        </w:rPr>
      </w:pPr>
      <w:bookmarkStart w:id="22" w:name="_Toc271791979"/>
      <w:bookmarkEnd w:id="22"/>
      <w:bookmarkStart w:id="23" w:name="_Toc311729671"/>
      <w:r>
        <w:rPr>
          <w:rFonts w:hint="eastAsia" w:ascii="仿宋" w:hAnsi="仿宋" w:eastAsia="仿宋"/>
          <w:color w:val="000000"/>
          <w:sz w:val="24"/>
          <w:szCs w:val="24"/>
        </w:rPr>
        <w:t>四、投标文件</w:t>
      </w:r>
      <w:bookmarkEnd w:id="23"/>
    </w:p>
    <w:p w14:paraId="076B78F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投标人应当按照招标文件的要求编制投标文件，并对招标文件提出的要求和条件作出实质性响应。</w:t>
      </w:r>
    </w:p>
    <w:p w14:paraId="427DC37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（一）投标文件组成</w:t>
      </w:r>
    </w:p>
    <w:p w14:paraId="3697ECB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投标文件由以下部分和投标人所作的一切有效补充、修改和承诺等文件组成，投标人应按照第七篇“投标文件格式”的目录顺序组织编写和装订。</w:t>
      </w:r>
    </w:p>
    <w:p w14:paraId="1BBF9E2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（二）投标文件的份数和签署.</w:t>
      </w:r>
    </w:p>
    <w:p w14:paraId="3A426AA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1、投标文件一式</w:t>
      </w:r>
      <w:r>
        <w:rPr>
          <w:rFonts w:hint="eastAsia" w:ascii="仿宋" w:hAnsi="仿宋" w:eastAsia="仿宋"/>
          <w:color w:val="000000"/>
          <w:sz w:val="24"/>
          <w:szCs w:val="24"/>
          <w:lang w:val="en-US" w:eastAsia="zh-CN"/>
        </w:rPr>
        <w:t>四</w:t>
      </w:r>
      <w:r>
        <w:rPr>
          <w:rFonts w:hint="eastAsia" w:ascii="仿宋" w:hAnsi="仿宋" w:eastAsia="仿宋"/>
          <w:color w:val="000000"/>
          <w:sz w:val="24"/>
          <w:szCs w:val="24"/>
        </w:rPr>
        <w:t>份，一正</w:t>
      </w:r>
      <w:r>
        <w:rPr>
          <w:rFonts w:hint="eastAsia" w:ascii="仿宋" w:hAnsi="仿宋" w:eastAsia="仿宋"/>
          <w:color w:val="000000"/>
          <w:sz w:val="24"/>
          <w:szCs w:val="24"/>
          <w:lang w:val="en-US" w:eastAsia="zh-CN"/>
        </w:rPr>
        <w:t>三</w:t>
      </w:r>
      <w:r>
        <w:rPr>
          <w:rFonts w:hint="eastAsia" w:ascii="仿宋" w:hAnsi="仿宋" w:eastAsia="仿宋"/>
          <w:color w:val="000000"/>
          <w:sz w:val="24"/>
          <w:szCs w:val="24"/>
        </w:rPr>
        <w:t>副，每份纸质投标文件内容须完全一样，须在封面清楚地标明“项目名称”和“投标人名称”，封面必须加盖鲜章。</w:t>
      </w:r>
    </w:p>
    <w:p w14:paraId="3A50853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2、招标文件第七篇投标文件格式中规定签字、盖章的地方必须按其规定签字、盖章。</w:t>
      </w:r>
    </w:p>
    <w:p w14:paraId="7A79B60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3、若投标人对投标文件的错处作必要修改，则应在修改处加盖投标人公章或由法人或法人授权代表签字确认。</w:t>
      </w:r>
    </w:p>
    <w:p w14:paraId="26014A7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4、电报、电话、传真形式的投标文件概不接受，如份数缺失或未按要求签字盖章则视为该投标人不具备投标资格。</w:t>
      </w:r>
    </w:p>
    <w:p w14:paraId="2B7DB94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（三）投标报价</w:t>
      </w:r>
    </w:p>
    <w:p w14:paraId="3C2148F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1、投标报价应包括物业管理条例规定的物业服务当中应由物业服务企业承担的全部费用。</w:t>
      </w:r>
    </w:p>
    <w:p w14:paraId="6197283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2、投标人应严格按照“投标文件格式”中“报价函”格式进行报价。</w:t>
      </w:r>
    </w:p>
    <w:p w14:paraId="731DAD2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3、本项目只接受一个投标报价，该报价用于计算投标文件经济部分得分，最后的合同价格在该报价的基础上，须经过政府相关部门指导确认，合理调整后再签署。</w:t>
      </w:r>
    </w:p>
    <w:p w14:paraId="72DF270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4、有选择的或有条件的报价将不予接受。</w:t>
      </w:r>
    </w:p>
    <w:p w14:paraId="3D0EAD1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（四）修正错误</w:t>
      </w:r>
    </w:p>
    <w:p w14:paraId="7834B86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若投标文件出现计算或表达上的错误，修正错误的原则如下：</w:t>
      </w:r>
    </w:p>
    <w:p w14:paraId="0B33DB7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1、报价函与收支分项测算不一致的，以报价函为准；</w:t>
      </w:r>
    </w:p>
    <w:p w14:paraId="34067C1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2、报价函的大写金额和小写金额不一致的，以大写金额为准；</w:t>
      </w:r>
    </w:p>
    <w:p w14:paraId="27C8636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3、金额小数点有明显错位的，应予以纠正；</w:t>
      </w:r>
    </w:p>
    <w:p w14:paraId="0D4A615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4、对不同文字文本投标文件的解释发生异议的，以中文文本为准。</w:t>
      </w:r>
    </w:p>
    <w:p w14:paraId="5AB876B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评标委员会按上述修正错误的原则及方法调整或修正投标人投标报价，调整后的投标报价对投标人具有约束作用。如果投标人不接受修正后的报价，则其投标将作为无效投标处理。</w:t>
      </w:r>
    </w:p>
    <w:p w14:paraId="4A59092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（五）投标文件的递交</w:t>
      </w:r>
    </w:p>
    <w:p w14:paraId="42B7262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1、投标文件的密封与标记</w:t>
      </w:r>
    </w:p>
    <w:p w14:paraId="6E0C7B3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投标文件应用密封袋集中密封。密封袋上注明项目名称、投标人名称及“不准提前启封”字样。封口须加盖投标人公章。</w:t>
      </w:r>
    </w:p>
    <w:p w14:paraId="6DC7B83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2、如果未按上述规定进行密封和标记，招标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对投标文件误投、丢失或提前拆封不负责任；对未密封或密封情况特别糟糕的投标人，招标方现场代表可否决其投标资格。</w:t>
      </w:r>
    </w:p>
    <w:p w14:paraId="4FE0BD79">
      <w:pPr>
        <w:spacing w:line="400" w:lineRule="exact"/>
        <w:ind w:right="12" w:firstLine="480"/>
        <w:rPr>
          <w:rFonts w:ascii="仿宋" w:hAnsi="仿宋" w:eastAsia="仿宋"/>
          <w:color w:val="000000"/>
          <w:sz w:val="24"/>
          <w:szCs w:val="24"/>
        </w:rPr>
      </w:pPr>
      <w:bookmarkStart w:id="24" w:name="_Toc271791980"/>
      <w:bookmarkEnd w:id="24"/>
      <w:bookmarkStart w:id="25" w:name="_Toc311729672"/>
      <w:r>
        <w:rPr>
          <w:rFonts w:hint="eastAsia" w:ascii="仿宋" w:hAnsi="仿宋" w:eastAsia="仿宋"/>
          <w:color w:val="000000"/>
          <w:sz w:val="24"/>
          <w:szCs w:val="24"/>
        </w:rPr>
        <w:t>五、开标</w:t>
      </w:r>
      <w:bookmarkEnd w:id="25"/>
    </w:p>
    <w:p w14:paraId="3513485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（一）开标在招标文件中“投标邀请书”确定的时间和地点公开进行。</w:t>
      </w:r>
    </w:p>
    <w:p w14:paraId="3346423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可以视招标具体情况，延长投标截止时间和开标时间，但至少应当在招标文件要求提交投标文件的截止时间三日前，将变更时间在重庆市潼南区住房和城乡建设委员会网站（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）书面通知。</w:t>
      </w:r>
    </w:p>
    <w:p w14:paraId="09816F4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（三）开标由招标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主持，邀请招标人、投标人、评审专家和有关监督部门代表参加。</w:t>
      </w:r>
    </w:p>
    <w:p w14:paraId="16FFD65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（四）开标时，由投标人或者其推选的代表检查投标文件的密封情况；经确认密封完好的投标文件，由工作人员当众拆封，宣读投标人投标文件“报价函”的投标人名称和投标报价，以及其他主要内容并记录。</w:t>
      </w:r>
    </w:p>
    <w:p w14:paraId="217FCD7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（五）未宣读的投标价格等实质性内容等，评标时不予承认。</w:t>
      </w:r>
    </w:p>
    <w:p w14:paraId="0C9140F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（六）开标过程应由签到表、报价确认表、专家评分表、招标人评分表、得分汇总表、经济标标底、监督人致辞组成。会后交物业主管部门存档备查。</w:t>
      </w:r>
    </w:p>
    <w:p w14:paraId="289A466E">
      <w:pPr>
        <w:spacing w:line="400" w:lineRule="exact"/>
        <w:ind w:right="12" w:firstLine="480"/>
        <w:rPr>
          <w:rFonts w:ascii="仿宋" w:hAnsi="仿宋" w:eastAsia="仿宋"/>
          <w:color w:val="000000"/>
          <w:sz w:val="24"/>
          <w:szCs w:val="24"/>
        </w:rPr>
      </w:pPr>
      <w:bookmarkStart w:id="26" w:name="_Toc271791981"/>
      <w:bookmarkEnd w:id="26"/>
      <w:bookmarkStart w:id="27" w:name="_Toc311729673"/>
      <w:r>
        <w:rPr>
          <w:rFonts w:hint="eastAsia" w:ascii="仿宋" w:hAnsi="仿宋" w:eastAsia="仿宋"/>
          <w:color w:val="000000"/>
          <w:sz w:val="24"/>
          <w:szCs w:val="24"/>
        </w:rPr>
        <w:t>六、评标</w:t>
      </w:r>
      <w:bookmarkEnd w:id="27"/>
    </w:p>
    <w:p w14:paraId="3344174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见第四篇“评标”内容。</w:t>
      </w:r>
    </w:p>
    <w:p w14:paraId="1216A11D">
      <w:pPr>
        <w:spacing w:line="400" w:lineRule="exact"/>
        <w:ind w:right="12" w:firstLine="480"/>
        <w:rPr>
          <w:rFonts w:ascii="仿宋" w:hAnsi="仿宋" w:eastAsia="仿宋"/>
          <w:color w:val="000000"/>
          <w:sz w:val="24"/>
          <w:szCs w:val="24"/>
        </w:rPr>
      </w:pPr>
      <w:bookmarkStart w:id="28" w:name="_Toc271791982"/>
      <w:bookmarkEnd w:id="28"/>
      <w:bookmarkStart w:id="29" w:name="_Toc311729674"/>
      <w:r>
        <w:rPr>
          <w:rFonts w:hint="eastAsia" w:ascii="仿宋" w:hAnsi="仿宋" w:eastAsia="仿宋"/>
          <w:color w:val="000000"/>
          <w:sz w:val="24"/>
          <w:szCs w:val="24"/>
        </w:rPr>
        <w:t>七、定标</w:t>
      </w:r>
      <w:bookmarkEnd w:id="29"/>
    </w:p>
    <w:p w14:paraId="5BC790D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（一）定标原则</w:t>
      </w:r>
    </w:p>
    <w:p w14:paraId="2762356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招标人或其授权的评标委员会应按照评标报告中推荐的中标候选投标人排名顺序确定中标投标人。</w:t>
      </w:r>
    </w:p>
    <w:p w14:paraId="7355CD8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（二）定标程序</w:t>
      </w:r>
    </w:p>
    <w:p w14:paraId="100B526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1、在招标人代表和评标委员会打分结束后，当场统计各投标人的得分情况，并由评标委员会评审组长宣读评分结果同时对本次招投标情况进行点评。</w:t>
      </w:r>
    </w:p>
    <w:p w14:paraId="02A614B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开标会结束后，在重庆市潼南区住房和城乡建设委员会网站（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）发布公示评标结果。</w:t>
      </w:r>
    </w:p>
    <w:p w14:paraId="638AB3F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2、投标人对评标结果无异议的，招标人应在收到评标报告后3个工作日内对评标结果进行确认。如有投标人对评标结果提出质疑的，招标人可在质疑处理完毕后确定中标人。</w:t>
      </w:r>
    </w:p>
    <w:p w14:paraId="584DA76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3、中标投标人变更</w:t>
      </w:r>
    </w:p>
    <w:p w14:paraId="57228AD7">
      <w:pPr>
        <w:spacing w:line="400" w:lineRule="exact"/>
        <w:ind w:right="12" w:firstLine="480"/>
        <w:rPr>
          <w:rFonts w:ascii="仿宋" w:hAnsi="仿宋" w:eastAsia="仿宋"/>
          <w:color w:val="000000"/>
          <w:sz w:val="24"/>
          <w:szCs w:val="24"/>
        </w:rPr>
      </w:pPr>
      <w:bookmarkStart w:id="30" w:name="_Toc271791983"/>
      <w:bookmarkEnd w:id="30"/>
      <w:bookmarkStart w:id="31" w:name="_Toc311729675"/>
      <w:r>
        <w:rPr>
          <w:rFonts w:hint="eastAsia" w:ascii="仿宋" w:hAnsi="仿宋" w:eastAsia="仿宋"/>
          <w:color w:val="000000"/>
          <w:sz w:val="24"/>
          <w:szCs w:val="24"/>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4"/>
          <w:szCs w:val="24"/>
        </w:rPr>
        <w:t>。</w:t>
      </w:r>
    </w:p>
    <w:p w14:paraId="0FFAC3A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3.2中标人如放弃中标身份但不提供书面手续的，招标人将把相关情况报当地物业主管部门，由物业主管部门酌情进行处罚，并在重庆市潼南区住房和城乡建设委员会网站（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）公示取消中标人中标身份。</w:t>
      </w:r>
    </w:p>
    <w:p w14:paraId="4E0ACC2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八、中标通知书</w:t>
      </w:r>
    </w:p>
    <w:p w14:paraId="158AE48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（一）招标人依法确定中标人后，以书面形式发出中标通知书。</w:t>
      </w:r>
    </w:p>
    <w:p w14:paraId="3C675E2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（二）中标通知书发出后，招标人改变中标结果，应当承担相应的法律责任。如中标投标人放弃中标，须提交书面说明放弃中标人身份。</w:t>
      </w:r>
    </w:p>
    <w:p w14:paraId="64923070">
      <w:pPr>
        <w:spacing w:line="400" w:lineRule="exact"/>
        <w:ind w:right="12" w:firstLine="480"/>
        <w:rPr>
          <w:rFonts w:ascii="仿宋" w:hAnsi="仿宋" w:eastAsia="仿宋"/>
          <w:color w:val="000000"/>
          <w:sz w:val="24"/>
          <w:szCs w:val="24"/>
        </w:rPr>
      </w:pPr>
      <w:bookmarkStart w:id="32" w:name="_Toc271791984"/>
      <w:bookmarkEnd w:id="32"/>
      <w:bookmarkStart w:id="33" w:name="_Toc311729676"/>
      <w:r>
        <w:rPr>
          <w:rFonts w:hint="eastAsia" w:ascii="仿宋" w:hAnsi="仿宋" w:eastAsia="仿宋"/>
          <w:color w:val="000000"/>
          <w:sz w:val="24"/>
          <w:szCs w:val="24"/>
        </w:rPr>
        <w:t>九、</w:t>
      </w:r>
      <w:bookmarkEnd w:id="33"/>
      <w:bookmarkStart w:id="34" w:name="_Toc271791986"/>
      <w:bookmarkEnd w:id="34"/>
      <w:bookmarkStart w:id="35" w:name="_Toc271791985"/>
      <w:r>
        <w:rPr>
          <w:rFonts w:hint="eastAsia" w:ascii="仿宋" w:hAnsi="仿宋" w:eastAsia="仿宋"/>
          <w:color w:val="000000"/>
          <w:sz w:val="24"/>
          <w:szCs w:val="24"/>
        </w:rPr>
        <w:t>询问、质疑和投诉</w:t>
      </w:r>
    </w:p>
    <w:p w14:paraId="1948216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（一）询问</w:t>
      </w:r>
    </w:p>
    <w:p w14:paraId="0B42CBF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招标人应当在一个工作日内对投标人依法提出的询问作出答复。投标人询问和招标人招标代理机构答复均可以是口头或书面形式。</w:t>
      </w:r>
    </w:p>
    <w:p w14:paraId="7D3BA7F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（二）质疑</w:t>
      </w:r>
    </w:p>
    <w:p w14:paraId="557E1F1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1.质疑内容、时限</w:t>
      </w:r>
    </w:p>
    <w:p w14:paraId="5AB885C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1.1招标文件公告期限为招标公告发出之日起七个工作日，投标人对招标文件提出质疑的，应在招标文件公告期限内向招标人提出。</w:t>
      </w:r>
    </w:p>
    <w:p w14:paraId="61D0F64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1.2 投标人对招标过程提出质疑的，应在各招标程序环节结束之日起三个工作日内以书面形式向招标人提出，并附相关证明材料。</w:t>
      </w:r>
    </w:p>
    <w:p w14:paraId="05AA8AD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1.3中标结果公告期限为中标结果公告发出之日起三个工作日，投标人对中标结果如有异议的，应当在中标结果公告期限届满之前以书面形式向招标人提出质疑，并附相关证明材料。</w:t>
      </w:r>
    </w:p>
    <w:p w14:paraId="03B23AC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1.4投标人对招标文件中的投标人特定资格条件、技术质量和商务要求、评审标准有异议的，应向招标人提出质疑。</w:t>
      </w:r>
    </w:p>
    <w:p w14:paraId="2ED1325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2.质疑答复</w:t>
      </w:r>
    </w:p>
    <w:p w14:paraId="7F7B7F5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招标人应当在收到投标人的书面质疑后一个工作日内作出答复，答复可以是口头或书面形式。</w:t>
      </w:r>
    </w:p>
    <w:p w14:paraId="6F2DC29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（三）投诉</w:t>
      </w:r>
    </w:p>
    <w:p w14:paraId="0CFDF50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1.投标人对招标人的答复不满意，或者招标人未在规定时间内答复的，可在答复期满后十五个工作日内按有关规定，向招标人所在地主管部门投诉。</w:t>
      </w:r>
    </w:p>
    <w:p w14:paraId="590D4E9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2.在提出投诉时，应附送相关证明材料。</w:t>
      </w:r>
    </w:p>
    <w:p w14:paraId="7F21E28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w:t>
      </w:r>
      <w:r>
        <w:rPr>
          <w:rFonts w:hint="eastAsia" w:ascii="仿宋" w:hAnsi="仿宋" w:eastAsia="仿宋"/>
          <w:color w:val="000000"/>
          <w:sz w:val="24"/>
          <w:szCs w:val="24"/>
          <w:lang w:eastAsia="zh-CN"/>
        </w:rPr>
        <w:t>http://www.cqtn.gov.cn/bm/qzfcxjw/</w:t>
      </w:r>
      <w:r>
        <w:rPr>
          <w:rFonts w:hint="eastAsia" w:ascii="仿宋" w:hAnsi="仿宋" w:eastAsia="仿宋"/>
          <w:color w:val="000000"/>
          <w:sz w:val="24"/>
          <w:szCs w:val="24"/>
        </w:rPr>
        <w:t>）公告投诉处理决定书。</w:t>
      </w:r>
    </w:p>
    <w:p w14:paraId="610983D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十、</w:t>
      </w:r>
      <w:bookmarkEnd w:id="35"/>
      <w:r>
        <w:rPr>
          <w:rFonts w:hint="eastAsia" w:ascii="仿宋" w:hAnsi="仿宋" w:eastAsia="仿宋"/>
          <w:color w:val="000000"/>
          <w:sz w:val="24"/>
          <w:szCs w:val="24"/>
        </w:rPr>
        <w:t>签订合同</w:t>
      </w:r>
    </w:p>
    <w:p w14:paraId="2F1658FD">
      <w:pPr>
        <w:spacing w:line="400" w:lineRule="exact"/>
        <w:ind w:right="12" w:firstLine="480"/>
        <w:rPr>
          <w:rFonts w:ascii="仿宋" w:hAnsi="仿宋" w:eastAsia="仿宋"/>
          <w:color w:val="000000"/>
          <w:sz w:val="24"/>
          <w:szCs w:val="24"/>
        </w:rPr>
      </w:pPr>
      <w:bookmarkStart w:id="36" w:name="_Toc311729679"/>
      <w:bookmarkEnd w:id="36"/>
      <w:r>
        <w:rPr>
          <w:rFonts w:hint="eastAsia" w:ascii="仿宋" w:hAnsi="仿宋" w:eastAsia="仿宋"/>
          <w:color w:val="000000"/>
          <w:sz w:val="24"/>
          <w:szCs w:val="24"/>
        </w:rPr>
        <w:t>（一）招标人应当自中标通知书发出之日起三十日内，按照招标文件和中标人投标文件的约定，与中标人签订书面合同。所签订的合同不得对招标文件和中标人投标文件作实质性修改。</w:t>
      </w:r>
    </w:p>
    <w:p w14:paraId="383E7DB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（二）招标文件、中标人的投标文件及澄清文件等，均为签订合同的依据。</w:t>
      </w:r>
    </w:p>
    <w:p w14:paraId="0430ED5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（三）合同生效条款由供需双方约定，法律、行政法规规定应当办理批准、登记等手续后生效的合同，依照其规定。</w:t>
      </w:r>
    </w:p>
    <w:p w14:paraId="047A4C33">
      <w:pPr>
        <w:spacing w:line="400" w:lineRule="exact"/>
        <w:ind w:right="12" w:firstLine="480"/>
        <w:rPr>
          <w:rFonts w:ascii="仿宋" w:hAnsi="仿宋" w:eastAsia="仿宋"/>
          <w:color w:val="000000"/>
          <w:sz w:val="28"/>
          <w:szCs w:val="28"/>
        </w:rPr>
      </w:pPr>
      <w:r>
        <w:rPr>
          <w:rFonts w:hint="eastAsia" w:ascii="仿宋" w:hAnsi="仿宋" w:eastAsia="仿宋"/>
          <w:color w:val="000000"/>
          <w:sz w:val="24"/>
          <w:szCs w:val="24"/>
        </w:rPr>
        <w:t>（四）合同原则上应按照样本签订，相关单位要求适用合同通用格式版本的，应按其要求另行签订其他合同。</w:t>
      </w:r>
    </w:p>
    <w:p w14:paraId="2010C09C">
      <w:pPr>
        <w:spacing w:line="400" w:lineRule="exact"/>
        <w:ind w:firstLine="560" w:firstLineChars="200"/>
        <w:rPr>
          <w:rFonts w:ascii="仿宋" w:hAnsi="仿宋" w:eastAsia="仿宋"/>
          <w:color w:val="000000"/>
          <w:sz w:val="28"/>
          <w:szCs w:val="28"/>
        </w:rPr>
      </w:pPr>
      <w:bookmarkStart w:id="37" w:name="_Toc311729678"/>
      <w:bookmarkEnd w:id="37"/>
    </w:p>
    <w:p w14:paraId="6B161AD3">
      <w:pPr>
        <w:spacing w:line="500" w:lineRule="exact"/>
        <w:jc w:val="center"/>
        <w:outlineLvl w:val="0"/>
        <w:rPr>
          <w:rFonts w:ascii="仿宋" w:hAnsi="仿宋" w:eastAsia="仿宋"/>
          <w:b/>
          <w:bCs/>
          <w:color w:val="000000"/>
          <w:sz w:val="28"/>
          <w:szCs w:val="28"/>
        </w:rPr>
      </w:pPr>
      <w:r>
        <w:rPr>
          <w:rFonts w:hint="eastAsia" w:ascii="仿宋" w:hAnsi="仿宋" w:eastAsia="仿宋"/>
          <w:color w:val="000000"/>
          <w:sz w:val="28"/>
          <w:szCs w:val="28"/>
        </w:rPr>
        <w:t xml:space="preserve"> </w:t>
      </w:r>
      <w:bookmarkStart w:id="38" w:name="_Toc311729680"/>
      <w:bookmarkEnd w:id="38"/>
      <w:r>
        <w:rPr>
          <w:rFonts w:hint="eastAsia" w:ascii="仿宋" w:hAnsi="仿宋" w:eastAsia="仿宋"/>
          <w:b/>
          <w:color w:val="000000"/>
          <w:sz w:val="28"/>
          <w:szCs w:val="28"/>
        </w:rPr>
        <w:t>第六篇  合同样本</w:t>
      </w:r>
    </w:p>
    <w:p w14:paraId="54281F59">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4"/>
          <w:szCs w:val="24"/>
        </w:rPr>
        <w:t>前期物业管理服务合同</w:t>
      </w:r>
    </w:p>
    <w:p w14:paraId="39437FE4">
      <w:pPr>
        <w:spacing w:line="400" w:lineRule="exact"/>
        <w:ind w:right="12" w:firstLine="480"/>
        <w:jc w:val="center"/>
        <w:rPr>
          <w:rFonts w:ascii="仿宋" w:hAnsi="仿宋" w:eastAsia="仿宋"/>
          <w:color w:val="000000"/>
          <w:sz w:val="24"/>
          <w:szCs w:val="24"/>
        </w:rPr>
      </w:pPr>
      <w:r>
        <w:rPr>
          <w:rFonts w:hint="eastAsia" w:ascii="仿宋" w:hAnsi="仿宋" w:eastAsia="仿宋"/>
          <w:b/>
          <w:bCs/>
          <w:color w:val="000000"/>
          <w:sz w:val="24"/>
          <w:szCs w:val="24"/>
        </w:rPr>
        <w:t>第一章 总则</w:t>
      </w:r>
    </w:p>
    <w:p w14:paraId="5ABE220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本合同当事人：</w:t>
      </w:r>
    </w:p>
    <w:p w14:paraId="5D505F5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甲方：委托方（以下简称甲方）：</w:t>
      </w:r>
    </w:p>
    <w:p w14:paraId="7930D98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企业名称：</w:t>
      </w:r>
      <w:r>
        <w:rPr>
          <w:rFonts w:ascii="仿宋" w:hAnsi="仿宋" w:eastAsia="仿宋"/>
          <w:color w:val="000000"/>
          <w:sz w:val="24"/>
          <w:szCs w:val="24"/>
        </w:rPr>
        <w:t xml:space="preserve"> </w:t>
      </w:r>
    </w:p>
    <w:p w14:paraId="3AD532A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法定代表人：            联系电话：             </w:t>
      </w:r>
    </w:p>
    <w:p w14:paraId="45CFC85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地   址：</w:t>
      </w:r>
      <w:r>
        <w:rPr>
          <w:rFonts w:ascii="仿宋" w:hAnsi="仿宋" w:eastAsia="仿宋"/>
          <w:color w:val="000000"/>
          <w:sz w:val="24"/>
          <w:szCs w:val="24"/>
        </w:rPr>
        <w:t xml:space="preserve"> </w:t>
      </w:r>
    </w:p>
    <w:p w14:paraId="6413F82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乙方：受委托方（以下简称乙方）：</w:t>
      </w:r>
    </w:p>
    <w:p w14:paraId="147B323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企业名称： </w:t>
      </w:r>
    </w:p>
    <w:p w14:paraId="63E7BB9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法定代表人：           联系电话：              </w:t>
      </w:r>
    </w:p>
    <w:p w14:paraId="29232EA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地址： </w:t>
      </w:r>
    </w:p>
    <w:p w14:paraId="78A7728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第一条  根据《中华人民共和国合同法》、《</w:t>
      </w:r>
      <w:r>
        <w:rPr>
          <w:sz w:val="24"/>
          <w:szCs w:val="24"/>
        </w:rPr>
        <w:fldChar w:fldCharType="begin"/>
      </w:r>
      <w:r>
        <w:rPr>
          <w:sz w:val="24"/>
          <w:szCs w:val="24"/>
        </w:rPr>
        <w:instrText xml:space="preserve"> HYPERLINK "http://www.wyfwgw.com/laws/29.html" \t "_blank" </w:instrText>
      </w:r>
      <w:r>
        <w:rPr>
          <w:sz w:val="24"/>
          <w:szCs w:val="24"/>
        </w:rPr>
        <w:fldChar w:fldCharType="separate"/>
      </w:r>
      <w:r>
        <w:rPr>
          <w:rFonts w:hint="eastAsia" w:ascii="仿宋" w:hAnsi="仿宋" w:eastAsia="仿宋"/>
          <w:color w:val="000000"/>
          <w:sz w:val="24"/>
          <w:szCs w:val="24"/>
        </w:rPr>
        <w:t>中华人民共和国物权法</w:t>
      </w:r>
      <w:r>
        <w:rPr>
          <w:rFonts w:hint="eastAsia" w:ascii="仿宋" w:hAnsi="仿宋" w:eastAsia="仿宋"/>
          <w:color w:val="000000"/>
          <w:sz w:val="24"/>
          <w:szCs w:val="24"/>
        </w:rPr>
        <w:fldChar w:fldCharType="end"/>
      </w:r>
      <w:r>
        <w:rPr>
          <w:rFonts w:hint="eastAsia" w:ascii="仿宋" w:hAnsi="仿宋" w:eastAsia="仿宋"/>
          <w:color w:val="000000"/>
          <w:sz w:val="24"/>
          <w:szCs w:val="24"/>
        </w:rPr>
        <w:t>》、《</w:t>
      </w:r>
      <w:r>
        <w:rPr>
          <w:sz w:val="24"/>
          <w:szCs w:val="24"/>
        </w:rPr>
        <w:fldChar w:fldCharType="begin"/>
      </w:r>
      <w:r>
        <w:rPr>
          <w:sz w:val="24"/>
          <w:szCs w:val="24"/>
        </w:rPr>
        <w:instrText xml:space="preserve"> HYPERLINK "http://www.wyfwgw.com/laws/5.html" \t "_blank" </w:instrText>
      </w:r>
      <w:r>
        <w:rPr>
          <w:sz w:val="24"/>
          <w:szCs w:val="24"/>
        </w:rPr>
        <w:fldChar w:fldCharType="separate"/>
      </w:r>
      <w:r>
        <w:rPr>
          <w:rFonts w:hint="eastAsia" w:ascii="仿宋" w:hAnsi="仿宋" w:eastAsia="仿宋"/>
          <w:color w:val="000000"/>
          <w:sz w:val="24"/>
          <w:szCs w:val="24"/>
        </w:rPr>
        <w:t>物业管理条例</w:t>
      </w:r>
      <w:r>
        <w:rPr>
          <w:rFonts w:hint="eastAsia" w:ascii="仿宋" w:hAnsi="仿宋" w:eastAsia="仿宋"/>
          <w:color w:val="000000"/>
          <w:sz w:val="24"/>
          <w:szCs w:val="24"/>
        </w:rPr>
        <w:fldChar w:fldCharType="end"/>
      </w:r>
      <w:r>
        <w:rPr>
          <w:rFonts w:hint="eastAsia" w:ascii="仿宋" w:hAnsi="仿宋" w:eastAsia="仿宋"/>
          <w:color w:val="000000"/>
          <w:sz w:val="24"/>
          <w:szCs w:val="24"/>
        </w:rPr>
        <w:t>》及《重庆市物业管理条例》等有关法律、法规的规定，甲乙双方在自愿、平等、公平、诚实信用的基础上，就甲方将“</w:t>
      </w: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”委托给乙方实行物业服务有关事宜,协商订立本合同。</w:t>
      </w:r>
    </w:p>
    <w:p w14:paraId="299553E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第二条　乙方提供服务的受益人为本物业的全体业主和物业使用人，本物业的全体业主和物业使用人均应履行本合同，承担相应的责任。</w:t>
      </w:r>
    </w:p>
    <w:p w14:paraId="1FDCF794">
      <w:pPr>
        <w:snapToGrid w:val="0"/>
        <w:spacing w:line="500" w:lineRule="exact"/>
        <w:ind w:firstLine="482" w:firstLineChars="200"/>
        <w:jc w:val="center"/>
        <w:rPr>
          <w:rFonts w:ascii="仿宋" w:hAnsi="仿宋" w:eastAsia="仿宋"/>
          <w:color w:val="000000"/>
          <w:sz w:val="24"/>
          <w:szCs w:val="24"/>
        </w:rPr>
      </w:pPr>
      <w:r>
        <w:rPr>
          <w:rFonts w:hint="eastAsia" w:ascii="仿宋" w:hAnsi="仿宋" w:eastAsia="仿宋"/>
          <w:b/>
          <w:bCs/>
          <w:color w:val="000000"/>
          <w:sz w:val="24"/>
          <w:szCs w:val="24"/>
        </w:rPr>
        <w:t>第二章 委托服务事项</w:t>
      </w:r>
    </w:p>
    <w:p w14:paraId="0A60515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第三条  物业管理类型：      商业、住宅、停车库     。</w:t>
      </w:r>
    </w:p>
    <w:p w14:paraId="5C01E3E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物业总建筑面积：            平方米；</w:t>
      </w:r>
    </w:p>
    <w:p w14:paraId="0493622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住宅建筑面积：              平方米；</w:t>
      </w:r>
    </w:p>
    <w:p w14:paraId="0FA3E45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商业建筑面积：              平方米。</w:t>
      </w:r>
    </w:p>
    <w:p w14:paraId="5B6BA38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物业管理区域四至：   </w:t>
      </w:r>
    </w:p>
    <w:p w14:paraId="5392B82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东：                南：  </w:t>
      </w:r>
    </w:p>
    <w:p w14:paraId="326257B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西：                北：  </w:t>
      </w:r>
    </w:p>
    <w:p w14:paraId="2E916A7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乙方应按照《重庆市物业服务收费管理办法》提供四级或以上标准服务。</w:t>
      </w:r>
    </w:p>
    <w:p w14:paraId="129CE1A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第四条  制订物业服务工作计划并组织实施；管理相关的工程图纸、档案与竣工验收资料等；根据法律、法规和《临时管理规约》的授权制订物业服务的有关制度。</w:t>
      </w:r>
    </w:p>
    <w:p w14:paraId="7FFB6D0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第五条  房屋建筑共用部位的维修、养护和管理，包括：楼盖、屋顶、外墙面、承重墙体结构、楼梯间、走廊通道、门厅等。</w:t>
      </w:r>
    </w:p>
    <w:p w14:paraId="0645E78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第六条  共用设施、设备的维修、养护、运行和管理，包括：共用的上下水管道、落水管、污水管、垃圾道、共用照明、天线、中央空调、高压水泵房、楼内消防设施设备、电梯等。</w:t>
      </w:r>
    </w:p>
    <w:p w14:paraId="56D244E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第七条  建筑及其设施在国家规定的保修期内协调开发商、承建商进行对甲方所有单元内发生的墙体、水、电、气、通讯、共用天线、排污、排水系统等建筑体系保修；保修期后实施有偿服务或协调专业机构或职能部门有偿维护维修。</w:t>
      </w:r>
    </w:p>
    <w:p w14:paraId="77FEA19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第八条  环境卫生及绿化养护</w:t>
      </w:r>
    </w:p>
    <w:p w14:paraId="2E3BCC9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1、公共环境、房屋共用部位的保洁，生活垃圾收集并运至垃圾消纳站（不含垃圾消纳的管理及装饰装修垃圾收集和清运），化粪池清掏。</w:t>
      </w:r>
    </w:p>
    <w:p w14:paraId="7D9F7ED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2、公用绿地、花木、建筑小品等的养护与管理，使之处于良好状态。</w:t>
      </w:r>
    </w:p>
    <w:p w14:paraId="3112A91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第九条  公共秩序维护工作</w:t>
      </w:r>
    </w:p>
    <w:p w14:paraId="48FB2BE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建立预防性安全防范体系并设立应急机制，配合公安机关进行秩序监控和巡视等工作，但不包含甲方产权范围内人身财产的保险、保证和保管责任。双方另行签订人身、财产保险和财产保管专项合同的，以专项合同的约定执行。</w:t>
      </w:r>
    </w:p>
    <w:p w14:paraId="057D09D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2、对来访客人办理访问手续，控制闲杂人员进入小区。</w:t>
      </w:r>
    </w:p>
    <w:p w14:paraId="5269186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3、维持小区的交通秩序。对本物业区域内的交通状况预测和安排，使本物业区域内车辆停放有序，交通顺畅（不含人身、财产的保险、保管责任）。</w:t>
      </w:r>
    </w:p>
    <w:p w14:paraId="25D1051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4、地震、地陷、火灾等突发事件的组织疏导和协助施救工作。</w:t>
      </w:r>
    </w:p>
    <w:p w14:paraId="646A15B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5、定期或不定期巡视、检查小区，及时采取措施以防止任何人未经乙方同意或违反本协议的约定而占用、变更、损害公共服务设施、设备,制止违反本物业的物业管理制度、本协议、《</w:t>
      </w:r>
      <w:r>
        <w:rPr>
          <w:sz w:val="24"/>
          <w:szCs w:val="24"/>
        </w:rPr>
        <w:fldChar w:fldCharType="begin"/>
      </w:r>
      <w:r>
        <w:rPr>
          <w:sz w:val="24"/>
          <w:szCs w:val="24"/>
        </w:rPr>
        <w:instrText xml:space="preserve"> HYPERLINK "http://www.wyfwgw.com/laws/3733.html" \t "_blank" </w:instrText>
      </w:r>
      <w:r>
        <w:rPr>
          <w:sz w:val="24"/>
          <w:szCs w:val="24"/>
        </w:rPr>
        <w:fldChar w:fldCharType="separate"/>
      </w:r>
      <w:r>
        <w:rPr>
          <w:rFonts w:hint="eastAsia" w:ascii="仿宋" w:hAnsi="仿宋" w:eastAsia="仿宋"/>
          <w:color w:val="000000"/>
          <w:sz w:val="24"/>
          <w:szCs w:val="24"/>
        </w:rPr>
        <w:t>临时管理规约</w:t>
      </w:r>
      <w:r>
        <w:rPr>
          <w:rFonts w:hint="eastAsia" w:ascii="仿宋" w:hAnsi="仿宋" w:eastAsia="仿宋"/>
          <w:color w:val="000000"/>
          <w:sz w:val="24"/>
          <w:szCs w:val="24"/>
        </w:rPr>
        <w:fldChar w:fldCharType="end"/>
      </w:r>
      <w:r>
        <w:rPr>
          <w:rFonts w:hint="eastAsia" w:ascii="仿宋" w:hAnsi="仿宋" w:eastAsia="仿宋"/>
          <w:color w:val="000000"/>
          <w:sz w:val="24"/>
          <w:szCs w:val="24"/>
        </w:rPr>
        <w:t>》的行为。</w:t>
      </w:r>
    </w:p>
    <w:p w14:paraId="70C47D8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6、发生安全事故，及时向有关部门报告，采取相应措施，协助做好救助工作。</w:t>
      </w:r>
    </w:p>
    <w:p w14:paraId="653AD69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7、消防工作，包括公共区域消防设施的维护以及消防管理制度的建立、消防设施的检查、维护以及定期进行消防训练，保证有关人员掌握消防基本技能。</w:t>
      </w:r>
    </w:p>
    <w:p w14:paraId="46E3193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第十条  档案资料管理</w:t>
      </w:r>
    </w:p>
    <w:p w14:paraId="6EB9A0E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1、本物业竣工资料、图纸及接管验收档案的管理。</w:t>
      </w:r>
    </w:p>
    <w:p w14:paraId="24ABB9A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2、业主及非业主使用人的档案资料的管理。</w:t>
      </w:r>
    </w:p>
    <w:p w14:paraId="66B70A3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第十一条  房屋装饰装修管理</w:t>
      </w:r>
    </w:p>
    <w:p w14:paraId="4F6123D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严格按照《中华人民共和国消防法》、《</w:t>
      </w:r>
      <w:r>
        <w:rPr>
          <w:sz w:val="24"/>
          <w:szCs w:val="24"/>
        </w:rPr>
        <w:fldChar w:fldCharType="begin"/>
      </w:r>
      <w:r>
        <w:rPr>
          <w:sz w:val="24"/>
          <w:szCs w:val="24"/>
        </w:rPr>
        <w:instrText xml:space="preserve"> HYPERLINK "http://www.wyfwgw.com/laws/621.html" \t "_blank" </w:instrText>
      </w:r>
      <w:r>
        <w:rPr>
          <w:sz w:val="24"/>
          <w:szCs w:val="24"/>
        </w:rPr>
        <w:fldChar w:fldCharType="separate"/>
      </w:r>
      <w:r>
        <w:rPr>
          <w:rFonts w:hint="eastAsia" w:ascii="仿宋" w:hAnsi="仿宋" w:eastAsia="仿宋"/>
          <w:color w:val="000000"/>
          <w:sz w:val="24"/>
          <w:szCs w:val="24"/>
        </w:rPr>
        <w:t>住宅室内装饰装修管理办法</w:t>
      </w:r>
      <w:r>
        <w:rPr>
          <w:rFonts w:hint="eastAsia" w:ascii="仿宋" w:hAnsi="仿宋" w:eastAsia="仿宋"/>
          <w:color w:val="000000"/>
          <w:sz w:val="24"/>
          <w:szCs w:val="24"/>
        </w:rPr>
        <w:fldChar w:fldCharType="end"/>
      </w:r>
      <w:r>
        <w:rPr>
          <w:rFonts w:hint="eastAsia" w:ascii="仿宋" w:hAnsi="仿宋" w:eastAsia="仿宋"/>
          <w:color w:val="000000"/>
          <w:sz w:val="24"/>
          <w:szCs w:val="24"/>
        </w:rPr>
        <w:t>》、《重庆市消防条例》、《重庆市城市容貌管理条例》、《重庆市户外广告管理条例》以及物业服务公司按照有关法规、条例等制定的装修管理规定对装修方案进行审核，对装修过程进行监督，并对违规行为进行制止。</w:t>
      </w:r>
    </w:p>
    <w:p w14:paraId="114D5AE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第十二条  受所有权人委托，对小区配套设施如停车场（库）等场所进行管理。</w:t>
      </w:r>
    </w:p>
    <w:p w14:paraId="4FCB73D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第十三条　对小区公共区域及甲方保留区域进行管理。</w:t>
      </w:r>
    </w:p>
    <w:p w14:paraId="37E4F25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第十四条  不定期的组织开展社区文化娱乐活动，加强业主间的沟通和文化交流。设立小区信息发布栏，加强与业主的联系和消息发布。</w:t>
      </w:r>
    </w:p>
    <w:p w14:paraId="7C6D2AD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第十五条　负责向业主和物业使用人收取下列费用：</w:t>
      </w:r>
    </w:p>
    <w:p w14:paraId="488ED45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1、物业服务费（住宅、商业、停车库）；</w:t>
      </w:r>
    </w:p>
    <w:p w14:paraId="62DDB1E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2、停车场车位物业服务费；</w:t>
      </w:r>
    </w:p>
    <w:p w14:paraId="640C79B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3、其它有偿服务费；</w:t>
      </w:r>
    </w:p>
    <w:p w14:paraId="0CCD8D9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4、物业维修资金。</w:t>
      </w:r>
    </w:p>
    <w:p w14:paraId="4FDD90D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第十六条  各项费用的调整</w:t>
      </w:r>
    </w:p>
    <w:p w14:paraId="498A5C7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乙方应当就物业服务费使用制定独立账目管理，并可按照实际支出合理调整物业服务费，但乙方须提前与业主和物业使用人商议决定。</w:t>
      </w:r>
    </w:p>
    <w:p w14:paraId="63D2289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第十七条　对业主和物业使用人违反物业管理方面的法律法规或《临时管理规约》的行为，针对具体行为并根据情节轻重，采取规劝、制止、追究法律责任等措施。</w:t>
      </w:r>
    </w:p>
    <w:p w14:paraId="710B3FAE">
      <w:pPr>
        <w:snapToGrid w:val="0"/>
        <w:spacing w:line="500" w:lineRule="exact"/>
        <w:ind w:firstLine="482" w:firstLineChars="200"/>
        <w:jc w:val="center"/>
        <w:rPr>
          <w:rFonts w:ascii="仿宋" w:hAnsi="仿宋" w:eastAsia="仿宋"/>
          <w:b/>
          <w:bCs/>
          <w:color w:val="000000"/>
          <w:sz w:val="24"/>
          <w:szCs w:val="24"/>
        </w:rPr>
      </w:pPr>
      <w:r>
        <w:rPr>
          <w:rFonts w:hint="eastAsia" w:ascii="仿宋" w:hAnsi="仿宋" w:eastAsia="仿宋"/>
          <w:b/>
          <w:bCs/>
          <w:color w:val="000000"/>
          <w:sz w:val="24"/>
          <w:szCs w:val="24"/>
        </w:rPr>
        <w:t>第三章 双方权利义务</w:t>
      </w:r>
    </w:p>
    <w:p w14:paraId="6CFE3B3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第十八条　甲方权利义务</w:t>
      </w:r>
    </w:p>
    <w:p w14:paraId="3D8770C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1、审定乙方拟订的前期介入服务方案、小区物业服务方案；</w:t>
      </w:r>
    </w:p>
    <w:p w14:paraId="60E3F18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2、检查监督乙方服务的实施及合同的执行情况；</w:t>
      </w:r>
    </w:p>
    <w:p w14:paraId="46F7DC8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3、审定乙方提出的前期介入服务工作计划、物业管理服务年度计划、财务预算及决算；</w:t>
      </w:r>
    </w:p>
    <w:p w14:paraId="6DF167C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4、负责制定《临时管理规约》和提供《住宅使用说明书》、《住宅质量保证书》，并在房屋销售时公示《临时管理规约》；</w:t>
      </w:r>
    </w:p>
    <w:p w14:paraId="6F1771D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5、委托乙方管理的房屋、设施、设备应达到国家验收标准要求；保修责任内房屋、设施、设备维修养护和房屋建设遗留质量问题，按以下方式处理；</w:t>
      </w:r>
    </w:p>
    <w:p w14:paraId="7167BC5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6、维修和返修事宜：</w:t>
      </w:r>
    </w:p>
    <w:p w14:paraId="279FCA6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（1）甲方负责返修；</w:t>
      </w:r>
    </w:p>
    <w:p w14:paraId="6B49B48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（2）委托乙方返修，支付全部费用；</w:t>
      </w:r>
    </w:p>
    <w:p w14:paraId="650364E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7、在合同生效之日起按物业管理有关规定的比例向乙方提供管理用房，管理用房面积为：         </w:t>
      </w:r>
      <w:r>
        <w:rPr>
          <w:rFonts w:ascii="仿宋" w:hAnsi="仿宋" w:eastAsia="仿宋"/>
          <w:color w:val="000000"/>
          <w:sz w:val="24"/>
          <w:szCs w:val="24"/>
        </w:rPr>
        <w:t>平方米</w:t>
      </w:r>
      <w:r>
        <w:rPr>
          <w:rFonts w:hint="eastAsia" w:ascii="仿宋" w:hAnsi="仿宋" w:eastAsia="仿宋"/>
          <w:color w:val="000000"/>
          <w:sz w:val="24"/>
          <w:szCs w:val="24"/>
        </w:rPr>
        <w:t>，具体位置按最终规划设计的为准。由乙方无偿使用（产权属全体业主）；</w:t>
      </w:r>
    </w:p>
    <w:p w14:paraId="57D6AE8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8、在物业管理交接验收时，负责向乙方提供和移交物业管理相关资料；</w:t>
      </w:r>
    </w:p>
    <w:p w14:paraId="0F03FAF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9、应移交物业相关资料：</w:t>
      </w:r>
    </w:p>
    <w:p w14:paraId="0A426D4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（1）规划图、竣工总平面图，单体建筑、结构、设备竣工图，附属配套设施、地下管网工程竣工图等竣工验收资料；</w:t>
      </w:r>
    </w:p>
    <w:p w14:paraId="495E161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（2）设施、设备安装、使用和维护保养技术资料；</w:t>
      </w:r>
    </w:p>
    <w:p w14:paraId="742E78A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（3）物业质量保证文件和物业使用说明文件；</w:t>
      </w:r>
    </w:p>
    <w:p w14:paraId="7AF68B9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（4）物业服务所必需的其他资料；</w:t>
      </w:r>
    </w:p>
    <w:p w14:paraId="22792731">
      <w:pPr>
        <w:spacing w:line="400" w:lineRule="exact"/>
        <w:ind w:right="12" w:firstLine="480" w:firstLineChars="200"/>
        <w:rPr>
          <w:rFonts w:ascii="仿宋" w:hAnsi="仿宋" w:eastAsia="仿宋"/>
          <w:color w:val="000000"/>
          <w:sz w:val="24"/>
          <w:szCs w:val="24"/>
        </w:rPr>
      </w:pPr>
      <w:r>
        <w:rPr>
          <w:rFonts w:hint="eastAsia" w:ascii="仿宋" w:hAnsi="仿宋" w:eastAsia="仿宋"/>
          <w:color w:val="000000"/>
          <w:sz w:val="24"/>
          <w:szCs w:val="24"/>
        </w:rPr>
        <w:t>10、支付物业前期介入服务费用，具体金额及支付方式经双方协商后补签协议约定执行；</w:t>
      </w:r>
    </w:p>
    <w:p w14:paraId="0D38B89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11、当业主和物业使用人拒绝按规定交纳物业服务费用时，协助乙方催收；</w:t>
      </w:r>
    </w:p>
    <w:p w14:paraId="3AFA702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12、协调、处理本合同生效前发生的管理遗留问题；</w:t>
      </w:r>
    </w:p>
    <w:p w14:paraId="09EFB2D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13、协助乙方做好物业服务工作和社区宣传教育、文化娱乐活动；</w:t>
      </w:r>
    </w:p>
    <w:p w14:paraId="3D4C16E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14、应将本合同向物业所在地房地产行政主管部门备案，并按相关规定公示。</w:t>
      </w:r>
    </w:p>
    <w:p w14:paraId="4F617A9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第十九条　乙方权利义务</w:t>
      </w:r>
    </w:p>
    <w:p w14:paraId="21B0A94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1、按照本合同的约定标准，提供高品质、专业化的服务；</w:t>
      </w:r>
    </w:p>
    <w:p w14:paraId="4D8CFFD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2、起草物业管理区域内共用部分的使用要求、注意事项和物业服务制度；</w:t>
      </w:r>
    </w:p>
    <w:p w14:paraId="173A05F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3、雇佣、培训、解雇职员并对其工作进行管理；</w:t>
      </w:r>
    </w:p>
    <w:p w14:paraId="107B246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4、乙方办公场所、工作服，工具，器具，材料或其他为保证对甲方服务工作开展所必需设备材料的采买和管理；</w:t>
      </w:r>
    </w:p>
    <w:p w14:paraId="4B88775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5、依照本合同和有关规定收取服务费用；</w:t>
      </w:r>
    </w:p>
    <w:p w14:paraId="070454A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6、可选聘专营公司承担本物业的专项服务业务，但不得将本物业的管理责任转让给第三方；</w:t>
      </w:r>
    </w:p>
    <w:p w14:paraId="0D89137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7、适时聘请、撤换及付酬予律师、建筑师、会计师及其他专业顾问和合作单位；</w:t>
      </w:r>
    </w:p>
    <w:p w14:paraId="1DA7B3D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8、按本合同的约定，对业主和物业使用人违反《临时管理规约》的行为进行处理；</w:t>
      </w:r>
    </w:p>
    <w:p w14:paraId="5DD1EEC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9、向业主和物业使用人告知物业使用的有关规定，乙方有权审核业主或使用人是否严格按照《中华人民共和国消防法》、《住宅室内装饰装修管理规定》、《重庆市消防条例》、《重庆市城市容貌管理条例》、《重庆市产外广告管理条例》以及物业服务公司按照有关法规、条例等制定的装修管理规定进行其所属产权范围内的装修工程，停车(场)库是否进行任何形式的改装、改造、修建构筑物．装饰和装修，并对违规行为进行制止；</w:t>
      </w:r>
    </w:p>
    <w:p w14:paraId="01842F5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10、接受业主的监督，定期向业主大会，业主委员会报告物业服务合同履行情况和物业维修资金使用情况；</w:t>
      </w:r>
    </w:p>
    <w:p w14:paraId="39FB7CB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11、以物业公司名义投保，投保项目包括公众责任等险种，甲方应对其属下的产权范围内利益自行投保；</w:t>
      </w:r>
    </w:p>
    <w:p w14:paraId="4D148B9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12、负责编制物业管理年度服务计划、资金使用计划及决算报告；</w:t>
      </w:r>
    </w:p>
    <w:p w14:paraId="1FB826E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13、负责编制房屋、附属建筑物、构筑物、设施、设备、绿化等的年度维修养护计划和大中修方案，经双方议定后由乙方组织实施；</w:t>
      </w:r>
    </w:p>
    <w:p w14:paraId="7A94D83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14、协助有关部门制止违法、违规的行为，维护物业管理区域公共秩序；</w:t>
      </w:r>
    </w:p>
    <w:p w14:paraId="0B63518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15、可适时设立以下服务项目(并可根据需要设立新的服务项目)，合理收费：房屋租赁、代售；代办电话安装、宽带安装服务：室内清洁服务；室内工程维修；代养护花木；代车辆清洗、保险办理服务以及与甲方商议的其它服务内容；</w:t>
      </w:r>
    </w:p>
    <w:p w14:paraId="3D0F602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16、乙方有权在不违背业主整体权益基础上制定、修改管理规则，并利用小区告示栏、网站、小区内部刊物(如有)等各种信息渠道予以公布，对各业主均有约束力。</w:t>
      </w:r>
    </w:p>
    <w:p w14:paraId="29BC447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第二十条  双方特别约定如下：</w:t>
      </w:r>
    </w:p>
    <w:p w14:paraId="783493B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本物业管理区域内的停车库（场）（未出售的车位）、休闲商业、</w:t>
      </w:r>
      <w:r>
        <w:rPr>
          <w:rFonts w:hint="eastAsia" w:ascii="仿宋" w:hAnsi="仿宋" w:eastAsia="仿宋"/>
          <w:color w:val="000000"/>
          <w:sz w:val="24"/>
          <w:szCs w:val="24"/>
          <w:lang w:eastAsia="zh-CN"/>
        </w:rPr>
        <w:t>运动健身</w:t>
      </w:r>
      <w:r>
        <w:rPr>
          <w:rFonts w:hint="eastAsia" w:ascii="仿宋" w:hAnsi="仿宋" w:eastAsia="仿宋"/>
          <w:color w:val="000000"/>
          <w:sz w:val="24"/>
          <w:szCs w:val="24"/>
        </w:rPr>
        <w:t>场馆等建构筑物及附属设施（如甲方已修建），其产权归甲方所有，甲方保留其使用权、收益权和处置权。其它甲方委托乙方经营管理的项目，乙方制定的收费标准须报经甲方批准，其收益由双方协商议定。</w:t>
      </w:r>
    </w:p>
    <w:p w14:paraId="1BD88223">
      <w:pPr>
        <w:snapToGrid w:val="0"/>
        <w:spacing w:line="500" w:lineRule="exact"/>
        <w:ind w:firstLine="482" w:firstLineChars="200"/>
        <w:jc w:val="center"/>
        <w:rPr>
          <w:rFonts w:ascii="仿宋" w:hAnsi="仿宋" w:eastAsia="仿宋"/>
          <w:b/>
          <w:bCs/>
          <w:color w:val="000000"/>
          <w:sz w:val="24"/>
          <w:szCs w:val="24"/>
        </w:rPr>
      </w:pPr>
      <w:r>
        <w:rPr>
          <w:rFonts w:hint="eastAsia" w:ascii="仿宋" w:hAnsi="仿宋" w:eastAsia="仿宋"/>
          <w:b/>
          <w:bCs/>
          <w:color w:val="000000"/>
          <w:sz w:val="24"/>
          <w:szCs w:val="24"/>
        </w:rPr>
        <w:t>第四章 物业服务费用和其他费用</w:t>
      </w:r>
    </w:p>
    <w:p w14:paraId="0C4E42F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第二十一条 物业服务费构成如下：</w:t>
      </w:r>
    </w:p>
    <w:p w14:paraId="6531229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1、小区公共秩序维护费；</w:t>
      </w:r>
    </w:p>
    <w:p w14:paraId="5EE22E8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2、小区公共区域清洁、保洁服务费(但所有政府另行征收的如垃圾处置费等费用均未包含其中)；</w:t>
      </w:r>
    </w:p>
    <w:p w14:paraId="7B97071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3、小区公共区域绿化养护、服务费：</w:t>
      </w:r>
    </w:p>
    <w:p w14:paraId="295B791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4、小区房屋共用部位维修(小修)及保养费；</w:t>
      </w:r>
    </w:p>
    <w:p w14:paraId="390EF30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5、小区共用设施设备日常运行、维护(小修)及保养费；</w:t>
      </w:r>
    </w:p>
    <w:p w14:paraId="1855BDA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6、小区公共区域四害防治费用；</w:t>
      </w:r>
    </w:p>
    <w:p w14:paraId="6B71F36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7、乙方的办公管理费；</w:t>
      </w:r>
    </w:p>
    <w:p w14:paraId="50642DE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8、乙方员工的薪酬、社会保险、福利、制服及相关器具;</w:t>
      </w:r>
    </w:p>
    <w:p w14:paraId="656F232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9、乙方用于为业主服务的固定资产折旧费；</w:t>
      </w:r>
    </w:p>
    <w:p w14:paraId="545EFEF5">
      <w:pPr>
        <w:spacing w:line="400" w:lineRule="exact"/>
        <w:ind w:right="12" w:firstLine="364" w:firstLineChars="152"/>
        <w:rPr>
          <w:rFonts w:ascii="仿宋" w:hAnsi="仿宋" w:eastAsia="仿宋"/>
          <w:color w:val="000000"/>
          <w:sz w:val="24"/>
          <w:szCs w:val="24"/>
        </w:rPr>
      </w:pPr>
      <w:r>
        <w:rPr>
          <w:rFonts w:hint="eastAsia" w:ascii="仿宋" w:hAnsi="仿宋" w:eastAsia="仿宋"/>
          <w:color w:val="000000"/>
          <w:sz w:val="24"/>
          <w:szCs w:val="24"/>
        </w:rPr>
        <w:t>10、乙方为小区公共区域所投保的公众责任险等保险费用；</w:t>
      </w:r>
    </w:p>
    <w:p w14:paraId="1466464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11、乙方用于上缴有关部门的各项零星费用；</w:t>
      </w:r>
    </w:p>
    <w:p w14:paraId="6282A04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12、乙方用于上缴有关部门管理费、税费；</w:t>
      </w:r>
    </w:p>
    <w:p w14:paraId="7ADF031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13、乙方的合理利润；</w:t>
      </w:r>
    </w:p>
    <w:p w14:paraId="7E90FD7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14、乙方用于为业主公共利益服务及社区文化活动费用。</w:t>
      </w:r>
    </w:p>
    <w:p w14:paraId="160D6E4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第二十二条 物业服务费</w:t>
      </w:r>
    </w:p>
    <w:p w14:paraId="6C9DC4C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1、本物业服务费实行一费制（不包含二次供水加压费用），包干制，由乙方按以下收费标准收取：</w:t>
      </w:r>
    </w:p>
    <w:p w14:paraId="6DD67365">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（1）高层住宅物业费收费标准为：      元／平方米／月计收。</w:t>
      </w:r>
    </w:p>
    <w:p w14:paraId="371E46A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（2）洋房住宅物业费收费标准为：      元／平方米／月计收。</w:t>
      </w:r>
    </w:p>
    <w:p w14:paraId="6787B49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（3）商业物业费收费标准为：      元／平方米／月计收。</w:t>
      </w:r>
    </w:p>
    <w:p w14:paraId="2033E3D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（4）车位物业费收费标准为：      元／个／月计收。</w:t>
      </w:r>
    </w:p>
    <w:p w14:paraId="447B10D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（5）二次供水加压费用从加压楼层开始收取，收费标准为：   元/吨。</w:t>
      </w:r>
    </w:p>
    <w:p w14:paraId="79F9B26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（6）未销售的和未交房给已售业主的房屋的物业管理费按照全价由甲方按月向乙方缴纳。</w:t>
      </w:r>
    </w:p>
    <w:p w14:paraId="5A0BA4D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（7）特约服务实行明码实价，双方自愿的原则。</w:t>
      </w:r>
    </w:p>
    <w:p w14:paraId="04630AF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（8）临时停车收费标准，乙方按政府物价部门批准的标准收取；乙方可视情况变化，在符合相关政策和征得甲方同意的情况下，可对车位租赁费（月票车）作适当上浮。</w:t>
      </w:r>
    </w:p>
    <w:p w14:paraId="75E6B54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2、缴费办法</w:t>
      </w:r>
    </w:p>
    <w:p w14:paraId="7362F29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住宅、商业用房的物业服务费按房屋建筑面积计收，在产权部门核定面积批复下达之前以销售合同注明的建筑面积计算，批复之后以产权部门核定的建筑面积为准。面积核定前收取的物业服务费差额不作退补。停车(场)库车位物业服务费以个为单位计收。</w:t>
      </w:r>
    </w:p>
    <w:p w14:paraId="2ED11B9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(2)甲方在当月15日之前将物业服务费用金额缴清,逾期将按日向甲方加收应交纳总费用3‰的违约金。</w:t>
      </w:r>
    </w:p>
    <w:p w14:paraId="2CFD53D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(3) 首次物业服务费收取以通知交房日期为准，交房日期在15日之前(含15日)的收取当月全月的物业服务费，交房日期在15日之后的收取当月半个月的物业服务费。首次收取物业服务费期限为半年 。</w:t>
      </w:r>
    </w:p>
    <w:p w14:paraId="0D680B3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第二十三条 甲方可以现金或转帐方式缴纳各项费用。</w:t>
      </w:r>
    </w:p>
    <w:p w14:paraId="47C3811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第二十四条 物业维修资金收取</w:t>
      </w:r>
    </w:p>
    <w:p w14:paraId="3E8C171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物业维修资金按政府有关规定维持在一定数额，不足部分由业主续缴，专项用于物业保修期满后共用部分的大，中维修、更新、改造。具体项目如下：</w:t>
      </w:r>
    </w:p>
    <w:p w14:paraId="095E031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1、小区房屋共用部位大、中修、更新或改造；</w:t>
      </w:r>
    </w:p>
    <w:p w14:paraId="7393A33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2、小区共用设施设备(如防盗监控、消防设施等)大、中修及更新、改造；</w:t>
      </w:r>
    </w:p>
    <w:p w14:paraId="258D407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3、小区环境配套设施(如健身娱乐设施等)的更新、改造；</w:t>
      </w:r>
    </w:p>
    <w:p w14:paraId="54F6C95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4、小区公共区域绿化(如草坪、乔灌木等)更新、改造；</w:t>
      </w:r>
    </w:p>
    <w:p w14:paraId="65CF447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5、小区公共建筑(如小区大门，单元大堂、楼层及其装饰等)、道路的更新、改造；</w:t>
      </w:r>
    </w:p>
    <w:p w14:paraId="63FC12C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6、用于小区非盈利性设施的大、中修及更新、改造；</w:t>
      </w:r>
    </w:p>
    <w:p w14:paraId="7AF4A25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7、停车（场）库共用设备设施（如监控、车管系统、风机、水泵、消防设施等）大、中修及更新、改造；</w:t>
      </w:r>
    </w:p>
    <w:p w14:paraId="3EF7D20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8、其它不在上列内但需由物业维修资金支付的费用，如国家法律法规规定的须由物业维修资金支付的费用。</w:t>
      </w:r>
    </w:p>
    <w:p w14:paraId="2098271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9、保修期内属保修范围的由甲方承担。</w:t>
      </w:r>
    </w:p>
    <w:p w14:paraId="4563708C">
      <w:pPr>
        <w:snapToGrid w:val="0"/>
        <w:spacing w:line="500" w:lineRule="exact"/>
        <w:ind w:firstLine="482" w:firstLineChars="200"/>
        <w:jc w:val="center"/>
        <w:rPr>
          <w:rFonts w:ascii="仿宋" w:hAnsi="仿宋" w:eastAsia="仿宋"/>
          <w:b/>
          <w:bCs/>
          <w:color w:val="000000"/>
          <w:sz w:val="24"/>
          <w:szCs w:val="24"/>
        </w:rPr>
      </w:pPr>
      <w:r>
        <w:rPr>
          <w:rFonts w:hint="eastAsia" w:ascii="仿宋" w:hAnsi="仿宋" w:eastAsia="仿宋"/>
          <w:b/>
          <w:bCs/>
          <w:color w:val="000000"/>
          <w:sz w:val="24"/>
          <w:szCs w:val="24"/>
        </w:rPr>
        <w:t>第五章 委托服务期限</w:t>
      </w:r>
    </w:p>
    <w:p w14:paraId="0C4B998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第二十五条 “ </w:t>
      </w: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 xml:space="preserve"> ”由乙方根据本协议内容进行服务管理，前期物业服务合同为期三年：</w:t>
      </w:r>
      <w:r>
        <w:rPr>
          <w:rFonts w:hint="eastAsia" w:ascii="仿宋" w:hAnsi="仿宋" w:eastAsia="仿宋"/>
          <w:color w:val="000000"/>
          <w:sz w:val="24"/>
          <w:szCs w:val="24"/>
          <w:u w:val="single"/>
        </w:rPr>
        <w:t xml:space="preserve">    年  月  日至    年  月  日止</w:t>
      </w:r>
      <w:r>
        <w:rPr>
          <w:rFonts w:hint="eastAsia" w:ascii="仿宋" w:hAnsi="仿宋" w:eastAsia="仿宋"/>
          <w:color w:val="000000"/>
          <w:sz w:val="24"/>
          <w:szCs w:val="24"/>
        </w:rPr>
        <w:t>。本小区业主大会与选聘或续聘的物业服务企业签订新的物业服务合同生效时，本合同自动终止。</w:t>
      </w:r>
    </w:p>
    <w:p w14:paraId="761D5419">
      <w:pPr>
        <w:snapToGrid w:val="0"/>
        <w:spacing w:line="500" w:lineRule="exact"/>
        <w:ind w:firstLine="482" w:firstLineChars="200"/>
        <w:jc w:val="center"/>
        <w:rPr>
          <w:rFonts w:ascii="仿宋" w:hAnsi="仿宋" w:eastAsia="仿宋"/>
          <w:b/>
          <w:bCs/>
          <w:color w:val="000000"/>
          <w:sz w:val="24"/>
          <w:szCs w:val="24"/>
        </w:rPr>
      </w:pPr>
      <w:r>
        <w:rPr>
          <w:rFonts w:hint="eastAsia" w:ascii="仿宋" w:hAnsi="仿宋" w:eastAsia="仿宋"/>
          <w:b/>
          <w:bCs/>
          <w:color w:val="000000"/>
          <w:sz w:val="24"/>
          <w:szCs w:val="24"/>
        </w:rPr>
        <w:t>第六章 违约责任</w:t>
      </w:r>
    </w:p>
    <w:p w14:paraId="1BFDD72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第二十六条 如甲方违反合同关于甲方义务的约定，使乙方未完成规定管理目标，乙方有权要求甲方在一定期限内解决，逾期未解决的，乙方有权解除合同；造成乙方经济损失的，甲方应给予乙方经济赔偿。</w:t>
      </w:r>
    </w:p>
    <w:p w14:paraId="6E3B7E6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第二十七条 如乙方违反本合同约定，未能达到约定的委托管理目标，甲方有权要求乙方限期整改，逾期未整改的，甲方有权解除合同；造成甲方经济损失的，乙方应给予甲方经济赔偿。</w:t>
      </w:r>
    </w:p>
    <w:p w14:paraId="2B49BC1C">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第二十八条 因以上原因需解除本合同的，提出解除合同的一方应及时通知对方，合同自书面通知到达对方时即行解除，并在 30 日内办理交接。如有异议，可请求人民法院确认解除合同的效力。</w:t>
      </w:r>
    </w:p>
    <w:p w14:paraId="5E5B524A">
      <w:pPr>
        <w:snapToGrid w:val="0"/>
        <w:spacing w:line="500" w:lineRule="exact"/>
        <w:ind w:firstLine="482" w:firstLineChars="200"/>
        <w:jc w:val="center"/>
        <w:rPr>
          <w:rFonts w:ascii="仿宋" w:hAnsi="仿宋" w:eastAsia="仿宋"/>
          <w:color w:val="000000"/>
          <w:sz w:val="24"/>
          <w:szCs w:val="24"/>
        </w:rPr>
      </w:pPr>
      <w:r>
        <w:rPr>
          <w:rFonts w:hint="eastAsia" w:ascii="仿宋" w:hAnsi="仿宋" w:eastAsia="仿宋"/>
          <w:b/>
          <w:bCs/>
          <w:color w:val="000000"/>
          <w:sz w:val="24"/>
          <w:szCs w:val="24"/>
        </w:rPr>
        <w:t>第七章 附则</w:t>
      </w:r>
    </w:p>
    <w:p w14:paraId="62A408D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第二十九条 双方可对本合同的条款进行补充，以书面形式签订补充协议，补充协议与合同具有同等效力。</w:t>
      </w:r>
    </w:p>
    <w:p w14:paraId="1444BC9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第三十条 因房屋建筑质量、设施设备质量或安装技术等原因，达不到使用功能，造成重大事故的，由甲方承担责任并作善后处理。产生质量事故的直接原因，以法定机构的鉴定为准。</w:t>
      </w:r>
    </w:p>
    <w:p w14:paraId="0686018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第三十一条 若本合同任何条文因国家或地方法规的变更而无效、非法或不能执行时，将按照新的法律法规的要求执行，但本合同其余条文的有效性、合法性及可执行性并不因此而改变。</w:t>
      </w:r>
    </w:p>
    <w:p w14:paraId="097DAF6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第三十二条 甲、乙双方一致同意在履行本合同时，若发生任何争议应首先进行协商解决，协商不成的，向本项目所在地人民法院提起诉讼。</w:t>
      </w:r>
    </w:p>
    <w:p w14:paraId="7B46ED3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第三十三条 本合同一式肆份，甲、乙双方各执壹份，政府房管主管部门备案贰份。本合同自甲、乙双方签字盖章之日起生效。</w:t>
      </w:r>
    </w:p>
    <w:p w14:paraId="51086CC9">
      <w:pPr>
        <w:spacing w:line="400" w:lineRule="exact"/>
        <w:ind w:right="12" w:firstLine="480"/>
        <w:rPr>
          <w:rFonts w:ascii="仿宋" w:hAnsi="仿宋" w:eastAsia="仿宋"/>
          <w:color w:val="000000"/>
          <w:sz w:val="24"/>
          <w:szCs w:val="24"/>
        </w:rPr>
      </w:pPr>
    </w:p>
    <w:p w14:paraId="1CDCC81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甲方签章：                         乙方签章：</w:t>
      </w:r>
    </w:p>
    <w:p w14:paraId="18EB447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法定代表人：                       法定代表人：  </w:t>
      </w:r>
    </w:p>
    <w:p w14:paraId="6A138305">
      <w:pPr>
        <w:spacing w:line="400" w:lineRule="exact"/>
        <w:ind w:right="12" w:firstLine="1680" w:firstLineChars="700"/>
        <w:rPr>
          <w:rFonts w:ascii="仿宋" w:hAnsi="仿宋" w:eastAsia="仿宋"/>
          <w:color w:val="000000"/>
          <w:sz w:val="24"/>
          <w:szCs w:val="24"/>
        </w:rPr>
      </w:pPr>
      <w:r>
        <w:rPr>
          <w:rFonts w:hint="eastAsia" w:ascii="仿宋" w:hAnsi="仿宋" w:eastAsia="仿宋"/>
          <w:color w:val="000000"/>
          <w:sz w:val="24"/>
          <w:szCs w:val="24"/>
        </w:rPr>
        <w:t>年    月    日              年    月    日</w:t>
      </w:r>
    </w:p>
    <w:p w14:paraId="74882C6C">
      <w:pPr>
        <w:snapToGrid w:val="0"/>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 xml:space="preserve"> </w:t>
      </w:r>
    </w:p>
    <w:p w14:paraId="32AFAE26">
      <w:pPr>
        <w:snapToGrid w:val="0"/>
        <w:spacing w:line="500" w:lineRule="exact"/>
        <w:ind w:firstLine="560" w:firstLineChars="200"/>
        <w:rPr>
          <w:rFonts w:hint="eastAsia" w:ascii="仿宋" w:hAnsi="仿宋" w:eastAsia="仿宋"/>
          <w:color w:val="000000"/>
          <w:sz w:val="28"/>
          <w:szCs w:val="28"/>
        </w:rPr>
      </w:pPr>
    </w:p>
    <w:p w14:paraId="5CF3DF68">
      <w:pPr>
        <w:snapToGrid w:val="0"/>
        <w:spacing w:line="500" w:lineRule="exact"/>
        <w:ind w:firstLine="560" w:firstLineChars="200"/>
        <w:rPr>
          <w:rFonts w:hint="eastAsia" w:ascii="仿宋" w:hAnsi="仿宋" w:eastAsia="仿宋"/>
          <w:color w:val="000000"/>
          <w:sz w:val="28"/>
          <w:szCs w:val="28"/>
        </w:rPr>
      </w:pPr>
    </w:p>
    <w:p w14:paraId="3B9F23FA">
      <w:pPr>
        <w:snapToGrid w:val="0"/>
        <w:spacing w:line="500" w:lineRule="exact"/>
        <w:ind w:firstLine="560" w:firstLineChars="200"/>
        <w:rPr>
          <w:rFonts w:hint="eastAsia" w:ascii="仿宋" w:hAnsi="仿宋" w:eastAsia="仿宋"/>
          <w:color w:val="000000"/>
          <w:sz w:val="28"/>
          <w:szCs w:val="28"/>
        </w:rPr>
      </w:pPr>
    </w:p>
    <w:p w14:paraId="0D5F235E">
      <w:pPr>
        <w:snapToGrid w:val="0"/>
        <w:spacing w:line="500" w:lineRule="exact"/>
        <w:ind w:firstLine="560" w:firstLineChars="200"/>
        <w:rPr>
          <w:rFonts w:hint="eastAsia" w:ascii="仿宋" w:hAnsi="仿宋" w:eastAsia="仿宋"/>
          <w:color w:val="000000"/>
          <w:sz w:val="28"/>
          <w:szCs w:val="28"/>
        </w:rPr>
      </w:pPr>
    </w:p>
    <w:p w14:paraId="16FF484C">
      <w:pPr>
        <w:snapToGrid w:val="0"/>
        <w:spacing w:line="500" w:lineRule="exact"/>
        <w:ind w:firstLine="560" w:firstLineChars="200"/>
        <w:rPr>
          <w:rFonts w:hint="eastAsia" w:ascii="仿宋" w:hAnsi="仿宋" w:eastAsia="仿宋"/>
          <w:color w:val="000000"/>
          <w:sz w:val="28"/>
          <w:szCs w:val="28"/>
        </w:rPr>
      </w:pPr>
    </w:p>
    <w:p w14:paraId="5048A226">
      <w:pPr>
        <w:snapToGrid w:val="0"/>
        <w:spacing w:line="500" w:lineRule="exact"/>
        <w:ind w:firstLine="560" w:firstLineChars="200"/>
        <w:rPr>
          <w:rFonts w:hint="eastAsia" w:ascii="仿宋" w:hAnsi="仿宋" w:eastAsia="仿宋"/>
          <w:color w:val="000000"/>
          <w:sz w:val="28"/>
          <w:szCs w:val="28"/>
        </w:rPr>
      </w:pPr>
    </w:p>
    <w:p w14:paraId="4FFEEE88">
      <w:pPr>
        <w:snapToGrid w:val="0"/>
        <w:spacing w:line="500" w:lineRule="exact"/>
        <w:ind w:firstLine="560" w:firstLineChars="200"/>
        <w:rPr>
          <w:rFonts w:hint="eastAsia" w:ascii="仿宋" w:hAnsi="仿宋" w:eastAsia="仿宋"/>
          <w:color w:val="000000"/>
          <w:sz w:val="28"/>
          <w:szCs w:val="28"/>
        </w:rPr>
      </w:pPr>
    </w:p>
    <w:p w14:paraId="33A63E7B">
      <w:pPr>
        <w:snapToGrid w:val="0"/>
        <w:spacing w:line="500" w:lineRule="exact"/>
        <w:ind w:firstLine="560" w:firstLineChars="200"/>
        <w:rPr>
          <w:rFonts w:hint="eastAsia" w:ascii="仿宋" w:hAnsi="仿宋" w:eastAsia="仿宋"/>
          <w:color w:val="000000"/>
          <w:sz w:val="28"/>
          <w:szCs w:val="28"/>
        </w:rPr>
      </w:pPr>
    </w:p>
    <w:p w14:paraId="530645BE">
      <w:pPr>
        <w:snapToGrid w:val="0"/>
        <w:spacing w:line="500" w:lineRule="exact"/>
        <w:ind w:firstLine="560" w:firstLineChars="200"/>
        <w:rPr>
          <w:rFonts w:hint="eastAsia" w:ascii="仿宋" w:hAnsi="仿宋" w:eastAsia="仿宋"/>
          <w:color w:val="000000"/>
          <w:sz w:val="28"/>
          <w:szCs w:val="28"/>
        </w:rPr>
      </w:pPr>
    </w:p>
    <w:p w14:paraId="3BD7ED1B">
      <w:pPr>
        <w:snapToGrid w:val="0"/>
        <w:spacing w:line="500" w:lineRule="exact"/>
        <w:ind w:firstLine="560" w:firstLineChars="200"/>
        <w:rPr>
          <w:rFonts w:hint="eastAsia" w:ascii="仿宋" w:hAnsi="仿宋" w:eastAsia="仿宋"/>
          <w:color w:val="000000"/>
          <w:sz w:val="28"/>
          <w:szCs w:val="28"/>
        </w:rPr>
      </w:pPr>
    </w:p>
    <w:p w14:paraId="5D535CB4">
      <w:pPr>
        <w:snapToGrid w:val="0"/>
        <w:spacing w:line="500" w:lineRule="exact"/>
        <w:ind w:firstLine="560" w:firstLineChars="200"/>
        <w:rPr>
          <w:rFonts w:hint="eastAsia" w:ascii="仿宋" w:hAnsi="仿宋" w:eastAsia="仿宋"/>
          <w:color w:val="000000"/>
          <w:sz w:val="28"/>
          <w:szCs w:val="28"/>
        </w:rPr>
      </w:pPr>
    </w:p>
    <w:p w14:paraId="16727ECB">
      <w:pPr>
        <w:snapToGrid w:val="0"/>
        <w:spacing w:line="500" w:lineRule="exact"/>
        <w:ind w:firstLine="560" w:firstLineChars="200"/>
        <w:rPr>
          <w:rFonts w:hint="eastAsia" w:ascii="仿宋" w:hAnsi="仿宋" w:eastAsia="仿宋"/>
          <w:color w:val="000000"/>
          <w:sz w:val="28"/>
          <w:szCs w:val="28"/>
        </w:rPr>
      </w:pPr>
    </w:p>
    <w:p w14:paraId="0369C7F6">
      <w:pPr>
        <w:snapToGrid w:val="0"/>
        <w:spacing w:line="500" w:lineRule="exact"/>
        <w:ind w:firstLine="560" w:firstLineChars="200"/>
        <w:rPr>
          <w:rFonts w:hint="eastAsia" w:ascii="仿宋" w:hAnsi="仿宋" w:eastAsia="仿宋"/>
          <w:color w:val="000000"/>
          <w:sz w:val="28"/>
          <w:szCs w:val="28"/>
        </w:rPr>
      </w:pPr>
    </w:p>
    <w:p w14:paraId="3D168BF4">
      <w:pPr>
        <w:snapToGrid w:val="0"/>
        <w:spacing w:line="500" w:lineRule="exact"/>
        <w:ind w:firstLine="560" w:firstLineChars="200"/>
        <w:rPr>
          <w:rFonts w:hint="eastAsia" w:ascii="仿宋" w:hAnsi="仿宋" w:eastAsia="仿宋"/>
          <w:color w:val="000000"/>
          <w:sz w:val="28"/>
          <w:szCs w:val="28"/>
        </w:rPr>
      </w:pPr>
    </w:p>
    <w:p w14:paraId="6E1DBD4F">
      <w:pPr>
        <w:snapToGrid w:val="0"/>
        <w:spacing w:line="500" w:lineRule="exact"/>
        <w:ind w:firstLine="560" w:firstLineChars="200"/>
        <w:rPr>
          <w:rFonts w:hint="eastAsia" w:ascii="仿宋" w:hAnsi="仿宋" w:eastAsia="仿宋"/>
          <w:color w:val="000000"/>
          <w:sz w:val="28"/>
          <w:szCs w:val="28"/>
        </w:rPr>
      </w:pPr>
    </w:p>
    <w:p w14:paraId="36CC353C">
      <w:pPr>
        <w:snapToGrid w:val="0"/>
        <w:spacing w:line="500" w:lineRule="exact"/>
        <w:ind w:firstLine="560" w:firstLineChars="200"/>
        <w:rPr>
          <w:rFonts w:hint="eastAsia" w:ascii="仿宋" w:hAnsi="仿宋" w:eastAsia="仿宋"/>
          <w:color w:val="000000"/>
          <w:sz w:val="28"/>
          <w:szCs w:val="28"/>
        </w:rPr>
      </w:pPr>
    </w:p>
    <w:p w14:paraId="765AA019">
      <w:pPr>
        <w:snapToGrid w:val="0"/>
        <w:spacing w:line="500" w:lineRule="exact"/>
        <w:ind w:firstLine="560" w:firstLineChars="200"/>
        <w:rPr>
          <w:rFonts w:hint="eastAsia" w:ascii="仿宋" w:hAnsi="仿宋" w:eastAsia="仿宋"/>
          <w:color w:val="000000"/>
          <w:sz w:val="28"/>
          <w:szCs w:val="28"/>
        </w:rPr>
      </w:pPr>
    </w:p>
    <w:p w14:paraId="4A5532B8">
      <w:pPr>
        <w:snapToGrid w:val="0"/>
        <w:spacing w:line="500" w:lineRule="exact"/>
        <w:ind w:firstLine="560" w:firstLineChars="200"/>
        <w:rPr>
          <w:rFonts w:hint="eastAsia" w:ascii="仿宋" w:hAnsi="仿宋" w:eastAsia="仿宋"/>
          <w:color w:val="000000"/>
          <w:sz w:val="28"/>
          <w:szCs w:val="28"/>
        </w:rPr>
      </w:pPr>
    </w:p>
    <w:p w14:paraId="6A7FF198">
      <w:pPr>
        <w:snapToGrid w:val="0"/>
        <w:spacing w:line="500" w:lineRule="exact"/>
        <w:ind w:firstLine="560" w:firstLineChars="200"/>
        <w:rPr>
          <w:rFonts w:hint="eastAsia" w:ascii="仿宋" w:hAnsi="仿宋" w:eastAsia="仿宋"/>
          <w:color w:val="000000"/>
          <w:sz w:val="28"/>
          <w:szCs w:val="28"/>
        </w:rPr>
      </w:pPr>
    </w:p>
    <w:p w14:paraId="1E232E47">
      <w:pPr>
        <w:snapToGrid w:val="0"/>
        <w:spacing w:line="500" w:lineRule="exact"/>
        <w:ind w:firstLine="560" w:firstLineChars="200"/>
        <w:rPr>
          <w:rFonts w:hint="eastAsia" w:ascii="仿宋" w:hAnsi="仿宋" w:eastAsia="仿宋"/>
          <w:color w:val="000000"/>
          <w:sz w:val="28"/>
          <w:szCs w:val="28"/>
        </w:rPr>
      </w:pPr>
    </w:p>
    <w:p w14:paraId="13A24CDD">
      <w:pPr>
        <w:spacing w:line="500" w:lineRule="exact"/>
        <w:jc w:val="center"/>
        <w:outlineLvl w:val="0"/>
        <w:rPr>
          <w:rFonts w:ascii="仿宋" w:hAnsi="仿宋" w:eastAsia="仿宋"/>
          <w:b/>
          <w:color w:val="000000"/>
          <w:sz w:val="28"/>
          <w:szCs w:val="28"/>
        </w:rPr>
      </w:pPr>
      <w:bookmarkStart w:id="40" w:name="_Toc271791988"/>
      <w:bookmarkEnd w:id="40"/>
      <w:r>
        <w:rPr>
          <w:rFonts w:hint="eastAsia" w:ascii="仿宋" w:hAnsi="仿宋" w:eastAsia="仿宋"/>
          <w:b/>
          <w:color w:val="000000"/>
          <w:sz w:val="28"/>
          <w:szCs w:val="28"/>
        </w:rPr>
        <w:t>第七篇   投标文件部分格式</w:t>
      </w:r>
    </w:p>
    <w:p w14:paraId="58278F47">
      <w:pPr>
        <w:spacing w:line="400" w:lineRule="exact"/>
        <w:ind w:right="12" w:firstLine="480"/>
        <w:rPr>
          <w:rFonts w:ascii="仿宋" w:hAnsi="仿宋" w:eastAsia="仿宋"/>
          <w:color w:val="000000"/>
          <w:sz w:val="24"/>
          <w:szCs w:val="24"/>
        </w:rPr>
      </w:pPr>
      <w:bookmarkStart w:id="41" w:name="_Toc311729684"/>
      <w:bookmarkEnd w:id="41"/>
      <w:bookmarkStart w:id="42" w:name="_Toc271791990"/>
      <w:bookmarkEnd w:id="42"/>
      <w:r>
        <w:rPr>
          <w:rFonts w:hint="eastAsia" w:ascii="仿宋" w:hAnsi="仿宋" w:eastAsia="仿宋"/>
          <w:color w:val="000000"/>
          <w:sz w:val="24"/>
          <w:szCs w:val="24"/>
        </w:rPr>
        <w:t>提供了格式的部分，请投标人按照格式要求进行投标文件的制作，未提供格式的请投标人自行编制格式和内容。</w:t>
      </w:r>
    </w:p>
    <w:p w14:paraId="68D81127">
      <w:pPr>
        <w:spacing w:line="400" w:lineRule="exact"/>
        <w:ind w:right="12" w:firstLine="480"/>
        <w:rPr>
          <w:rFonts w:ascii="仿宋" w:hAnsi="仿宋" w:eastAsia="仿宋"/>
          <w:color w:val="000000"/>
          <w:sz w:val="24"/>
          <w:szCs w:val="24"/>
        </w:rPr>
      </w:pPr>
    </w:p>
    <w:p w14:paraId="12826280">
      <w:pPr>
        <w:spacing w:line="400" w:lineRule="exact"/>
        <w:ind w:right="12" w:firstLine="480"/>
        <w:rPr>
          <w:rFonts w:ascii="仿宋" w:hAnsi="仿宋" w:eastAsia="仿宋"/>
          <w:color w:val="000000"/>
          <w:sz w:val="24"/>
          <w:szCs w:val="24"/>
        </w:rPr>
      </w:pPr>
    </w:p>
    <w:p w14:paraId="2B55649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一、投标函</w:t>
      </w:r>
    </w:p>
    <w:p w14:paraId="281C4751">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投标函（格式）</w:t>
      </w:r>
    </w:p>
    <w:p w14:paraId="44FDD864">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 xml:space="preserve"> </w:t>
      </w:r>
    </w:p>
    <w:p w14:paraId="47DECA2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14:paraId="09D1BEC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名称）：</w:t>
      </w:r>
    </w:p>
    <w:p w14:paraId="6C03BD4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（投标人名称）系中华人民共和国合法企业。我方就参加本次投标有关事项郑重声明如下：</w:t>
      </w:r>
    </w:p>
    <w:p w14:paraId="7ACCBA4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一、我方完全理解并接受该项目招标文件所有要求。</w:t>
      </w:r>
    </w:p>
    <w:p w14:paraId="7353BD9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二、我方提交的所有投标文件、资料都是准确和真实的，如有虚假或隐瞒，我方愿意承担一切法律责任。</w:t>
      </w:r>
    </w:p>
    <w:p w14:paraId="6DE4797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三、我方承诺按照招标文件要求，提供服务的供应。</w:t>
      </w:r>
    </w:p>
    <w:p w14:paraId="5908588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四、我方按招标文件要求提交的投标文件为： 4份。</w:t>
      </w:r>
    </w:p>
    <w:p w14:paraId="114525D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五、我方投标报价为闭口价。即在投标有效期和合同有效期内，该报价固定不变。</w:t>
      </w:r>
    </w:p>
    <w:p w14:paraId="708A26C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六、如果我方中标，我方将履行招标文件中规定的各项要求以及我方投标文件的各项承诺，按《合同法》及合同约定条款承担我方责任。</w:t>
      </w:r>
    </w:p>
    <w:p w14:paraId="3E72335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七、我方理解，最低报价不是中标的唯一条件。</w:t>
      </w:r>
    </w:p>
    <w:p w14:paraId="32DD5BD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八、本投标书包括下述文件在内的投标文件：</w:t>
      </w:r>
    </w:p>
    <w:p w14:paraId="63DE48D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 投标函及报价函和法人代表授权书；</w:t>
      </w:r>
    </w:p>
    <w:p w14:paraId="7DA7744E">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 公司营业执照复印件；</w:t>
      </w:r>
    </w:p>
    <w:p w14:paraId="719FE93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 其他商务文件；</w:t>
      </w:r>
    </w:p>
    <w:p w14:paraId="3600C612">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 投标文件技术方案；</w:t>
      </w:r>
    </w:p>
    <w:p w14:paraId="2315B2C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 物业费用收支测算表；</w:t>
      </w:r>
    </w:p>
    <w:p w14:paraId="695A2B9B">
      <w:pPr>
        <w:spacing w:line="400" w:lineRule="exact"/>
        <w:ind w:right="12" w:firstLine="4560" w:firstLineChars="1900"/>
        <w:rPr>
          <w:rFonts w:ascii="仿宋" w:hAnsi="仿宋" w:eastAsia="仿宋"/>
          <w:color w:val="000000"/>
          <w:sz w:val="24"/>
          <w:szCs w:val="24"/>
        </w:rPr>
      </w:pPr>
      <w:r>
        <w:rPr>
          <w:rFonts w:hint="eastAsia" w:ascii="仿宋" w:hAnsi="仿宋" w:eastAsia="仿宋"/>
          <w:color w:val="000000"/>
          <w:sz w:val="24"/>
          <w:szCs w:val="24"/>
        </w:rPr>
        <w:t>投标人（公章）</w:t>
      </w:r>
    </w:p>
    <w:p w14:paraId="19A8EAFF">
      <w:pPr>
        <w:spacing w:line="400" w:lineRule="exact"/>
        <w:ind w:right="12" w:firstLine="1440" w:firstLineChars="600"/>
        <w:rPr>
          <w:rFonts w:ascii="仿宋" w:hAnsi="仿宋" w:eastAsia="仿宋"/>
          <w:color w:val="000000"/>
          <w:sz w:val="24"/>
          <w:szCs w:val="24"/>
        </w:rPr>
      </w:pPr>
      <w:r>
        <w:rPr>
          <w:rFonts w:hint="eastAsia" w:ascii="仿宋" w:hAnsi="仿宋" w:eastAsia="仿宋"/>
          <w:color w:val="000000"/>
          <w:sz w:val="24"/>
          <w:szCs w:val="24"/>
        </w:rPr>
        <w:t>法定代表人或法定代表人授权委托人（签字）：</w:t>
      </w:r>
    </w:p>
    <w:p w14:paraId="7091BBDA">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年    月   日</w:t>
      </w:r>
    </w:p>
    <w:p w14:paraId="425569C2">
      <w:pPr>
        <w:widowControl/>
        <w:jc w:val="right"/>
        <w:rPr>
          <w:rFonts w:ascii="仿宋" w:hAnsi="仿宋" w:eastAsia="仿宋" w:cs="宋体"/>
          <w:color w:val="000000"/>
          <w:sz w:val="24"/>
          <w:szCs w:val="24"/>
        </w:rPr>
        <w:sectPr>
          <w:pgSz w:w="11906" w:h="16838"/>
          <w:pgMar w:top="1134" w:right="1106" w:bottom="1134" w:left="1259" w:header="720" w:footer="720" w:gutter="0"/>
          <w:cols w:space="720" w:num="1"/>
          <w:docGrid w:type="lines" w:linePitch="312" w:charSpace="0"/>
        </w:sectPr>
      </w:pPr>
    </w:p>
    <w:p w14:paraId="7A6511A2">
      <w:pPr>
        <w:snapToGrid w:val="0"/>
        <w:spacing w:line="500" w:lineRule="exact"/>
        <w:jc w:val="left"/>
        <w:rPr>
          <w:rFonts w:ascii="仿宋" w:hAnsi="仿宋" w:eastAsia="仿宋"/>
          <w:color w:val="000000"/>
          <w:sz w:val="24"/>
          <w:szCs w:val="24"/>
        </w:rPr>
      </w:pPr>
      <w:r>
        <w:rPr>
          <w:rFonts w:hint="eastAsia" w:ascii="仿宋" w:hAnsi="仿宋" w:eastAsia="仿宋"/>
          <w:color w:val="000000"/>
          <w:sz w:val="24"/>
          <w:szCs w:val="24"/>
        </w:rPr>
        <w:t>二、法定代表人身份证明书</w:t>
      </w:r>
    </w:p>
    <w:p w14:paraId="0505F6A9">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法定代表人身份证明书（格式）</w:t>
      </w:r>
    </w:p>
    <w:p w14:paraId="5F367918">
      <w:pPr>
        <w:snapToGrid w:val="0"/>
        <w:spacing w:line="500" w:lineRule="exact"/>
        <w:ind w:firstLine="570"/>
        <w:rPr>
          <w:rFonts w:ascii="仿宋" w:hAnsi="仿宋" w:eastAsia="仿宋"/>
          <w:color w:val="000000"/>
          <w:sz w:val="24"/>
          <w:szCs w:val="24"/>
        </w:rPr>
      </w:pPr>
      <w:r>
        <w:rPr>
          <w:rFonts w:hint="eastAsia" w:ascii="仿宋" w:hAnsi="仿宋" w:eastAsia="仿宋"/>
          <w:color w:val="000000"/>
          <w:sz w:val="24"/>
          <w:szCs w:val="24"/>
        </w:rPr>
        <w:t xml:space="preserve"> </w:t>
      </w:r>
    </w:p>
    <w:p w14:paraId="2859D324">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14:paraId="3319783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名称）：</w:t>
      </w:r>
    </w:p>
    <w:p w14:paraId="2709015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 xml:space="preserve"> （法定代表人姓名）在</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（投标人名称）任</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（职务名称）职务，是</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（投标人名称）的法定代表人。</w:t>
      </w:r>
    </w:p>
    <w:p w14:paraId="5D78B32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02EE8AD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特此证明。</w:t>
      </w:r>
    </w:p>
    <w:p w14:paraId="4EE1CC39">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6A2FD1A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投标人（公章）</w:t>
      </w:r>
    </w:p>
    <w:p w14:paraId="010C219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37FEB83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年   月   日</w:t>
      </w:r>
    </w:p>
    <w:p w14:paraId="5E6E111D">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6A702E6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（附：法定代表人身份证复印件）</w:t>
      </w:r>
    </w:p>
    <w:p w14:paraId="4F146D09">
      <w:pPr>
        <w:snapToGrid w:val="0"/>
        <w:spacing w:line="500" w:lineRule="exact"/>
        <w:ind w:firstLine="120" w:firstLineChars="50"/>
        <w:rPr>
          <w:rFonts w:ascii="仿宋" w:hAnsi="仿宋" w:eastAsia="仿宋"/>
          <w:color w:val="000000"/>
          <w:sz w:val="24"/>
          <w:szCs w:val="24"/>
        </w:rPr>
      </w:pPr>
      <w:r>
        <w:rPr>
          <w:rFonts w:hint="eastAsia" w:ascii="仿宋" w:hAnsi="仿宋" w:eastAsia="仿宋"/>
          <w:color w:val="000000"/>
          <w:sz w:val="24"/>
          <w:szCs w:val="24"/>
        </w:rPr>
        <w:t xml:space="preserve"> </w:t>
      </w:r>
    </w:p>
    <w:p w14:paraId="630117CC">
      <w:pPr>
        <w:snapToGrid w:val="0"/>
        <w:spacing w:line="500" w:lineRule="exact"/>
        <w:ind w:firstLine="120" w:firstLineChars="50"/>
        <w:rPr>
          <w:rFonts w:ascii="仿宋" w:hAnsi="仿宋" w:eastAsia="仿宋"/>
          <w:color w:val="000000"/>
          <w:sz w:val="24"/>
          <w:szCs w:val="24"/>
        </w:rPr>
      </w:pPr>
    </w:p>
    <w:p w14:paraId="7275BD93">
      <w:pPr>
        <w:snapToGrid w:val="0"/>
        <w:spacing w:line="500" w:lineRule="exact"/>
        <w:ind w:firstLine="120" w:firstLineChars="50"/>
        <w:rPr>
          <w:rFonts w:ascii="仿宋" w:hAnsi="仿宋" w:eastAsia="仿宋"/>
          <w:color w:val="000000"/>
          <w:sz w:val="24"/>
          <w:szCs w:val="24"/>
        </w:rPr>
      </w:pPr>
    </w:p>
    <w:p w14:paraId="61B1BC39">
      <w:pPr>
        <w:snapToGrid w:val="0"/>
        <w:spacing w:line="500" w:lineRule="exact"/>
        <w:ind w:firstLine="120" w:firstLineChars="50"/>
        <w:rPr>
          <w:rFonts w:ascii="仿宋" w:hAnsi="仿宋" w:eastAsia="仿宋"/>
          <w:color w:val="000000"/>
          <w:sz w:val="24"/>
          <w:szCs w:val="24"/>
        </w:rPr>
      </w:pPr>
    </w:p>
    <w:p w14:paraId="3851FD41">
      <w:pPr>
        <w:snapToGrid w:val="0"/>
        <w:spacing w:line="500" w:lineRule="exact"/>
        <w:ind w:firstLine="120" w:firstLineChars="50"/>
        <w:rPr>
          <w:rFonts w:ascii="仿宋" w:hAnsi="仿宋" w:eastAsia="仿宋"/>
          <w:color w:val="000000"/>
          <w:sz w:val="24"/>
          <w:szCs w:val="24"/>
        </w:rPr>
      </w:pPr>
    </w:p>
    <w:p w14:paraId="7A447BCA">
      <w:pPr>
        <w:snapToGrid w:val="0"/>
        <w:spacing w:line="500" w:lineRule="exact"/>
        <w:ind w:firstLine="120" w:firstLineChars="50"/>
        <w:rPr>
          <w:rFonts w:ascii="仿宋" w:hAnsi="仿宋" w:eastAsia="仿宋"/>
          <w:color w:val="000000"/>
          <w:sz w:val="24"/>
          <w:szCs w:val="24"/>
        </w:rPr>
      </w:pPr>
    </w:p>
    <w:p w14:paraId="70C60118">
      <w:pPr>
        <w:snapToGrid w:val="0"/>
        <w:spacing w:line="500" w:lineRule="exact"/>
        <w:ind w:firstLine="120" w:firstLineChars="50"/>
        <w:rPr>
          <w:rFonts w:ascii="仿宋" w:hAnsi="仿宋" w:eastAsia="仿宋"/>
          <w:color w:val="000000"/>
          <w:sz w:val="24"/>
          <w:szCs w:val="24"/>
        </w:rPr>
      </w:pPr>
    </w:p>
    <w:p w14:paraId="3A950BCD">
      <w:pPr>
        <w:snapToGrid w:val="0"/>
        <w:spacing w:line="500" w:lineRule="exact"/>
        <w:ind w:firstLine="120" w:firstLineChars="50"/>
        <w:rPr>
          <w:rFonts w:ascii="仿宋" w:hAnsi="仿宋" w:eastAsia="仿宋"/>
          <w:color w:val="000000"/>
          <w:sz w:val="24"/>
          <w:szCs w:val="24"/>
        </w:rPr>
      </w:pPr>
    </w:p>
    <w:p w14:paraId="40D13A45">
      <w:pPr>
        <w:snapToGrid w:val="0"/>
        <w:spacing w:line="500" w:lineRule="exact"/>
        <w:ind w:firstLine="120" w:firstLineChars="50"/>
        <w:rPr>
          <w:rFonts w:ascii="仿宋" w:hAnsi="仿宋" w:eastAsia="仿宋"/>
          <w:color w:val="000000"/>
          <w:sz w:val="24"/>
          <w:szCs w:val="24"/>
        </w:rPr>
      </w:pPr>
    </w:p>
    <w:p w14:paraId="7CEE38DC">
      <w:pPr>
        <w:snapToGrid w:val="0"/>
        <w:spacing w:line="500" w:lineRule="exact"/>
        <w:ind w:firstLine="120" w:firstLineChars="50"/>
        <w:rPr>
          <w:rFonts w:ascii="仿宋" w:hAnsi="仿宋" w:eastAsia="仿宋"/>
          <w:color w:val="000000"/>
          <w:sz w:val="24"/>
          <w:szCs w:val="24"/>
        </w:rPr>
      </w:pPr>
    </w:p>
    <w:p w14:paraId="3BFAC611">
      <w:pPr>
        <w:snapToGrid w:val="0"/>
        <w:spacing w:line="500" w:lineRule="exact"/>
        <w:ind w:firstLine="120" w:firstLineChars="50"/>
        <w:rPr>
          <w:rFonts w:ascii="仿宋" w:hAnsi="仿宋" w:eastAsia="仿宋"/>
          <w:color w:val="000000"/>
          <w:sz w:val="24"/>
          <w:szCs w:val="24"/>
        </w:rPr>
      </w:pPr>
    </w:p>
    <w:p w14:paraId="3C6BC8EE">
      <w:pPr>
        <w:snapToGrid w:val="0"/>
        <w:spacing w:line="500" w:lineRule="exact"/>
        <w:ind w:firstLine="120" w:firstLineChars="50"/>
        <w:rPr>
          <w:rFonts w:ascii="仿宋" w:hAnsi="仿宋" w:eastAsia="仿宋"/>
          <w:color w:val="000000"/>
          <w:sz w:val="24"/>
          <w:szCs w:val="24"/>
        </w:rPr>
      </w:pPr>
    </w:p>
    <w:p w14:paraId="02683A08">
      <w:pPr>
        <w:snapToGrid w:val="0"/>
        <w:spacing w:line="500" w:lineRule="exact"/>
        <w:ind w:firstLine="120" w:firstLineChars="50"/>
        <w:rPr>
          <w:rFonts w:ascii="仿宋" w:hAnsi="仿宋" w:eastAsia="仿宋"/>
          <w:color w:val="000000"/>
          <w:sz w:val="24"/>
          <w:szCs w:val="24"/>
        </w:rPr>
      </w:pPr>
    </w:p>
    <w:p w14:paraId="3F20F036">
      <w:pPr>
        <w:snapToGrid w:val="0"/>
        <w:spacing w:line="500" w:lineRule="exact"/>
        <w:ind w:firstLine="120" w:firstLineChars="50"/>
        <w:rPr>
          <w:rFonts w:ascii="仿宋" w:hAnsi="仿宋" w:eastAsia="仿宋"/>
          <w:color w:val="000000"/>
          <w:sz w:val="24"/>
          <w:szCs w:val="24"/>
        </w:rPr>
      </w:pPr>
    </w:p>
    <w:p w14:paraId="0DE700DC">
      <w:pPr>
        <w:snapToGrid w:val="0"/>
        <w:spacing w:line="500" w:lineRule="exact"/>
        <w:ind w:firstLine="120" w:firstLineChars="50"/>
        <w:rPr>
          <w:rFonts w:ascii="仿宋" w:hAnsi="仿宋" w:eastAsia="仿宋"/>
          <w:color w:val="000000"/>
          <w:sz w:val="24"/>
          <w:szCs w:val="24"/>
        </w:rPr>
      </w:pPr>
    </w:p>
    <w:p w14:paraId="670D3045">
      <w:pPr>
        <w:snapToGrid w:val="0"/>
        <w:spacing w:line="500" w:lineRule="exact"/>
        <w:ind w:firstLine="120" w:firstLineChars="50"/>
        <w:rPr>
          <w:rFonts w:ascii="仿宋" w:hAnsi="仿宋" w:eastAsia="仿宋"/>
          <w:color w:val="000000"/>
          <w:sz w:val="24"/>
          <w:szCs w:val="24"/>
        </w:rPr>
      </w:pPr>
      <w:r>
        <w:rPr>
          <w:rFonts w:hint="eastAsia" w:ascii="仿宋" w:hAnsi="仿宋" w:eastAsia="仿宋"/>
          <w:color w:val="000000"/>
          <w:sz w:val="24"/>
          <w:szCs w:val="24"/>
        </w:rPr>
        <w:t>三、法定代表人授权委托书</w:t>
      </w:r>
    </w:p>
    <w:p w14:paraId="08CD25F1">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法定代表人授权委托书（格式）</w:t>
      </w:r>
    </w:p>
    <w:p w14:paraId="7045E663">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w:t>
      </w:r>
    </w:p>
    <w:p w14:paraId="5CB374AB">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14:paraId="4814D9F7">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名称）：</w:t>
      </w:r>
    </w:p>
    <w:p w14:paraId="3A7E2C2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 xml:space="preserve"> （法定代表人姓名）是</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                        的法定代表人，特授权</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（被授权人姓名及身份证代码）代表我单位全权办理上述项目的投标、谈判、签约等具体工作，并签署全部有关文件、协议及合同。</w:t>
      </w:r>
    </w:p>
    <w:p w14:paraId="0EC5A49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我单位对被授权人的签名负全部责任。</w:t>
      </w:r>
    </w:p>
    <w:p w14:paraId="033772F0">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在撤消授权的书面通知以前，本授权书一直有效。被授权人在授权书有效期内签署的所有文件不因授权的撤消而失效。</w:t>
      </w:r>
    </w:p>
    <w:p w14:paraId="0A37A171">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36986BFF">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4B06EF46">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被授权人签名：               投标人法定代表人签名：</w:t>
      </w:r>
    </w:p>
    <w:p w14:paraId="54126C38">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4BCDEBC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74E386C3">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（附：被授权人身份证复印件）</w:t>
      </w:r>
    </w:p>
    <w:p w14:paraId="6E447ECA">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14:paraId="19C06733">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投标人（公章）</w:t>
      </w:r>
    </w:p>
    <w:p w14:paraId="34CF11D1">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年   月   日</w:t>
      </w:r>
    </w:p>
    <w:p w14:paraId="6976D5A8">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w:t>
      </w:r>
    </w:p>
    <w:p w14:paraId="2B5E9AC5">
      <w:pPr>
        <w:snapToGrid w:val="0"/>
        <w:spacing w:line="500" w:lineRule="exact"/>
        <w:rPr>
          <w:rFonts w:ascii="仿宋" w:hAnsi="仿宋" w:eastAsia="仿宋"/>
          <w:color w:val="000000"/>
          <w:sz w:val="24"/>
          <w:szCs w:val="24"/>
        </w:rPr>
      </w:pPr>
    </w:p>
    <w:p w14:paraId="5532F9BB">
      <w:pPr>
        <w:snapToGrid w:val="0"/>
        <w:spacing w:line="500" w:lineRule="exact"/>
        <w:rPr>
          <w:rFonts w:ascii="仿宋" w:hAnsi="仿宋" w:eastAsia="仿宋"/>
          <w:color w:val="000000"/>
          <w:sz w:val="24"/>
          <w:szCs w:val="24"/>
        </w:rPr>
      </w:pPr>
    </w:p>
    <w:p w14:paraId="096BA509">
      <w:pPr>
        <w:snapToGrid w:val="0"/>
        <w:spacing w:line="500" w:lineRule="exact"/>
        <w:rPr>
          <w:rFonts w:ascii="仿宋" w:hAnsi="仿宋" w:eastAsia="仿宋"/>
          <w:color w:val="000000"/>
          <w:sz w:val="24"/>
          <w:szCs w:val="24"/>
        </w:rPr>
      </w:pPr>
    </w:p>
    <w:p w14:paraId="616BBA9C">
      <w:pPr>
        <w:snapToGrid w:val="0"/>
        <w:spacing w:line="500" w:lineRule="exact"/>
        <w:rPr>
          <w:rFonts w:ascii="仿宋" w:hAnsi="仿宋" w:eastAsia="仿宋"/>
          <w:color w:val="000000"/>
          <w:sz w:val="24"/>
          <w:szCs w:val="24"/>
        </w:rPr>
      </w:pPr>
    </w:p>
    <w:p w14:paraId="7C1DDF6C">
      <w:pPr>
        <w:snapToGrid w:val="0"/>
        <w:spacing w:line="500" w:lineRule="exact"/>
        <w:rPr>
          <w:rFonts w:ascii="仿宋" w:hAnsi="仿宋" w:eastAsia="仿宋"/>
          <w:color w:val="000000"/>
          <w:sz w:val="24"/>
          <w:szCs w:val="24"/>
        </w:rPr>
      </w:pPr>
    </w:p>
    <w:p w14:paraId="09610C76">
      <w:pPr>
        <w:snapToGrid w:val="0"/>
        <w:spacing w:line="500" w:lineRule="exact"/>
        <w:rPr>
          <w:rFonts w:ascii="仿宋" w:hAnsi="仿宋" w:eastAsia="仿宋"/>
          <w:color w:val="000000"/>
          <w:sz w:val="24"/>
          <w:szCs w:val="24"/>
        </w:rPr>
      </w:pPr>
    </w:p>
    <w:p w14:paraId="7F194031">
      <w:pPr>
        <w:snapToGrid w:val="0"/>
        <w:spacing w:line="500" w:lineRule="exact"/>
        <w:rPr>
          <w:rFonts w:ascii="仿宋" w:hAnsi="仿宋" w:eastAsia="仿宋"/>
          <w:color w:val="000000"/>
          <w:sz w:val="24"/>
          <w:szCs w:val="24"/>
        </w:rPr>
      </w:pPr>
    </w:p>
    <w:p w14:paraId="75336223">
      <w:pPr>
        <w:snapToGrid w:val="0"/>
        <w:spacing w:line="500" w:lineRule="exact"/>
        <w:rPr>
          <w:rFonts w:ascii="仿宋" w:hAnsi="仿宋" w:eastAsia="仿宋"/>
          <w:color w:val="000000"/>
          <w:sz w:val="24"/>
          <w:szCs w:val="24"/>
        </w:rPr>
      </w:pPr>
    </w:p>
    <w:p w14:paraId="4B2928B8">
      <w:pPr>
        <w:snapToGrid w:val="0"/>
        <w:spacing w:line="500" w:lineRule="exact"/>
        <w:rPr>
          <w:rFonts w:ascii="仿宋" w:hAnsi="仿宋" w:eastAsia="仿宋"/>
          <w:color w:val="000000"/>
          <w:sz w:val="24"/>
          <w:szCs w:val="24"/>
        </w:rPr>
      </w:pPr>
    </w:p>
    <w:p w14:paraId="0E32E3FA">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四、报价函</w:t>
      </w:r>
    </w:p>
    <w:p w14:paraId="79313322">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报价函（格式）</w:t>
      </w:r>
    </w:p>
    <w:p w14:paraId="3971FBDB">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w:t>
      </w:r>
    </w:p>
    <w:p w14:paraId="17D409A5">
      <w:pPr>
        <w:snapToGrid w:val="0"/>
        <w:spacing w:line="500" w:lineRule="exact"/>
        <w:rPr>
          <w:rFonts w:ascii="仿宋" w:hAnsi="仿宋" w:eastAsia="仿宋"/>
          <w:color w:val="000000"/>
          <w:sz w:val="24"/>
          <w:szCs w:val="24"/>
          <w:u w:val="single"/>
        </w:rPr>
      </w:pPr>
      <w:r>
        <w:rPr>
          <w:rFonts w:hint="eastAsia" w:ascii="仿宋" w:hAnsi="仿宋" w:eastAsia="仿宋"/>
          <w:color w:val="000000"/>
          <w:sz w:val="24"/>
          <w:szCs w:val="24"/>
        </w:rPr>
        <w:t>招标项目名称：</w:t>
      </w:r>
      <w:r>
        <w:rPr>
          <w:rFonts w:hint="eastAsia" w:ascii="仿宋" w:hAnsi="仿宋" w:eastAsia="仿宋"/>
          <w:color w:val="000000"/>
          <w:sz w:val="24"/>
          <w:szCs w:val="24"/>
          <w:u w:val="single"/>
        </w:rPr>
        <w:t xml:space="preserve">                                        </w:t>
      </w:r>
    </w:p>
    <w:p w14:paraId="099D8F12">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名称）：</w:t>
      </w:r>
    </w:p>
    <w:p w14:paraId="76DF736B">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根据贵方“</w:t>
      </w:r>
      <w:r>
        <w:rPr>
          <w:rFonts w:hint="eastAsia" w:ascii="仿宋" w:hAnsi="仿宋" w:eastAsia="仿宋"/>
          <w:color w:val="000000"/>
          <w:sz w:val="24"/>
          <w:szCs w:val="24"/>
          <w:lang w:eastAsia="zh-CN"/>
        </w:rPr>
        <w:t>潼南金福岛万达广场文旅小镇项目（一期）南地块</w:t>
      </w:r>
      <w:r>
        <w:rPr>
          <w:rFonts w:hint="eastAsia" w:ascii="仿宋" w:hAnsi="仿宋" w:eastAsia="仿宋"/>
          <w:color w:val="000000"/>
          <w:sz w:val="24"/>
          <w:szCs w:val="24"/>
        </w:rPr>
        <w:t>”项目的招标文件，遵照《物业管理条例》及《重庆市物业管理招标投标暂行办法》等有关规定，经查勘项目现场和研究贵方招标文件后，我方投标报价如下：（按建筑面积计算物管费）</w:t>
      </w:r>
    </w:p>
    <w:p w14:paraId="408380B1">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一、高层物业管理收费标准为：     元/平方米/月</w:t>
      </w:r>
    </w:p>
    <w:p w14:paraId="730D18B8">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二、洋房物业管理收费标准为：     元/平方米/月</w:t>
      </w:r>
    </w:p>
    <w:p w14:paraId="5D51C3CB">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三、车位物业管理收费标准为：     元/个/月</w:t>
      </w:r>
    </w:p>
    <w:p w14:paraId="41A6940F">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四、报价说明：</w:t>
      </w:r>
    </w:p>
    <w:p w14:paraId="72D75CDD">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1、以上收费为一费制，</w:t>
      </w:r>
      <w:r>
        <w:rPr>
          <w:rFonts w:ascii="仿宋" w:hAnsi="仿宋" w:eastAsia="仿宋"/>
          <w:color w:val="000000"/>
          <w:sz w:val="24"/>
          <w:szCs w:val="24"/>
        </w:rPr>
        <w:t>含</w:t>
      </w:r>
      <w:r>
        <w:rPr>
          <w:rFonts w:hint="eastAsia" w:ascii="仿宋" w:hAnsi="仿宋" w:eastAsia="仿宋"/>
          <w:color w:val="000000"/>
          <w:sz w:val="24"/>
          <w:szCs w:val="24"/>
        </w:rPr>
        <w:t>公共区域水电分摊费和电梯费等；</w:t>
      </w:r>
    </w:p>
    <w:p w14:paraId="385E9855">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2、业主空置房、开发商未出售房屋按国家物业管理相关法规规定收取费用；</w:t>
      </w:r>
    </w:p>
    <w:p w14:paraId="00555D3C">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3、报价为物业成本含企业合理利润。</w:t>
      </w:r>
    </w:p>
    <w:p w14:paraId="22B3A3A2">
      <w:pPr>
        <w:snapToGrid w:val="0"/>
        <w:spacing w:line="500" w:lineRule="exact"/>
        <w:ind w:firstLine="555"/>
        <w:rPr>
          <w:rFonts w:ascii="仿宋" w:hAnsi="仿宋" w:eastAsia="仿宋"/>
          <w:color w:val="000000"/>
          <w:sz w:val="24"/>
          <w:szCs w:val="24"/>
        </w:rPr>
      </w:pPr>
    </w:p>
    <w:p w14:paraId="43C29BF3">
      <w:pPr>
        <w:snapToGrid w:val="0"/>
        <w:spacing w:line="500" w:lineRule="exact"/>
        <w:ind w:firstLine="555"/>
        <w:rPr>
          <w:rFonts w:ascii="仿宋" w:hAnsi="仿宋" w:eastAsia="仿宋"/>
          <w:color w:val="000000"/>
          <w:sz w:val="24"/>
          <w:szCs w:val="24"/>
        </w:rPr>
      </w:pPr>
    </w:p>
    <w:p w14:paraId="081E27E0">
      <w:pPr>
        <w:snapToGrid w:val="0"/>
        <w:spacing w:line="500" w:lineRule="exact"/>
        <w:jc w:val="right"/>
        <w:rPr>
          <w:rFonts w:ascii="仿宋" w:hAnsi="仿宋" w:eastAsia="仿宋"/>
          <w:color w:val="000000"/>
          <w:sz w:val="24"/>
          <w:szCs w:val="24"/>
        </w:rPr>
      </w:pPr>
      <w:r>
        <w:rPr>
          <w:rFonts w:hint="eastAsia" w:ascii="仿宋" w:hAnsi="仿宋" w:eastAsia="仿宋"/>
          <w:color w:val="000000"/>
          <w:sz w:val="24"/>
          <w:szCs w:val="24"/>
        </w:rPr>
        <w:t>投标人（公章）</w:t>
      </w:r>
    </w:p>
    <w:p w14:paraId="72070C20">
      <w:pPr>
        <w:snapToGrid w:val="0"/>
        <w:spacing w:line="500" w:lineRule="exact"/>
        <w:jc w:val="right"/>
        <w:rPr>
          <w:rFonts w:ascii="仿宋" w:hAnsi="仿宋" w:eastAsia="仿宋"/>
          <w:color w:val="000000"/>
          <w:sz w:val="24"/>
          <w:szCs w:val="24"/>
        </w:rPr>
      </w:pPr>
      <w:r>
        <w:rPr>
          <w:rFonts w:hint="eastAsia" w:ascii="仿宋" w:hAnsi="仿宋" w:eastAsia="仿宋"/>
          <w:color w:val="000000"/>
          <w:sz w:val="24"/>
          <w:szCs w:val="24"/>
        </w:rPr>
        <w:t>年   月   日</w:t>
      </w:r>
    </w:p>
    <w:p w14:paraId="0022ADAC">
      <w:pPr>
        <w:snapToGrid w:val="0"/>
        <w:spacing w:line="500" w:lineRule="exact"/>
        <w:jc w:val="right"/>
        <w:rPr>
          <w:rFonts w:ascii="仿宋" w:hAnsi="仿宋" w:eastAsia="仿宋"/>
          <w:color w:val="000000"/>
          <w:sz w:val="24"/>
          <w:szCs w:val="24"/>
        </w:rPr>
      </w:pPr>
    </w:p>
    <w:p w14:paraId="0DEFBE7E">
      <w:pPr>
        <w:snapToGrid w:val="0"/>
        <w:spacing w:line="500" w:lineRule="exact"/>
        <w:jc w:val="right"/>
        <w:rPr>
          <w:rFonts w:ascii="仿宋" w:hAnsi="仿宋" w:eastAsia="仿宋"/>
          <w:color w:val="000000"/>
          <w:sz w:val="24"/>
          <w:szCs w:val="24"/>
        </w:rPr>
      </w:pPr>
    </w:p>
    <w:p w14:paraId="5B2AEB86">
      <w:pPr>
        <w:snapToGrid w:val="0"/>
        <w:spacing w:line="500" w:lineRule="exact"/>
        <w:jc w:val="right"/>
        <w:rPr>
          <w:rFonts w:ascii="仿宋" w:hAnsi="仿宋" w:eastAsia="仿宋"/>
          <w:color w:val="000000"/>
          <w:sz w:val="24"/>
          <w:szCs w:val="24"/>
        </w:rPr>
      </w:pPr>
    </w:p>
    <w:p w14:paraId="0D737C38">
      <w:pPr>
        <w:snapToGrid w:val="0"/>
        <w:spacing w:line="500" w:lineRule="exact"/>
        <w:jc w:val="right"/>
        <w:rPr>
          <w:rFonts w:ascii="仿宋" w:hAnsi="仿宋" w:eastAsia="仿宋"/>
          <w:color w:val="000000"/>
          <w:sz w:val="24"/>
          <w:szCs w:val="24"/>
        </w:rPr>
      </w:pPr>
    </w:p>
    <w:p w14:paraId="1D85654E">
      <w:pPr>
        <w:snapToGrid w:val="0"/>
        <w:spacing w:line="500" w:lineRule="exact"/>
        <w:jc w:val="right"/>
        <w:rPr>
          <w:rFonts w:ascii="仿宋" w:hAnsi="仿宋" w:eastAsia="仿宋"/>
          <w:color w:val="000000"/>
          <w:sz w:val="24"/>
          <w:szCs w:val="24"/>
        </w:rPr>
      </w:pPr>
    </w:p>
    <w:p w14:paraId="451AD473">
      <w:pPr>
        <w:snapToGrid w:val="0"/>
        <w:spacing w:line="500" w:lineRule="exact"/>
        <w:jc w:val="right"/>
        <w:rPr>
          <w:rFonts w:ascii="仿宋" w:hAnsi="仿宋" w:eastAsia="仿宋"/>
          <w:color w:val="000000"/>
          <w:sz w:val="24"/>
          <w:szCs w:val="24"/>
        </w:rPr>
      </w:pPr>
    </w:p>
    <w:p w14:paraId="21B2A325">
      <w:pPr>
        <w:snapToGrid w:val="0"/>
        <w:spacing w:line="500" w:lineRule="exact"/>
        <w:jc w:val="right"/>
        <w:rPr>
          <w:rFonts w:ascii="仿宋" w:hAnsi="仿宋" w:eastAsia="仿宋"/>
          <w:color w:val="000000"/>
          <w:sz w:val="24"/>
          <w:szCs w:val="24"/>
        </w:rPr>
      </w:pPr>
    </w:p>
    <w:p w14:paraId="451EE36E">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五、诚信声明</w:t>
      </w:r>
    </w:p>
    <w:p w14:paraId="745BA840">
      <w:pPr>
        <w:snapToGrid w:val="0"/>
        <w:spacing w:line="500" w:lineRule="exact"/>
        <w:ind w:firstLine="570"/>
        <w:jc w:val="center"/>
        <w:rPr>
          <w:rFonts w:ascii="仿宋" w:hAnsi="仿宋" w:eastAsia="仿宋"/>
          <w:color w:val="000000"/>
          <w:sz w:val="24"/>
          <w:szCs w:val="24"/>
        </w:rPr>
      </w:pPr>
      <w:r>
        <w:rPr>
          <w:rFonts w:hint="eastAsia" w:ascii="仿宋" w:hAnsi="仿宋" w:eastAsia="仿宋"/>
          <w:color w:val="000000"/>
          <w:sz w:val="24"/>
          <w:szCs w:val="24"/>
        </w:rPr>
        <w:t>诚信声明（格式）</w:t>
      </w:r>
    </w:p>
    <w:p w14:paraId="37E82771">
      <w:pPr>
        <w:snapToGrid w:val="0"/>
        <w:spacing w:line="500" w:lineRule="exact"/>
        <w:ind w:firstLine="570"/>
        <w:rPr>
          <w:rFonts w:ascii="仿宋" w:hAnsi="仿宋" w:eastAsia="仿宋"/>
          <w:color w:val="000000"/>
          <w:sz w:val="24"/>
          <w:szCs w:val="24"/>
        </w:rPr>
      </w:pPr>
      <w:r>
        <w:rPr>
          <w:rFonts w:hint="eastAsia" w:ascii="仿宋" w:hAnsi="仿宋" w:eastAsia="仿宋"/>
          <w:color w:val="000000"/>
          <w:sz w:val="24"/>
          <w:szCs w:val="24"/>
        </w:rPr>
        <w:t xml:space="preserve"> </w:t>
      </w:r>
    </w:p>
    <w:p w14:paraId="3D6B73FA">
      <w:pPr>
        <w:snapToGrid w:val="0"/>
        <w:spacing w:line="500" w:lineRule="exact"/>
        <w:rPr>
          <w:rFonts w:ascii="仿宋" w:hAnsi="仿宋" w:eastAsia="仿宋"/>
          <w:color w:val="000000"/>
          <w:sz w:val="24"/>
          <w:szCs w:val="24"/>
          <w:u w:val="single"/>
        </w:rPr>
      </w:pPr>
      <w:r>
        <w:rPr>
          <w:rFonts w:hint="eastAsia" w:ascii="仿宋" w:hAnsi="仿宋" w:eastAsia="仿宋"/>
          <w:color w:val="000000"/>
          <w:sz w:val="24"/>
          <w:szCs w:val="24"/>
        </w:rPr>
        <w:t>招标项目名称：</w:t>
      </w:r>
      <w:r>
        <w:rPr>
          <w:rFonts w:hint="eastAsia" w:ascii="仿宋" w:hAnsi="仿宋" w:eastAsia="仿宋"/>
          <w:color w:val="000000"/>
          <w:sz w:val="24"/>
          <w:szCs w:val="24"/>
          <w:u w:val="single"/>
        </w:rPr>
        <w:t xml:space="preserve">                                        </w:t>
      </w:r>
    </w:p>
    <w:p w14:paraId="46B2008C">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w:t>
      </w:r>
      <w:r>
        <w:rPr>
          <w:rFonts w:hint="eastAsia" w:ascii="仿宋" w:hAnsi="仿宋" w:eastAsia="仿宋"/>
          <w:color w:val="000000"/>
          <w:sz w:val="24"/>
          <w:szCs w:val="24"/>
          <w:lang w:val="en-US" w:eastAsia="zh-CN"/>
        </w:rPr>
        <w:t>人</w:t>
      </w:r>
      <w:r>
        <w:rPr>
          <w:rFonts w:hint="eastAsia" w:ascii="仿宋" w:hAnsi="仿宋" w:eastAsia="仿宋"/>
          <w:color w:val="000000"/>
          <w:sz w:val="24"/>
          <w:szCs w:val="24"/>
        </w:rPr>
        <w:t>名称）：</w:t>
      </w:r>
    </w:p>
    <w:p w14:paraId="12DBA09B">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14:paraId="6664CF73">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特此声明。</w:t>
      </w:r>
    </w:p>
    <w:p w14:paraId="5A29CC7D">
      <w:pPr>
        <w:snapToGrid w:val="0"/>
        <w:spacing w:line="500" w:lineRule="exact"/>
        <w:ind w:firstLine="570"/>
        <w:rPr>
          <w:rFonts w:ascii="仿宋" w:hAnsi="仿宋" w:eastAsia="仿宋"/>
          <w:color w:val="000000"/>
          <w:sz w:val="24"/>
          <w:szCs w:val="24"/>
        </w:rPr>
      </w:pPr>
      <w:r>
        <w:rPr>
          <w:rFonts w:hint="eastAsia" w:ascii="仿宋" w:hAnsi="仿宋" w:eastAsia="仿宋"/>
          <w:color w:val="000000"/>
          <w:sz w:val="24"/>
          <w:szCs w:val="24"/>
        </w:rPr>
        <w:t xml:space="preserve"> </w:t>
      </w:r>
    </w:p>
    <w:p w14:paraId="4B621ED0">
      <w:pPr>
        <w:snapToGrid w:val="0"/>
        <w:spacing w:line="500" w:lineRule="exact"/>
        <w:ind w:right="424" w:firstLine="570"/>
        <w:jc w:val="right"/>
        <w:rPr>
          <w:rFonts w:ascii="仿宋" w:hAnsi="仿宋" w:eastAsia="仿宋"/>
          <w:color w:val="000000"/>
          <w:sz w:val="24"/>
          <w:szCs w:val="24"/>
        </w:rPr>
      </w:pPr>
      <w:r>
        <w:rPr>
          <w:rFonts w:hint="eastAsia" w:ascii="仿宋" w:hAnsi="仿宋" w:eastAsia="仿宋"/>
          <w:color w:val="000000"/>
          <w:sz w:val="24"/>
          <w:szCs w:val="24"/>
        </w:rPr>
        <w:t>（投标人公章）</w:t>
      </w:r>
    </w:p>
    <w:p w14:paraId="557DCDD2">
      <w:pPr>
        <w:snapToGrid w:val="0"/>
        <w:spacing w:line="500" w:lineRule="exact"/>
        <w:ind w:right="480" w:firstLine="570"/>
        <w:jc w:val="right"/>
        <w:rPr>
          <w:rFonts w:hint="eastAsia" w:ascii="仿宋" w:hAnsi="仿宋" w:eastAsia="仿宋"/>
          <w:color w:val="000000"/>
          <w:sz w:val="24"/>
          <w:szCs w:val="24"/>
        </w:rPr>
      </w:pPr>
      <w:r>
        <w:rPr>
          <w:rFonts w:hint="eastAsia" w:ascii="仿宋" w:hAnsi="仿宋" w:eastAsia="仿宋"/>
          <w:color w:val="000000"/>
          <w:sz w:val="24"/>
          <w:szCs w:val="24"/>
        </w:rPr>
        <w:t>年   月   日</w:t>
      </w:r>
    </w:p>
    <w:p w14:paraId="45FF4147">
      <w:pPr>
        <w:snapToGrid w:val="0"/>
        <w:spacing w:line="500" w:lineRule="exact"/>
        <w:ind w:right="480" w:firstLine="570"/>
        <w:jc w:val="right"/>
        <w:rPr>
          <w:rFonts w:hint="eastAsia" w:ascii="仿宋" w:hAnsi="仿宋" w:eastAsia="仿宋"/>
          <w:color w:val="000000"/>
          <w:sz w:val="24"/>
          <w:szCs w:val="24"/>
        </w:rPr>
      </w:pPr>
    </w:p>
    <w:p w14:paraId="372A4D0B">
      <w:pPr>
        <w:snapToGrid w:val="0"/>
        <w:spacing w:line="500" w:lineRule="exact"/>
        <w:ind w:right="480" w:firstLine="570"/>
        <w:jc w:val="right"/>
        <w:rPr>
          <w:rFonts w:hint="eastAsia" w:ascii="仿宋" w:hAnsi="仿宋" w:eastAsia="仿宋"/>
          <w:color w:val="000000"/>
          <w:sz w:val="24"/>
          <w:szCs w:val="24"/>
        </w:rPr>
      </w:pPr>
    </w:p>
    <w:p w14:paraId="31947740">
      <w:pPr>
        <w:snapToGrid w:val="0"/>
        <w:spacing w:line="500" w:lineRule="exact"/>
        <w:ind w:right="480" w:firstLine="570"/>
        <w:jc w:val="right"/>
        <w:rPr>
          <w:rFonts w:hint="eastAsia" w:ascii="仿宋" w:hAnsi="仿宋" w:eastAsia="仿宋"/>
          <w:color w:val="000000"/>
          <w:sz w:val="24"/>
          <w:szCs w:val="24"/>
        </w:rPr>
      </w:pPr>
    </w:p>
    <w:p w14:paraId="66BBD112">
      <w:pPr>
        <w:snapToGrid w:val="0"/>
        <w:spacing w:line="500" w:lineRule="exact"/>
        <w:rPr>
          <w:rFonts w:ascii="仿宋" w:hAnsi="仿宋" w:eastAsia="仿宋"/>
          <w:color w:val="000000"/>
          <w:sz w:val="24"/>
          <w:szCs w:val="24"/>
        </w:rPr>
      </w:pPr>
      <w:r>
        <w:rPr>
          <w:rFonts w:ascii="仿宋" w:hAnsi="仿宋" w:eastAsia="仿宋"/>
          <w:color w:val="000000"/>
          <w:sz w:val="24"/>
          <w:szCs w:val="24"/>
        </w:rPr>
        <w:t>六</w:t>
      </w:r>
      <w:r>
        <w:rPr>
          <w:rFonts w:hint="eastAsia" w:ascii="仿宋" w:hAnsi="仿宋" w:eastAsia="仿宋"/>
          <w:color w:val="000000"/>
          <w:sz w:val="24"/>
          <w:szCs w:val="24"/>
        </w:rPr>
        <w:t>、</w:t>
      </w:r>
      <w:r>
        <w:rPr>
          <w:rFonts w:ascii="仿宋" w:hAnsi="仿宋" w:eastAsia="仿宋"/>
          <w:color w:val="000000"/>
          <w:sz w:val="24"/>
          <w:szCs w:val="24"/>
        </w:rPr>
        <w:t>营业执照副本复印件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881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4</w:t>
    </w:r>
    <w:r>
      <w:fldChar w:fldCharType="end"/>
    </w:r>
  </w:p>
  <w:p w14:paraId="32C6EC6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F6AE">
    <w:pPr>
      <w:pStyle w:val="7"/>
      <w:framePr w:wrap="around" w:vAnchor="text" w:hAnchor="margin" w:xAlign="center" w:y="1"/>
      <w:rPr>
        <w:rStyle w:val="14"/>
      </w:rPr>
    </w:pPr>
    <w:r>
      <w:fldChar w:fldCharType="begin"/>
    </w:r>
    <w:r>
      <w:rPr>
        <w:rStyle w:val="14"/>
      </w:rPr>
      <w:instrText xml:space="preserve">PAGE  </w:instrText>
    </w:r>
    <w:r>
      <w:fldChar w:fldCharType="end"/>
    </w:r>
  </w:p>
  <w:p w14:paraId="0390BA2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4038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EzYWJiYjQ3ZTQ4MDExZmEzNDUxMTkwNzQwNGQyNTgifQ=="/>
  </w:docVars>
  <w:rsids>
    <w:rsidRoot w:val="007B45B3"/>
    <w:rsid w:val="00002EFC"/>
    <w:rsid w:val="000040CC"/>
    <w:rsid w:val="0000523C"/>
    <w:rsid w:val="0001026A"/>
    <w:rsid w:val="0001195F"/>
    <w:rsid w:val="00023501"/>
    <w:rsid w:val="0002582E"/>
    <w:rsid w:val="0003615B"/>
    <w:rsid w:val="00040A23"/>
    <w:rsid w:val="0004339E"/>
    <w:rsid w:val="00050665"/>
    <w:rsid w:val="00055083"/>
    <w:rsid w:val="00056BBB"/>
    <w:rsid w:val="00056EB5"/>
    <w:rsid w:val="0005739A"/>
    <w:rsid w:val="00061A54"/>
    <w:rsid w:val="00063808"/>
    <w:rsid w:val="000641A1"/>
    <w:rsid w:val="000718A3"/>
    <w:rsid w:val="00071A8F"/>
    <w:rsid w:val="00083347"/>
    <w:rsid w:val="000A7C08"/>
    <w:rsid w:val="000B67CA"/>
    <w:rsid w:val="000B6B5E"/>
    <w:rsid w:val="000B7314"/>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A3136"/>
    <w:rsid w:val="001A340C"/>
    <w:rsid w:val="001A5EC4"/>
    <w:rsid w:val="001B0B48"/>
    <w:rsid w:val="001B5FC4"/>
    <w:rsid w:val="001B7843"/>
    <w:rsid w:val="001C08AC"/>
    <w:rsid w:val="001C48BF"/>
    <w:rsid w:val="001D5E20"/>
    <w:rsid w:val="001E36C4"/>
    <w:rsid w:val="001E59D2"/>
    <w:rsid w:val="001E5ECC"/>
    <w:rsid w:val="001F051D"/>
    <w:rsid w:val="001F17CF"/>
    <w:rsid w:val="001F36F8"/>
    <w:rsid w:val="001F40D8"/>
    <w:rsid w:val="001F467A"/>
    <w:rsid w:val="001F5BA2"/>
    <w:rsid w:val="001F6D4B"/>
    <w:rsid w:val="002045B0"/>
    <w:rsid w:val="0020635B"/>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3B9F"/>
    <w:rsid w:val="002953F9"/>
    <w:rsid w:val="002968E6"/>
    <w:rsid w:val="002B217D"/>
    <w:rsid w:val="002C4F10"/>
    <w:rsid w:val="002C5C3F"/>
    <w:rsid w:val="002D1EBB"/>
    <w:rsid w:val="002D2115"/>
    <w:rsid w:val="002D3697"/>
    <w:rsid w:val="002D4746"/>
    <w:rsid w:val="002D4DC7"/>
    <w:rsid w:val="002E0E00"/>
    <w:rsid w:val="002E16E7"/>
    <w:rsid w:val="002E1824"/>
    <w:rsid w:val="002E23A6"/>
    <w:rsid w:val="00304C02"/>
    <w:rsid w:val="003063A5"/>
    <w:rsid w:val="00306725"/>
    <w:rsid w:val="00321BB2"/>
    <w:rsid w:val="003222AE"/>
    <w:rsid w:val="003241A4"/>
    <w:rsid w:val="00327982"/>
    <w:rsid w:val="00331CA5"/>
    <w:rsid w:val="00332D27"/>
    <w:rsid w:val="003406FE"/>
    <w:rsid w:val="00341AFA"/>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76671"/>
    <w:rsid w:val="00384259"/>
    <w:rsid w:val="003855A3"/>
    <w:rsid w:val="003905D8"/>
    <w:rsid w:val="00396F67"/>
    <w:rsid w:val="003A1C8E"/>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4F1B33"/>
    <w:rsid w:val="005072E7"/>
    <w:rsid w:val="00511795"/>
    <w:rsid w:val="005130D6"/>
    <w:rsid w:val="00513A8E"/>
    <w:rsid w:val="005206FE"/>
    <w:rsid w:val="005235A9"/>
    <w:rsid w:val="0052431D"/>
    <w:rsid w:val="0052443F"/>
    <w:rsid w:val="005254A0"/>
    <w:rsid w:val="005257D4"/>
    <w:rsid w:val="0053161A"/>
    <w:rsid w:val="005429D2"/>
    <w:rsid w:val="00543C8E"/>
    <w:rsid w:val="005501A2"/>
    <w:rsid w:val="00551A54"/>
    <w:rsid w:val="0056650A"/>
    <w:rsid w:val="00572534"/>
    <w:rsid w:val="00573A10"/>
    <w:rsid w:val="00576B06"/>
    <w:rsid w:val="005774C4"/>
    <w:rsid w:val="005924AC"/>
    <w:rsid w:val="00593F92"/>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F18A9"/>
    <w:rsid w:val="007013DA"/>
    <w:rsid w:val="0070628E"/>
    <w:rsid w:val="00706FDB"/>
    <w:rsid w:val="007144B6"/>
    <w:rsid w:val="00724B33"/>
    <w:rsid w:val="00726EA6"/>
    <w:rsid w:val="007356B3"/>
    <w:rsid w:val="0074221E"/>
    <w:rsid w:val="0074755F"/>
    <w:rsid w:val="00751B40"/>
    <w:rsid w:val="0075213E"/>
    <w:rsid w:val="00752444"/>
    <w:rsid w:val="007554B0"/>
    <w:rsid w:val="00756BD2"/>
    <w:rsid w:val="007577AA"/>
    <w:rsid w:val="0077716C"/>
    <w:rsid w:val="00780A82"/>
    <w:rsid w:val="00782A09"/>
    <w:rsid w:val="00782E9B"/>
    <w:rsid w:val="00793B86"/>
    <w:rsid w:val="007A4831"/>
    <w:rsid w:val="007A6406"/>
    <w:rsid w:val="007B0E95"/>
    <w:rsid w:val="007B2FB7"/>
    <w:rsid w:val="007B45B3"/>
    <w:rsid w:val="007B6F7C"/>
    <w:rsid w:val="007C1888"/>
    <w:rsid w:val="007C39B9"/>
    <w:rsid w:val="007C3F4B"/>
    <w:rsid w:val="007D2D52"/>
    <w:rsid w:val="007D4070"/>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45A1"/>
    <w:rsid w:val="008A6FC0"/>
    <w:rsid w:val="008A7FC5"/>
    <w:rsid w:val="008C02B4"/>
    <w:rsid w:val="008C3055"/>
    <w:rsid w:val="008C440A"/>
    <w:rsid w:val="008D2F07"/>
    <w:rsid w:val="008D4054"/>
    <w:rsid w:val="008E770A"/>
    <w:rsid w:val="009025DB"/>
    <w:rsid w:val="00902E17"/>
    <w:rsid w:val="00906134"/>
    <w:rsid w:val="0091773B"/>
    <w:rsid w:val="00931C74"/>
    <w:rsid w:val="00934FA4"/>
    <w:rsid w:val="009372EA"/>
    <w:rsid w:val="00944809"/>
    <w:rsid w:val="00945FA8"/>
    <w:rsid w:val="0095335F"/>
    <w:rsid w:val="00953A86"/>
    <w:rsid w:val="00957BAD"/>
    <w:rsid w:val="0096542F"/>
    <w:rsid w:val="0096722A"/>
    <w:rsid w:val="00971FE2"/>
    <w:rsid w:val="00973A80"/>
    <w:rsid w:val="00981D91"/>
    <w:rsid w:val="00990603"/>
    <w:rsid w:val="009917C1"/>
    <w:rsid w:val="00991B41"/>
    <w:rsid w:val="00993A05"/>
    <w:rsid w:val="009956A6"/>
    <w:rsid w:val="009967EE"/>
    <w:rsid w:val="009976C8"/>
    <w:rsid w:val="009A2107"/>
    <w:rsid w:val="009A563A"/>
    <w:rsid w:val="009A65A8"/>
    <w:rsid w:val="009B22B9"/>
    <w:rsid w:val="009C6087"/>
    <w:rsid w:val="009D020A"/>
    <w:rsid w:val="009D4215"/>
    <w:rsid w:val="009D5AE1"/>
    <w:rsid w:val="009E4D17"/>
    <w:rsid w:val="009E5447"/>
    <w:rsid w:val="009F0536"/>
    <w:rsid w:val="009F69FF"/>
    <w:rsid w:val="00A00850"/>
    <w:rsid w:val="00A00E3B"/>
    <w:rsid w:val="00A102D8"/>
    <w:rsid w:val="00A12B62"/>
    <w:rsid w:val="00A13150"/>
    <w:rsid w:val="00A14B72"/>
    <w:rsid w:val="00A15B26"/>
    <w:rsid w:val="00A33398"/>
    <w:rsid w:val="00A3358A"/>
    <w:rsid w:val="00A3485A"/>
    <w:rsid w:val="00A36A10"/>
    <w:rsid w:val="00A41A23"/>
    <w:rsid w:val="00A43BA8"/>
    <w:rsid w:val="00A461D9"/>
    <w:rsid w:val="00A60894"/>
    <w:rsid w:val="00A60CE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96A"/>
    <w:rsid w:val="00B1584A"/>
    <w:rsid w:val="00B169B3"/>
    <w:rsid w:val="00B24D97"/>
    <w:rsid w:val="00B26F1B"/>
    <w:rsid w:val="00B547BA"/>
    <w:rsid w:val="00B574C0"/>
    <w:rsid w:val="00B61F26"/>
    <w:rsid w:val="00B64CFB"/>
    <w:rsid w:val="00B75766"/>
    <w:rsid w:val="00B76546"/>
    <w:rsid w:val="00B82B8C"/>
    <w:rsid w:val="00B82DA7"/>
    <w:rsid w:val="00B837AA"/>
    <w:rsid w:val="00B83E45"/>
    <w:rsid w:val="00B8498E"/>
    <w:rsid w:val="00B91ED7"/>
    <w:rsid w:val="00B930A6"/>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B6D8D"/>
    <w:rsid w:val="00DC2D9C"/>
    <w:rsid w:val="00DD0171"/>
    <w:rsid w:val="00DD3F6A"/>
    <w:rsid w:val="00DD4A97"/>
    <w:rsid w:val="00DD53DA"/>
    <w:rsid w:val="00DD5B29"/>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438E"/>
    <w:rsid w:val="00E66901"/>
    <w:rsid w:val="00E74440"/>
    <w:rsid w:val="00E7486F"/>
    <w:rsid w:val="00E75AFF"/>
    <w:rsid w:val="00E76A33"/>
    <w:rsid w:val="00E8185D"/>
    <w:rsid w:val="00E85429"/>
    <w:rsid w:val="00E85AC5"/>
    <w:rsid w:val="00E873DB"/>
    <w:rsid w:val="00EA21CC"/>
    <w:rsid w:val="00EA3CD4"/>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AF4"/>
    <w:rsid w:val="03D74C99"/>
    <w:rsid w:val="04867F58"/>
    <w:rsid w:val="063C0F7B"/>
    <w:rsid w:val="0AD46352"/>
    <w:rsid w:val="0B391FC1"/>
    <w:rsid w:val="0B8072A3"/>
    <w:rsid w:val="106B129B"/>
    <w:rsid w:val="1C2D1A85"/>
    <w:rsid w:val="1D857F7C"/>
    <w:rsid w:val="1EDB6234"/>
    <w:rsid w:val="1FCA6FDD"/>
    <w:rsid w:val="2164050B"/>
    <w:rsid w:val="22181964"/>
    <w:rsid w:val="247F5901"/>
    <w:rsid w:val="25F17CCE"/>
    <w:rsid w:val="2C3D4920"/>
    <w:rsid w:val="2CD62985"/>
    <w:rsid w:val="34C9402B"/>
    <w:rsid w:val="34F266A5"/>
    <w:rsid w:val="365A2503"/>
    <w:rsid w:val="3AC41D77"/>
    <w:rsid w:val="41AA3E63"/>
    <w:rsid w:val="445E5BA9"/>
    <w:rsid w:val="57723A6D"/>
    <w:rsid w:val="57D64C40"/>
    <w:rsid w:val="59166814"/>
    <w:rsid w:val="591A2C0E"/>
    <w:rsid w:val="5B185506"/>
    <w:rsid w:val="5B2E0D0C"/>
    <w:rsid w:val="5D2A05E8"/>
    <w:rsid w:val="5E4B3A64"/>
    <w:rsid w:val="61A55953"/>
    <w:rsid w:val="633249F7"/>
    <w:rsid w:val="66DD014F"/>
    <w:rsid w:val="679A1396"/>
    <w:rsid w:val="6A0F7EA6"/>
    <w:rsid w:val="6A713A2E"/>
    <w:rsid w:val="6CA756BD"/>
    <w:rsid w:val="6D0D2D25"/>
    <w:rsid w:val="74520FC7"/>
    <w:rsid w:val="7BCA2F07"/>
    <w:rsid w:val="7FD9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qFormat/>
    <w:uiPriority w:val="0"/>
    <w:pPr>
      <w:keepNext/>
      <w:keepLines/>
      <w:adjustRightInd w:val="0"/>
      <w:snapToGrid w:val="0"/>
      <w:spacing w:line="360" w:lineRule="auto"/>
      <w:outlineLvl w:val="1"/>
    </w:pPr>
    <w:rPr>
      <w:rFonts w:ascii="宋体" w:hAnsi="宋体"/>
      <w:sz w:val="28"/>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link w:val="21"/>
    <w:qFormat/>
    <w:uiPriority w:val="0"/>
    <w:pPr>
      <w:spacing w:after="120"/>
      <w:ind w:left="420" w:leftChars="200"/>
    </w:pPr>
    <w:rPr>
      <w:sz w:val="28"/>
      <w:szCs w:val="20"/>
    </w:rPr>
  </w:style>
  <w:style w:type="paragraph" w:styleId="5">
    <w:name w:val="Date"/>
    <w:basedOn w:val="1"/>
    <w:next w:val="1"/>
    <w:link w:val="22"/>
    <w:qFormat/>
    <w:uiPriority w:val="0"/>
    <w:rPr>
      <w:kern w:val="0"/>
      <w:sz w:val="28"/>
      <w:szCs w:val="20"/>
    </w:rPr>
  </w:style>
  <w:style w:type="paragraph" w:styleId="6">
    <w:name w:val="Balloon Text"/>
    <w:basedOn w:val="1"/>
    <w:link w:val="30"/>
    <w:semiHidden/>
    <w:unhideWhenUsed/>
    <w:qFormat/>
    <w:uiPriority w:val="99"/>
    <w:rPr>
      <w:sz w:val="18"/>
      <w:szCs w:val="18"/>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100" w:beforeAutospacing="1" w:after="100" w:afterAutospacing="1"/>
      <w:jc w:val="left"/>
    </w:pPr>
    <w:rPr>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unhideWhenUsed/>
    <w:qFormat/>
    <w:uiPriority w:val="99"/>
    <w:rPr>
      <w:color w:val="0000FF" w:themeColor="hyperlink"/>
      <w:u w:val="single"/>
    </w:rPr>
  </w:style>
  <w:style w:type="paragraph" w:customStyle="1" w:styleId="16">
    <w:name w:val="列出段落1"/>
    <w:basedOn w:val="1"/>
    <w:qFormat/>
    <w:uiPriority w:val="34"/>
    <w:pPr>
      <w:ind w:firstLine="420" w:firstLineChars="200"/>
    </w:pPr>
  </w:style>
  <w:style w:type="paragraph" w:customStyle="1" w:styleId="17">
    <w:name w:val="列出段落11"/>
    <w:basedOn w:val="1"/>
    <w:qFormat/>
    <w:uiPriority w:val="0"/>
    <w:pPr>
      <w:ind w:firstLine="420" w:firstLineChars="200"/>
    </w:pPr>
  </w:style>
  <w:style w:type="paragraph" w:customStyle="1" w:styleId="18">
    <w:name w:val="_Style 3"/>
    <w:basedOn w:val="1"/>
    <w:qFormat/>
    <w:uiPriority w:val="99"/>
    <w:pPr>
      <w:ind w:firstLine="200" w:firstLineChars="200"/>
    </w:pPr>
    <w:rPr>
      <w:rFonts w:ascii="Calibri" w:hAnsi="Calibri"/>
      <w:szCs w:val="22"/>
    </w:rPr>
  </w:style>
  <w:style w:type="character" w:customStyle="1" w:styleId="19">
    <w:name w:val="标题 2 Char"/>
    <w:basedOn w:val="12"/>
    <w:link w:val="2"/>
    <w:qFormat/>
    <w:uiPriority w:val="0"/>
    <w:rPr>
      <w:rFonts w:ascii="宋体" w:hAnsi="宋体" w:eastAsia="宋体" w:cs="Times New Roman"/>
      <w:sz w:val="28"/>
      <w:szCs w:val="20"/>
    </w:rPr>
  </w:style>
  <w:style w:type="character" w:customStyle="1" w:styleId="20">
    <w:name w:val="批注文字 Char"/>
    <w:basedOn w:val="12"/>
    <w:link w:val="3"/>
    <w:qFormat/>
    <w:uiPriority w:val="0"/>
    <w:rPr>
      <w:rFonts w:ascii="Times New Roman" w:hAnsi="Times New Roman" w:eastAsia="宋体" w:cs="Times New Roman"/>
      <w:szCs w:val="24"/>
    </w:rPr>
  </w:style>
  <w:style w:type="character" w:customStyle="1" w:styleId="21">
    <w:name w:val="正文文本缩进 Char"/>
    <w:basedOn w:val="12"/>
    <w:link w:val="4"/>
    <w:qFormat/>
    <w:uiPriority w:val="0"/>
    <w:rPr>
      <w:rFonts w:ascii="Times New Roman" w:hAnsi="Times New Roman" w:eastAsia="宋体" w:cs="Times New Roman"/>
      <w:sz w:val="28"/>
      <w:szCs w:val="20"/>
    </w:rPr>
  </w:style>
  <w:style w:type="character" w:customStyle="1" w:styleId="22">
    <w:name w:val="日期 Char"/>
    <w:basedOn w:val="12"/>
    <w:link w:val="5"/>
    <w:qFormat/>
    <w:uiPriority w:val="0"/>
    <w:rPr>
      <w:rFonts w:ascii="Times New Roman" w:hAnsi="Times New Roman" w:eastAsia="宋体" w:cs="Times New Roman"/>
      <w:kern w:val="0"/>
      <w:sz w:val="28"/>
      <w:szCs w:val="20"/>
    </w:rPr>
  </w:style>
  <w:style w:type="character" w:customStyle="1" w:styleId="23">
    <w:name w:val="页脚 Char"/>
    <w:basedOn w:val="12"/>
    <w:link w:val="7"/>
    <w:qFormat/>
    <w:uiPriority w:val="0"/>
    <w:rPr>
      <w:rFonts w:ascii="Times New Roman" w:hAnsi="Times New Roman" w:eastAsia="宋体" w:cs="Times New Roman"/>
      <w:sz w:val="18"/>
      <w:szCs w:val="18"/>
    </w:rPr>
  </w:style>
  <w:style w:type="character" w:customStyle="1" w:styleId="24">
    <w:name w:val="页眉 Char"/>
    <w:basedOn w:val="12"/>
    <w:link w:val="8"/>
    <w:qFormat/>
    <w:uiPriority w:val="0"/>
    <w:rPr>
      <w:rFonts w:ascii="Times New Roman" w:hAnsi="Times New Roman" w:eastAsia="宋体" w:cs="Times New Roman"/>
      <w:sz w:val="18"/>
      <w:szCs w:val="18"/>
    </w:rPr>
  </w:style>
  <w:style w:type="character" w:customStyle="1" w:styleId="25">
    <w:name w:val="日期 Char1"/>
    <w:basedOn w:val="12"/>
    <w:semiHidden/>
    <w:qFormat/>
    <w:uiPriority w:val="99"/>
    <w:rPr>
      <w:rFonts w:ascii="Times New Roman" w:hAnsi="Times New Roman" w:eastAsia="宋体" w:cs="Times New Roman"/>
      <w:szCs w:val="24"/>
    </w:rPr>
  </w:style>
  <w:style w:type="character" w:customStyle="1" w:styleId="26">
    <w:name w:val="txt1"/>
    <w:basedOn w:val="12"/>
    <w:qFormat/>
    <w:uiPriority w:val="0"/>
    <w:rPr>
      <w:rFonts w:hint="eastAsia" w:ascii="宋体" w:hAnsi="宋体" w:eastAsia="宋体"/>
      <w:sz w:val="22"/>
      <w:szCs w:val="22"/>
    </w:rPr>
  </w:style>
  <w:style w:type="character" w:customStyle="1" w:styleId="27">
    <w:name w:val="HTML 预设格式 Char"/>
    <w:basedOn w:val="12"/>
    <w:link w:val="9"/>
    <w:qFormat/>
    <w:uiPriority w:val="0"/>
    <w:rPr>
      <w:rFonts w:ascii="宋体" w:hAnsi="宋体" w:cs="宋体"/>
      <w:sz w:val="24"/>
      <w:szCs w:val="24"/>
    </w:rPr>
  </w:style>
  <w:style w:type="paragraph" w:customStyle="1" w:styleId="28">
    <w:name w:val="p15"/>
    <w:basedOn w:val="1"/>
    <w:qFormat/>
    <w:uiPriority w:val="0"/>
    <w:pPr>
      <w:widowControl/>
    </w:pPr>
    <w:rPr>
      <w:kern w:val="0"/>
      <w:szCs w:val="21"/>
    </w:rPr>
  </w:style>
  <w:style w:type="paragraph" w:styleId="29">
    <w:name w:val="List Paragraph"/>
    <w:basedOn w:val="1"/>
    <w:unhideWhenUsed/>
    <w:qFormat/>
    <w:uiPriority w:val="99"/>
    <w:pPr>
      <w:ind w:firstLine="420" w:firstLineChars="200"/>
    </w:pPr>
  </w:style>
  <w:style w:type="character" w:customStyle="1" w:styleId="30">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25</Pages>
  <Words>15999</Words>
  <Characters>16663</Characters>
  <Lines>29</Lines>
  <Paragraphs>36</Paragraphs>
  <TotalTime>9</TotalTime>
  <ScaleCrop>false</ScaleCrop>
  <LinksUpToDate>false</LinksUpToDate>
  <CharactersWithSpaces>17857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萧萧夜月风</cp:lastModifiedBy>
  <cp:lastPrinted>2021-05-08T01:29:00Z</cp:lastPrinted>
  <dcterms:modified xsi:type="dcterms:W3CDTF">2024-10-30T02:53:39Z</dcterms:modified>
  <dc:title>政府采购</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CD7BAE13544A4E4AB8A1F4C09AA91DC0</vt:lpwstr>
  </property>
</Properties>
</file>