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4FBE7C">
      <w:pPr>
        <w:spacing w:line="1600" w:lineRule="exact"/>
        <w:jc w:val="center"/>
        <w:rPr>
          <w:rFonts w:ascii="宋体" w:hAnsi="宋体"/>
          <w:color w:val="000000"/>
          <w:sz w:val="84"/>
          <w:szCs w:val="84"/>
        </w:rPr>
      </w:pPr>
      <w:bookmarkStart w:id="43" w:name="_GoBack"/>
      <w:bookmarkEnd w:id="43"/>
    </w:p>
    <w:p w14:paraId="1D742842">
      <w:pPr>
        <w:spacing w:line="1600" w:lineRule="exact"/>
        <w:jc w:val="center"/>
        <w:rPr>
          <w:rFonts w:ascii="宋体" w:hAnsi="宋体"/>
          <w:color w:val="000000"/>
          <w:sz w:val="84"/>
          <w:szCs w:val="84"/>
        </w:rPr>
      </w:pPr>
      <w:r>
        <w:rPr>
          <w:rFonts w:hint="eastAsia" w:ascii="宋体" w:hAnsi="宋体"/>
          <w:color w:val="000000"/>
          <w:sz w:val="84"/>
          <w:szCs w:val="84"/>
        </w:rPr>
        <w:t>招 标 文 件</w:t>
      </w:r>
    </w:p>
    <w:p w14:paraId="1B0066F8">
      <w:pPr>
        <w:spacing w:line="1600" w:lineRule="exact"/>
        <w:jc w:val="center"/>
        <w:rPr>
          <w:rFonts w:ascii="宋体" w:hAnsi="宋体"/>
          <w:color w:val="000000"/>
          <w:sz w:val="84"/>
          <w:szCs w:val="84"/>
        </w:rPr>
      </w:pPr>
    </w:p>
    <w:p w14:paraId="6DE37DE6">
      <w:pPr>
        <w:spacing w:line="600" w:lineRule="exact"/>
        <w:rPr>
          <w:rFonts w:ascii="宋体" w:hAnsi="宋体"/>
          <w:color w:val="000000"/>
          <w:sz w:val="84"/>
          <w:szCs w:val="84"/>
        </w:rPr>
      </w:pPr>
      <w:r>
        <w:rPr>
          <w:rFonts w:hint="eastAsia" w:ascii="仿宋_GB2312" w:eastAsia="仿宋_GB2312"/>
          <w:color w:val="000000"/>
          <w:sz w:val="32"/>
          <w:szCs w:val="32"/>
        </w:rPr>
        <w:t>项目名称：福江香郡三期前期物业管理服务</w:t>
      </w:r>
    </w:p>
    <w:p w14:paraId="17BD1925">
      <w:pPr>
        <w:spacing w:line="600" w:lineRule="exact"/>
        <w:ind w:right="-372"/>
        <w:rPr>
          <w:rFonts w:ascii="仿宋_GB2312" w:eastAsia="仿宋_GB2312"/>
          <w:color w:val="000000"/>
          <w:sz w:val="32"/>
          <w:szCs w:val="32"/>
        </w:rPr>
      </w:pPr>
      <w:r>
        <w:rPr>
          <w:rFonts w:hint="eastAsia" w:ascii="仿宋_GB2312" w:eastAsia="仿宋_GB2312"/>
          <w:color w:val="000000"/>
          <w:sz w:val="32"/>
          <w:szCs w:val="32"/>
        </w:rPr>
        <w:t>招标编号：</w:t>
      </w:r>
      <w:r>
        <w:rPr>
          <w:rFonts w:hint="eastAsia" w:ascii="仿宋_GB2312" w:eastAsia="仿宋_GB2312"/>
          <w:sz w:val="32"/>
          <w:szCs w:val="32"/>
        </w:rPr>
        <w:t>GNZX2021-2-1</w:t>
      </w:r>
    </w:p>
    <w:p w14:paraId="5916314B">
      <w:pPr>
        <w:spacing w:line="600" w:lineRule="exact"/>
        <w:rPr>
          <w:rFonts w:ascii="仿宋_GB2312" w:eastAsia="仿宋_GB2312"/>
          <w:color w:val="000000"/>
          <w:sz w:val="32"/>
          <w:szCs w:val="32"/>
        </w:rPr>
      </w:pPr>
      <w:r>
        <w:rPr>
          <w:rFonts w:hint="eastAsia" w:ascii="仿宋_GB2312" w:eastAsia="仿宋_GB2312"/>
          <w:color w:val="000000"/>
          <w:sz w:val="32"/>
          <w:szCs w:val="32"/>
        </w:rPr>
        <w:t>招标方式：公开招标</w:t>
      </w:r>
    </w:p>
    <w:p w14:paraId="4EAD6412">
      <w:pPr>
        <w:spacing w:before="100" w:beforeAutospacing="1" w:after="100" w:afterAutospacing="1" w:line="500" w:lineRule="exact"/>
        <w:ind w:firstLine="1120" w:firstLineChars="350"/>
        <w:jc w:val="center"/>
        <w:rPr>
          <w:rFonts w:ascii="仿宋_GB2312" w:eastAsia="仿宋_GB2312"/>
          <w:color w:val="000000"/>
          <w:sz w:val="32"/>
          <w:szCs w:val="32"/>
        </w:rPr>
      </w:pPr>
    </w:p>
    <w:p w14:paraId="55A53C69">
      <w:pPr>
        <w:spacing w:line="500" w:lineRule="exact"/>
        <w:ind w:firstLine="1120" w:firstLineChars="350"/>
        <w:jc w:val="center"/>
        <w:rPr>
          <w:rFonts w:ascii="仿宋_GB2312" w:eastAsia="仿宋_GB2312"/>
          <w:color w:val="000000"/>
          <w:sz w:val="32"/>
          <w:szCs w:val="32"/>
        </w:rPr>
      </w:pPr>
    </w:p>
    <w:p w14:paraId="255C88FF">
      <w:pPr>
        <w:spacing w:line="500" w:lineRule="exact"/>
        <w:ind w:firstLine="1120" w:firstLineChars="350"/>
        <w:jc w:val="center"/>
        <w:rPr>
          <w:rFonts w:ascii="仿宋_GB2312" w:eastAsia="仿宋_GB2312"/>
          <w:color w:val="000000"/>
          <w:sz w:val="32"/>
          <w:szCs w:val="32"/>
        </w:rPr>
      </w:pPr>
    </w:p>
    <w:p w14:paraId="4FD00582">
      <w:pPr>
        <w:spacing w:line="500" w:lineRule="exact"/>
        <w:ind w:firstLine="1120" w:firstLineChars="350"/>
        <w:jc w:val="center"/>
        <w:rPr>
          <w:rFonts w:ascii="仿宋_GB2312" w:eastAsia="仿宋_GB2312"/>
          <w:color w:val="000000"/>
          <w:sz w:val="32"/>
          <w:szCs w:val="32"/>
        </w:rPr>
      </w:pPr>
    </w:p>
    <w:p w14:paraId="7A89C3F6">
      <w:pPr>
        <w:spacing w:line="500" w:lineRule="exact"/>
        <w:ind w:firstLine="1120" w:firstLineChars="350"/>
        <w:jc w:val="center"/>
        <w:rPr>
          <w:rFonts w:ascii="仿宋_GB2312" w:eastAsia="仿宋_GB2312"/>
          <w:color w:val="000000"/>
          <w:sz w:val="32"/>
          <w:szCs w:val="32"/>
        </w:rPr>
      </w:pPr>
    </w:p>
    <w:p w14:paraId="08F20618">
      <w:pPr>
        <w:spacing w:line="500" w:lineRule="exact"/>
        <w:rPr>
          <w:rFonts w:ascii="仿宋_GB2312" w:eastAsia="仿宋_GB2312"/>
          <w:color w:val="000000"/>
          <w:sz w:val="30"/>
          <w:szCs w:val="30"/>
        </w:rPr>
      </w:pPr>
      <w:r>
        <w:rPr>
          <w:rFonts w:hint="eastAsia" w:ascii="仿宋_GB2312" w:eastAsia="仿宋_GB2312"/>
          <w:color w:val="000000"/>
          <w:sz w:val="30"/>
          <w:szCs w:val="30"/>
        </w:rPr>
        <w:t>招   标   人：重庆科艺房地产开发有限公司</w:t>
      </w:r>
    </w:p>
    <w:p w14:paraId="5B459F2D">
      <w:pPr>
        <w:spacing w:line="500" w:lineRule="exact"/>
        <w:ind w:firstLine="1050" w:firstLineChars="350"/>
        <w:rPr>
          <w:rFonts w:ascii="仿宋_GB2312" w:eastAsia="仿宋_GB2312"/>
          <w:color w:val="000000"/>
          <w:sz w:val="30"/>
          <w:szCs w:val="30"/>
        </w:rPr>
      </w:pPr>
    </w:p>
    <w:p w14:paraId="1A2D07C5">
      <w:pPr>
        <w:keepNext/>
        <w:snapToGrid w:val="0"/>
        <w:spacing w:beforeLines="100" w:afterLines="50" w:line="800" w:lineRule="atLeast"/>
        <w:jc w:val="center"/>
        <w:outlineLvl w:val="0"/>
        <w:rPr>
          <w:rFonts w:ascii="仿宋_GB2312" w:eastAsia="仿宋_GB2312"/>
          <w:b/>
          <w:bCs/>
          <w:color w:val="000000"/>
          <w:sz w:val="32"/>
          <w:szCs w:val="32"/>
        </w:rPr>
      </w:pPr>
      <w:r>
        <w:rPr>
          <w:rFonts w:hint="eastAsia" w:ascii="仿宋_GB2312" w:eastAsia="仿宋_GB2312"/>
          <w:b/>
          <w:bCs/>
          <w:color w:val="000000"/>
          <w:sz w:val="32"/>
          <w:szCs w:val="32"/>
        </w:rPr>
        <w:t>2021年2月</w:t>
      </w:r>
    </w:p>
    <w:p w14:paraId="2C5D2EE5">
      <w:pPr>
        <w:widowControl/>
        <w:jc w:val="left"/>
        <w:rPr>
          <w:rFonts w:ascii="宋体" w:hAnsi="宋体" w:cs="宋体"/>
          <w:color w:val="000000"/>
          <w:sz w:val="32"/>
          <w:szCs w:val="32"/>
        </w:rPr>
        <w:sectPr>
          <w:headerReference r:id="rId3" w:type="default"/>
          <w:footerReference r:id="rId4" w:type="default"/>
          <w:footerReference r:id="rId5" w:type="even"/>
          <w:pgSz w:w="11907" w:h="16840"/>
          <w:pgMar w:top="1440" w:right="1797" w:bottom="1440" w:left="1797" w:header="720" w:footer="720" w:gutter="0"/>
          <w:cols w:space="720" w:num="1"/>
          <w:docGrid w:type="lines" w:linePitch="312" w:charSpace="0"/>
        </w:sectPr>
      </w:pPr>
    </w:p>
    <w:p w14:paraId="0B68A3DA">
      <w:pPr>
        <w:snapToGrid w:val="0"/>
        <w:spacing w:line="500" w:lineRule="exact"/>
        <w:jc w:val="center"/>
        <w:rPr>
          <w:rFonts w:ascii="宋体" w:hAnsi="宋体"/>
          <w:color w:val="000000"/>
          <w:sz w:val="32"/>
          <w:szCs w:val="32"/>
        </w:rPr>
      </w:pPr>
      <w:r>
        <w:rPr>
          <w:rFonts w:hint="eastAsia" w:ascii="宋体" w:hAnsi="宋体"/>
          <w:color w:val="000000"/>
          <w:sz w:val="32"/>
          <w:szCs w:val="32"/>
        </w:rPr>
        <w:t>目    录</w:t>
      </w:r>
    </w:p>
    <w:p w14:paraId="066190C4">
      <w:pPr>
        <w:spacing w:before="120" w:after="120"/>
        <w:jc w:val="left"/>
        <w:rPr>
          <w:rFonts w:ascii="宋体" w:hAnsi="宋体"/>
          <w:caps/>
          <w:color w:val="000000"/>
          <w:szCs w:val="21"/>
        </w:rPr>
      </w:pPr>
      <w:r>
        <w:rPr>
          <w:rFonts w:hint="eastAsia" w:ascii="宋体" w:hAnsi="宋体"/>
          <w:caps/>
          <w:color w:val="000000"/>
          <w:szCs w:val="21"/>
        </w:rPr>
        <w:t>第一篇 投标邀请书</w:t>
      </w:r>
      <w:r>
        <w:rPr>
          <w:rFonts w:ascii="宋体" w:hAnsi="宋体"/>
          <w:caps/>
          <w:color w:val="000000"/>
          <w:szCs w:val="21"/>
        </w:rPr>
        <w:t>………………………………………………………………………………</w:t>
      </w:r>
      <w:r>
        <w:rPr>
          <w:caps/>
          <w:color w:val="000000"/>
          <w:szCs w:val="21"/>
        </w:rPr>
        <w:tab/>
      </w:r>
      <w:r>
        <w:rPr>
          <w:rFonts w:hint="eastAsia"/>
          <w:caps/>
          <w:color w:val="000000"/>
          <w:szCs w:val="21"/>
        </w:rPr>
        <w:t>4</w:t>
      </w:r>
    </w:p>
    <w:p w14:paraId="37986097">
      <w:pPr>
        <w:spacing w:before="120" w:after="120"/>
        <w:jc w:val="left"/>
        <w:rPr>
          <w:color w:val="000000"/>
          <w:szCs w:val="21"/>
        </w:rPr>
      </w:pPr>
      <w:r>
        <w:rPr>
          <w:rFonts w:hint="eastAsia" w:ascii="宋体" w:hAnsi="宋体"/>
          <w:caps/>
          <w:color w:val="000000"/>
          <w:szCs w:val="21"/>
        </w:rPr>
        <w:t>第二篇 项目介绍和服务要求</w:t>
      </w:r>
      <w:r>
        <w:rPr>
          <w:rFonts w:ascii="宋体" w:hAnsi="宋体"/>
          <w:caps/>
          <w:color w:val="000000"/>
          <w:szCs w:val="21"/>
        </w:rPr>
        <w:t>……………………………………………………………………</w:t>
      </w:r>
      <w:r>
        <w:rPr>
          <w:rFonts w:hint="eastAsia"/>
          <w:caps/>
          <w:color w:val="000000"/>
          <w:szCs w:val="21"/>
        </w:rPr>
        <w:t>6</w:t>
      </w:r>
    </w:p>
    <w:p w14:paraId="29E4F1FB">
      <w:pPr>
        <w:spacing w:before="120" w:after="120"/>
        <w:jc w:val="left"/>
        <w:rPr>
          <w:color w:val="000000"/>
          <w:szCs w:val="21"/>
        </w:rPr>
      </w:pPr>
      <w:r>
        <w:rPr>
          <w:rFonts w:hint="eastAsia" w:ascii="宋体" w:hAnsi="宋体"/>
          <w:caps/>
          <w:color w:val="000000"/>
          <w:szCs w:val="21"/>
        </w:rPr>
        <w:t>第三篇 项目商务要求</w:t>
      </w:r>
      <w:r>
        <w:rPr>
          <w:rFonts w:ascii="宋体" w:hAnsi="宋体"/>
          <w:caps/>
          <w:color w:val="000000"/>
          <w:szCs w:val="21"/>
        </w:rPr>
        <w:t>……………………………………………………………………</w:t>
      </w:r>
      <w:r>
        <w:rPr>
          <w:rFonts w:hint="eastAsia" w:ascii="宋体" w:hAnsi="宋体"/>
          <w:caps/>
          <w:color w:val="000000"/>
          <w:szCs w:val="21"/>
        </w:rPr>
        <w:t>…</w:t>
      </w:r>
      <w:r>
        <w:rPr>
          <w:rFonts w:ascii="宋体" w:hAnsi="宋体"/>
          <w:caps/>
          <w:color w:val="000000"/>
          <w:szCs w:val="21"/>
        </w:rPr>
        <w:t>……</w:t>
      </w:r>
      <w:r>
        <w:rPr>
          <w:rFonts w:hint="eastAsia"/>
          <w:caps/>
          <w:color w:val="000000"/>
          <w:szCs w:val="21"/>
        </w:rPr>
        <w:t>7</w:t>
      </w:r>
    </w:p>
    <w:p w14:paraId="11CE88E9">
      <w:pPr>
        <w:spacing w:before="100" w:beforeAutospacing="1" w:after="100" w:afterAutospacing="1"/>
        <w:ind w:left="280"/>
        <w:jc w:val="left"/>
        <w:rPr>
          <w:rFonts w:ascii="宋体" w:hAnsi="宋体"/>
          <w:color w:val="000000"/>
          <w:szCs w:val="21"/>
        </w:rPr>
      </w:pPr>
      <w:r>
        <w:rPr>
          <w:rFonts w:hint="eastAsia" w:ascii="宋体" w:hAnsi="宋体"/>
          <w:smallCaps/>
          <w:color w:val="000000"/>
          <w:szCs w:val="21"/>
        </w:rPr>
        <w:t>一、服务时间</w:t>
      </w:r>
      <w:r>
        <w:rPr>
          <w:rFonts w:ascii="宋体" w:hAnsi="宋体"/>
          <w:smallCaps/>
          <w:color w:val="000000"/>
          <w:szCs w:val="21"/>
        </w:rPr>
        <w:t>………………………………………………………</w:t>
      </w:r>
      <w:r>
        <w:rPr>
          <w:rFonts w:hint="eastAsia" w:ascii="宋体" w:hAnsi="宋体"/>
          <w:smallCaps/>
          <w:color w:val="000000"/>
          <w:szCs w:val="21"/>
        </w:rPr>
        <w:t>………………………</w:t>
      </w:r>
      <w:r>
        <w:rPr>
          <w:rFonts w:ascii="宋体" w:hAnsi="宋体"/>
          <w:smallCaps/>
          <w:color w:val="000000"/>
          <w:szCs w:val="21"/>
        </w:rPr>
        <w:t>…</w:t>
      </w:r>
      <w:r>
        <w:rPr>
          <w:rFonts w:hint="eastAsia" w:ascii="宋体" w:hAnsi="宋体"/>
          <w:smallCaps/>
          <w:color w:val="000000"/>
          <w:szCs w:val="21"/>
        </w:rPr>
        <w:t xml:space="preserve">    7</w:t>
      </w:r>
    </w:p>
    <w:p w14:paraId="1129E902">
      <w:pPr>
        <w:spacing w:before="100" w:beforeAutospacing="1" w:after="100" w:afterAutospacing="1"/>
        <w:ind w:left="280"/>
        <w:jc w:val="left"/>
        <w:rPr>
          <w:rFonts w:ascii="宋体" w:hAnsi="宋体"/>
          <w:color w:val="000000"/>
          <w:szCs w:val="21"/>
        </w:rPr>
      </w:pPr>
      <w:r>
        <w:rPr>
          <w:rFonts w:hint="eastAsia" w:ascii="宋体" w:hAnsi="宋体"/>
          <w:smallCaps/>
          <w:color w:val="000000"/>
          <w:szCs w:val="21"/>
        </w:rPr>
        <w:t>二、地点</w:t>
      </w:r>
      <w:r>
        <w:rPr>
          <w:rFonts w:ascii="宋体" w:hAnsi="宋体"/>
          <w:smallCaps/>
          <w:color w:val="000000"/>
          <w:szCs w:val="21"/>
        </w:rPr>
        <w:t>…………………………………………………………………</w:t>
      </w:r>
      <w:r>
        <w:rPr>
          <w:rFonts w:hint="eastAsia" w:ascii="宋体" w:hAnsi="宋体"/>
          <w:smallCaps/>
          <w:color w:val="000000"/>
          <w:szCs w:val="21"/>
        </w:rPr>
        <w:t>……………………    7</w:t>
      </w:r>
    </w:p>
    <w:p w14:paraId="37956727">
      <w:pPr>
        <w:spacing w:before="100" w:beforeAutospacing="1" w:after="100" w:afterAutospacing="1"/>
        <w:ind w:left="280"/>
        <w:jc w:val="left"/>
        <w:rPr>
          <w:rFonts w:ascii="宋体" w:hAnsi="宋体"/>
          <w:color w:val="000000"/>
          <w:szCs w:val="21"/>
        </w:rPr>
      </w:pPr>
      <w:r>
        <w:rPr>
          <w:rFonts w:hint="eastAsia" w:ascii="宋体" w:hAnsi="宋体"/>
          <w:smallCaps/>
          <w:color w:val="000000"/>
          <w:szCs w:val="21"/>
        </w:rPr>
        <w:t>三、质量保证及售后服务</w:t>
      </w:r>
      <w:r>
        <w:rPr>
          <w:rFonts w:ascii="宋体" w:hAnsi="宋体"/>
          <w:smallCaps/>
          <w:color w:val="000000"/>
          <w:szCs w:val="21"/>
        </w:rPr>
        <w:t>……………………………………………………………………</w:t>
      </w:r>
      <w:r>
        <w:rPr>
          <w:smallCaps/>
          <w:color w:val="000000"/>
          <w:szCs w:val="21"/>
        </w:rPr>
        <w:tab/>
      </w:r>
      <w:r>
        <w:rPr>
          <w:rFonts w:hint="eastAsia" w:ascii="宋体" w:hAnsi="宋体"/>
          <w:smallCaps/>
          <w:color w:val="000000"/>
          <w:szCs w:val="21"/>
        </w:rPr>
        <w:t>7</w:t>
      </w:r>
    </w:p>
    <w:p w14:paraId="53890160">
      <w:pPr>
        <w:spacing w:before="100" w:beforeAutospacing="1" w:after="100" w:afterAutospacing="1"/>
        <w:ind w:left="280"/>
        <w:jc w:val="left"/>
        <w:rPr>
          <w:color w:val="000000"/>
          <w:szCs w:val="21"/>
        </w:rPr>
      </w:pPr>
      <w:r>
        <w:rPr>
          <w:rFonts w:hint="eastAsia" w:ascii="宋体" w:hAnsi="宋体"/>
          <w:smallCaps/>
          <w:color w:val="000000"/>
          <w:szCs w:val="21"/>
        </w:rPr>
        <w:t>四、知识产权</w:t>
      </w:r>
      <w:r>
        <w:rPr>
          <w:rFonts w:ascii="宋体" w:hAnsi="宋体"/>
          <w:smallCaps/>
          <w:color w:val="000000"/>
          <w:szCs w:val="21"/>
        </w:rPr>
        <w:t>…………………………………………………………………………………</w:t>
      </w:r>
      <w:r>
        <w:rPr>
          <w:smallCaps/>
          <w:color w:val="000000"/>
          <w:szCs w:val="21"/>
        </w:rPr>
        <w:tab/>
      </w:r>
      <w:r>
        <w:rPr>
          <w:rFonts w:hint="eastAsia"/>
          <w:smallCaps/>
          <w:color w:val="000000"/>
          <w:szCs w:val="21"/>
        </w:rPr>
        <w:t>7</w:t>
      </w:r>
    </w:p>
    <w:p w14:paraId="0F3212DB">
      <w:pPr>
        <w:spacing w:before="100" w:beforeAutospacing="1" w:after="100" w:afterAutospacing="1"/>
        <w:ind w:left="280"/>
        <w:jc w:val="left"/>
        <w:rPr>
          <w:color w:val="000000"/>
          <w:szCs w:val="21"/>
        </w:rPr>
      </w:pPr>
      <w:r>
        <w:rPr>
          <w:rFonts w:hint="eastAsia" w:ascii="宋体" w:hAnsi="宋体"/>
          <w:smallCaps/>
          <w:color w:val="000000"/>
          <w:szCs w:val="21"/>
        </w:rPr>
        <w:t>五、其他未尽事宜</w:t>
      </w:r>
      <w:r>
        <w:rPr>
          <w:rFonts w:ascii="宋体" w:hAnsi="宋体"/>
          <w:smallCaps/>
          <w:color w:val="000000"/>
          <w:szCs w:val="21"/>
        </w:rPr>
        <w:t>……………………………………………………………………………</w:t>
      </w:r>
      <w:r>
        <w:rPr>
          <w:smallCaps/>
          <w:color w:val="000000"/>
          <w:szCs w:val="21"/>
        </w:rPr>
        <w:tab/>
      </w:r>
      <w:r>
        <w:rPr>
          <w:rFonts w:hint="eastAsia"/>
          <w:smallCaps/>
          <w:color w:val="000000"/>
          <w:szCs w:val="21"/>
        </w:rPr>
        <w:t>7</w:t>
      </w:r>
    </w:p>
    <w:p w14:paraId="19AE972F">
      <w:pPr>
        <w:spacing w:before="120" w:after="120"/>
        <w:jc w:val="left"/>
        <w:rPr>
          <w:color w:val="000000"/>
          <w:szCs w:val="21"/>
        </w:rPr>
      </w:pPr>
      <w:r>
        <w:rPr>
          <w:rFonts w:hint="eastAsia" w:ascii="宋体" w:hAnsi="宋体"/>
          <w:caps/>
          <w:color w:val="000000"/>
          <w:szCs w:val="21"/>
        </w:rPr>
        <w:t xml:space="preserve">第四篇 </w:t>
      </w:r>
      <w:r>
        <w:rPr>
          <w:rFonts w:hint="eastAsia" w:ascii="宋体" w:hAnsi="宋体"/>
          <w:caps/>
          <w:color w:val="000000"/>
          <w:kern w:val="36"/>
          <w:szCs w:val="21"/>
        </w:rPr>
        <w:t>评标方法、评标标准、无效投标条款和废标条款</w:t>
      </w:r>
      <w:r>
        <w:rPr>
          <w:rFonts w:ascii="宋体" w:hAnsi="宋体"/>
          <w:caps/>
          <w:color w:val="000000"/>
          <w:kern w:val="36"/>
          <w:szCs w:val="21"/>
        </w:rPr>
        <w:t>……………………………………</w:t>
      </w:r>
      <w:r>
        <w:rPr>
          <w:caps/>
          <w:color w:val="000000"/>
          <w:szCs w:val="21"/>
        </w:rPr>
        <w:tab/>
      </w:r>
      <w:r>
        <w:rPr>
          <w:rFonts w:hint="eastAsia"/>
          <w:caps/>
          <w:color w:val="000000"/>
          <w:szCs w:val="21"/>
        </w:rPr>
        <w:t>7</w:t>
      </w:r>
    </w:p>
    <w:p w14:paraId="31D83EB6">
      <w:pPr>
        <w:spacing w:before="100" w:beforeAutospacing="1" w:after="100" w:afterAutospacing="1"/>
        <w:ind w:left="280"/>
        <w:jc w:val="left"/>
        <w:rPr>
          <w:rFonts w:ascii="宋体" w:hAnsi="宋体"/>
          <w:color w:val="000000"/>
          <w:szCs w:val="21"/>
        </w:rPr>
      </w:pPr>
      <w:r>
        <w:rPr>
          <w:rFonts w:hint="eastAsia" w:ascii="宋体" w:hAnsi="宋体"/>
          <w:smallCaps/>
          <w:color w:val="000000"/>
          <w:kern w:val="0"/>
          <w:szCs w:val="21"/>
        </w:rPr>
        <w:t>一、评标方法</w:t>
      </w:r>
      <w:r>
        <w:rPr>
          <w:rFonts w:ascii="宋体" w:hAnsi="宋体"/>
          <w:smallCaps/>
          <w:color w:val="000000"/>
          <w:kern w:val="0"/>
          <w:szCs w:val="21"/>
        </w:rPr>
        <w:t>…………………………………………………………………………………</w:t>
      </w:r>
      <w:r>
        <w:rPr>
          <w:smallCaps/>
          <w:color w:val="000000"/>
          <w:szCs w:val="21"/>
        </w:rPr>
        <w:tab/>
      </w:r>
      <w:r>
        <w:rPr>
          <w:rFonts w:hint="eastAsia" w:ascii="宋体" w:hAnsi="宋体"/>
          <w:smallCaps/>
          <w:color w:val="000000"/>
          <w:szCs w:val="21"/>
        </w:rPr>
        <w:t>7</w:t>
      </w:r>
    </w:p>
    <w:p w14:paraId="7D7E84AA">
      <w:pPr>
        <w:spacing w:before="100" w:beforeAutospacing="1" w:after="100" w:afterAutospacing="1"/>
        <w:ind w:left="280"/>
        <w:jc w:val="left"/>
        <w:rPr>
          <w:color w:val="000000"/>
          <w:szCs w:val="21"/>
        </w:rPr>
      </w:pPr>
      <w:r>
        <w:rPr>
          <w:rFonts w:hint="eastAsia" w:ascii="宋体" w:hAnsi="宋体"/>
          <w:smallCaps/>
          <w:color w:val="000000"/>
          <w:kern w:val="0"/>
          <w:szCs w:val="21"/>
        </w:rPr>
        <w:t>二、评标标准</w:t>
      </w:r>
      <w:r>
        <w:rPr>
          <w:rFonts w:ascii="宋体" w:hAnsi="宋体"/>
          <w:smallCaps/>
          <w:color w:val="000000"/>
          <w:kern w:val="0"/>
          <w:szCs w:val="21"/>
        </w:rPr>
        <w:t>…………………………………………………………………………………</w:t>
      </w:r>
      <w:r>
        <w:rPr>
          <w:smallCaps/>
          <w:color w:val="000000"/>
          <w:szCs w:val="21"/>
        </w:rPr>
        <w:tab/>
      </w:r>
      <w:r>
        <w:rPr>
          <w:rFonts w:hint="eastAsia"/>
          <w:smallCaps/>
          <w:color w:val="000000"/>
          <w:szCs w:val="21"/>
        </w:rPr>
        <w:t>9</w:t>
      </w:r>
    </w:p>
    <w:p w14:paraId="6C8FC7A4">
      <w:pPr>
        <w:spacing w:before="100" w:beforeAutospacing="1" w:after="100" w:afterAutospacing="1"/>
        <w:ind w:left="280"/>
        <w:jc w:val="left"/>
        <w:rPr>
          <w:rFonts w:ascii="宋体" w:hAnsi="宋体"/>
          <w:color w:val="000000"/>
          <w:szCs w:val="21"/>
        </w:rPr>
      </w:pPr>
      <w:r>
        <w:rPr>
          <w:rFonts w:hint="eastAsia" w:ascii="宋体" w:hAnsi="宋体"/>
          <w:smallCaps/>
          <w:color w:val="000000"/>
          <w:szCs w:val="21"/>
        </w:rPr>
        <w:t>三、无效投标条款</w:t>
      </w:r>
      <w:r>
        <w:rPr>
          <w:rFonts w:ascii="宋体" w:hAnsi="宋体"/>
          <w:smallCaps/>
          <w:color w:val="000000"/>
          <w:szCs w:val="21"/>
        </w:rPr>
        <w:t>……………………………………………………………………………</w:t>
      </w:r>
      <w:r>
        <w:rPr>
          <w:smallCaps/>
          <w:color w:val="000000"/>
          <w:szCs w:val="21"/>
        </w:rPr>
        <w:tab/>
      </w:r>
      <w:r>
        <w:rPr>
          <w:rFonts w:hint="eastAsia" w:ascii="宋体" w:hAnsi="宋体"/>
          <w:smallCaps/>
          <w:color w:val="000000"/>
          <w:szCs w:val="21"/>
        </w:rPr>
        <w:t>10</w:t>
      </w:r>
    </w:p>
    <w:p w14:paraId="363F2AA1">
      <w:pPr>
        <w:spacing w:before="100" w:beforeAutospacing="1" w:after="100" w:afterAutospacing="1"/>
        <w:ind w:left="280"/>
        <w:jc w:val="left"/>
        <w:rPr>
          <w:color w:val="000000"/>
          <w:szCs w:val="21"/>
        </w:rPr>
      </w:pPr>
      <w:r>
        <w:rPr>
          <w:rFonts w:hint="eastAsia" w:ascii="宋体" w:hAnsi="宋体"/>
          <w:smallCaps/>
          <w:color w:val="000000"/>
          <w:szCs w:val="21"/>
        </w:rPr>
        <w:t>四、废标条款</w:t>
      </w:r>
      <w:r>
        <w:rPr>
          <w:rFonts w:ascii="宋体" w:hAnsi="宋体"/>
          <w:smallCaps/>
          <w:color w:val="000000"/>
          <w:szCs w:val="21"/>
        </w:rPr>
        <w:t>…………………………………………………………………………………</w:t>
      </w:r>
      <w:r>
        <w:rPr>
          <w:smallCaps/>
          <w:color w:val="000000"/>
          <w:szCs w:val="21"/>
        </w:rPr>
        <w:tab/>
      </w:r>
      <w:r>
        <w:rPr>
          <w:rFonts w:hint="eastAsia"/>
          <w:smallCaps/>
          <w:color w:val="000000"/>
          <w:szCs w:val="21"/>
        </w:rPr>
        <w:t>10</w:t>
      </w:r>
    </w:p>
    <w:p w14:paraId="4A230711">
      <w:pPr>
        <w:spacing w:before="120" w:after="120"/>
        <w:jc w:val="left"/>
        <w:rPr>
          <w:color w:val="000000"/>
          <w:szCs w:val="21"/>
        </w:rPr>
      </w:pPr>
      <w:r>
        <w:rPr>
          <w:rFonts w:hint="eastAsia" w:ascii="宋体" w:hAnsi="宋体"/>
          <w:caps/>
          <w:color w:val="000000"/>
          <w:szCs w:val="21"/>
        </w:rPr>
        <w:t>第五篇 投标人须知</w:t>
      </w:r>
      <w:r>
        <w:rPr>
          <w:rFonts w:ascii="宋体" w:hAnsi="宋体"/>
          <w:caps/>
          <w:color w:val="000000"/>
          <w:szCs w:val="21"/>
        </w:rPr>
        <w:t>………………………………………………………………………………</w:t>
      </w:r>
      <w:r>
        <w:rPr>
          <w:caps/>
          <w:color w:val="000000"/>
          <w:szCs w:val="21"/>
        </w:rPr>
        <w:tab/>
      </w:r>
      <w:r>
        <w:rPr>
          <w:rFonts w:hint="eastAsia" w:ascii="宋体" w:hAnsi="宋体"/>
          <w:caps/>
          <w:color w:val="000000"/>
          <w:szCs w:val="21"/>
        </w:rPr>
        <w:t>11</w:t>
      </w:r>
    </w:p>
    <w:p w14:paraId="0EB1FAE1">
      <w:pPr>
        <w:spacing w:before="100" w:beforeAutospacing="1" w:after="100" w:afterAutospacing="1"/>
        <w:ind w:left="280"/>
        <w:jc w:val="left"/>
        <w:rPr>
          <w:color w:val="000000"/>
          <w:szCs w:val="21"/>
        </w:rPr>
      </w:pPr>
      <w:r>
        <w:rPr>
          <w:rFonts w:hint="eastAsia" w:ascii="宋体" w:hAnsi="宋体"/>
          <w:smallCaps/>
          <w:color w:val="000000"/>
          <w:szCs w:val="21"/>
        </w:rPr>
        <w:t>一、投标费用</w:t>
      </w:r>
      <w:r>
        <w:rPr>
          <w:rFonts w:ascii="宋体" w:hAnsi="宋体"/>
          <w:smallCaps/>
          <w:color w:val="000000"/>
          <w:szCs w:val="21"/>
        </w:rPr>
        <w:t>…………………………………………………………………………………</w:t>
      </w:r>
      <w:r>
        <w:rPr>
          <w:smallCaps/>
          <w:color w:val="000000"/>
          <w:szCs w:val="21"/>
        </w:rPr>
        <w:tab/>
      </w:r>
      <w:r>
        <w:rPr>
          <w:rFonts w:hint="eastAsia" w:ascii="宋体" w:hAnsi="宋体"/>
          <w:smallCaps/>
          <w:color w:val="000000"/>
          <w:szCs w:val="21"/>
        </w:rPr>
        <w:t>11</w:t>
      </w:r>
    </w:p>
    <w:p w14:paraId="2FB10D9C">
      <w:pPr>
        <w:spacing w:before="100" w:beforeAutospacing="1" w:after="100" w:afterAutospacing="1"/>
        <w:ind w:left="280"/>
        <w:jc w:val="left"/>
        <w:rPr>
          <w:color w:val="000000"/>
          <w:szCs w:val="21"/>
        </w:rPr>
      </w:pPr>
      <w:r>
        <w:rPr>
          <w:rFonts w:hint="eastAsia" w:ascii="宋体" w:hAnsi="宋体"/>
          <w:smallCaps/>
          <w:color w:val="000000"/>
          <w:szCs w:val="21"/>
        </w:rPr>
        <w:t>二、投标人</w:t>
      </w:r>
      <w:r>
        <w:rPr>
          <w:rFonts w:ascii="宋体" w:hAnsi="宋体"/>
          <w:smallCaps/>
          <w:color w:val="000000"/>
          <w:szCs w:val="21"/>
        </w:rPr>
        <w:t>……………………………………………………………………………………</w:t>
      </w:r>
      <w:r>
        <w:rPr>
          <w:rFonts w:hint="eastAsia" w:ascii="宋体" w:hAnsi="宋体"/>
          <w:smallCaps/>
          <w:color w:val="000000"/>
          <w:szCs w:val="21"/>
        </w:rPr>
        <w:t>..</w:t>
      </w:r>
      <w:r>
        <w:rPr>
          <w:smallCaps/>
          <w:color w:val="000000"/>
          <w:szCs w:val="21"/>
        </w:rPr>
        <w:tab/>
      </w:r>
      <w:r>
        <w:rPr>
          <w:rFonts w:hint="eastAsia" w:ascii="宋体" w:hAnsi="宋体"/>
          <w:smallCaps/>
          <w:color w:val="000000"/>
          <w:szCs w:val="21"/>
        </w:rPr>
        <w:t>11</w:t>
      </w:r>
    </w:p>
    <w:p w14:paraId="1E254A0C">
      <w:pPr>
        <w:spacing w:before="100" w:beforeAutospacing="1" w:after="100" w:afterAutospacing="1"/>
        <w:ind w:left="280"/>
        <w:jc w:val="left"/>
        <w:rPr>
          <w:color w:val="000000"/>
          <w:szCs w:val="21"/>
        </w:rPr>
      </w:pPr>
      <w:r>
        <w:rPr>
          <w:rFonts w:hint="eastAsia" w:ascii="宋体" w:hAnsi="宋体"/>
          <w:smallCaps/>
          <w:color w:val="000000"/>
          <w:szCs w:val="21"/>
        </w:rPr>
        <w:t>三、招标文件</w:t>
      </w:r>
      <w:r>
        <w:rPr>
          <w:rFonts w:ascii="宋体" w:hAnsi="宋体"/>
          <w:smallCaps/>
          <w:color w:val="000000"/>
          <w:szCs w:val="21"/>
        </w:rPr>
        <w:t>……………………………………………………………………………………</w:t>
      </w:r>
      <w:r>
        <w:rPr>
          <w:smallCaps/>
          <w:color w:val="000000"/>
          <w:szCs w:val="21"/>
        </w:rPr>
        <w:tab/>
      </w:r>
      <w:r>
        <w:rPr>
          <w:rFonts w:hint="eastAsia" w:ascii="宋体" w:hAnsi="宋体"/>
          <w:smallCaps/>
          <w:color w:val="000000"/>
          <w:szCs w:val="21"/>
        </w:rPr>
        <w:t>11</w:t>
      </w:r>
    </w:p>
    <w:p w14:paraId="5EC053CB">
      <w:pPr>
        <w:spacing w:before="100" w:beforeAutospacing="1" w:after="100" w:afterAutospacing="1"/>
        <w:ind w:left="280"/>
        <w:jc w:val="left"/>
        <w:rPr>
          <w:color w:val="000000"/>
          <w:szCs w:val="21"/>
        </w:rPr>
      </w:pPr>
      <w:r>
        <w:rPr>
          <w:rFonts w:hint="eastAsia" w:ascii="宋体" w:hAnsi="宋体"/>
          <w:smallCaps/>
          <w:color w:val="000000"/>
          <w:szCs w:val="21"/>
        </w:rPr>
        <w:t>四、投标文件</w:t>
      </w:r>
      <w:r>
        <w:rPr>
          <w:rFonts w:ascii="宋体" w:hAnsi="宋体"/>
          <w:smallCaps/>
          <w:color w:val="000000"/>
          <w:szCs w:val="21"/>
        </w:rPr>
        <w:t>……………………………………………………………………………………</w:t>
      </w:r>
      <w:r>
        <w:rPr>
          <w:smallCaps/>
          <w:color w:val="000000"/>
          <w:szCs w:val="21"/>
        </w:rPr>
        <w:tab/>
      </w:r>
      <w:r>
        <w:rPr>
          <w:rFonts w:hint="eastAsia" w:ascii="宋体" w:hAnsi="宋体"/>
          <w:smallCaps/>
          <w:color w:val="000000"/>
          <w:szCs w:val="21"/>
        </w:rPr>
        <w:t>11</w:t>
      </w:r>
    </w:p>
    <w:p w14:paraId="5CCC90B1">
      <w:pPr>
        <w:spacing w:before="100" w:beforeAutospacing="1" w:after="100" w:afterAutospacing="1"/>
        <w:ind w:left="280"/>
        <w:jc w:val="left"/>
        <w:rPr>
          <w:color w:val="000000"/>
          <w:szCs w:val="21"/>
        </w:rPr>
      </w:pPr>
      <w:r>
        <w:rPr>
          <w:rFonts w:hint="eastAsia" w:ascii="宋体" w:hAnsi="宋体"/>
          <w:smallCaps/>
          <w:color w:val="000000"/>
          <w:szCs w:val="21"/>
        </w:rPr>
        <w:t>五、开标</w:t>
      </w:r>
      <w:r>
        <w:rPr>
          <w:rFonts w:ascii="宋体" w:hAnsi="宋体"/>
          <w:smallCaps/>
          <w:color w:val="000000"/>
          <w:szCs w:val="21"/>
        </w:rPr>
        <w:t>………………………………………………………………………………………</w:t>
      </w:r>
      <w:r>
        <w:rPr>
          <w:smallCaps/>
          <w:color w:val="000000"/>
          <w:szCs w:val="21"/>
        </w:rPr>
        <w:tab/>
      </w:r>
      <w:r>
        <w:rPr>
          <w:rFonts w:hint="eastAsia"/>
          <w:smallCaps/>
          <w:color w:val="000000"/>
          <w:szCs w:val="21"/>
        </w:rPr>
        <w:t>12</w:t>
      </w:r>
    </w:p>
    <w:p w14:paraId="20F2AB78">
      <w:pPr>
        <w:spacing w:before="100" w:beforeAutospacing="1" w:after="100" w:afterAutospacing="1"/>
        <w:ind w:left="280"/>
        <w:jc w:val="left"/>
        <w:rPr>
          <w:color w:val="000000"/>
          <w:szCs w:val="21"/>
        </w:rPr>
      </w:pPr>
      <w:r>
        <w:rPr>
          <w:rFonts w:hint="eastAsia" w:ascii="宋体" w:hAnsi="宋体"/>
          <w:smallCaps/>
          <w:color w:val="000000"/>
          <w:szCs w:val="21"/>
        </w:rPr>
        <w:t>六、评标</w:t>
      </w:r>
      <w:r>
        <w:rPr>
          <w:rFonts w:ascii="宋体" w:hAnsi="宋体"/>
          <w:smallCaps/>
          <w:color w:val="000000"/>
          <w:szCs w:val="21"/>
        </w:rPr>
        <w:t>………………………………………………………………………………………</w:t>
      </w:r>
      <w:r>
        <w:rPr>
          <w:smallCaps/>
          <w:color w:val="000000"/>
          <w:szCs w:val="21"/>
        </w:rPr>
        <w:tab/>
      </w:r>
      <w:r>
        <w:rPr>
          <w:rFonts w:hint="eastAsia"/>
          <w:smallCaps/>
          <w:color w:val="000000"/>
          <w:szCs w:val="21"/>
        </w:rPr>
        <w:t>13</w:t>
      </w:r>
    </w:p>
    <w:p w14:paraId="74B6E33D">
      <w:pPr>
        <w:spacing w:before="100" w:beforeAutospacing="1" w:after="100" w:afterAutospacing="1"/>
        <w:ind w:left="280"/>
        <w:jc w:val="left"/>
        <w:rPr>
          <w:color w:val="000000"/>
          <w:szCs w:val="21"/>
        </w:rPr>
      </w:pPr>
      <w:r>
        <w:rPr>
          <w:rFonts w:hint="eastAsia" w:ascii="宋体" w:hAnsi="宋体"/>
          <w:smallCaps/>
          <w:color w:val="000000"/>
          <w:szCs w:val="21"/>
        </w:rPr>
        <w:t>七、定标</w:t>
      </w:r>
      <w:r>
        <w:rPr>
          <w:rFonts w:ascii="宋体" w:hAnsi="宋体"/>
          <w:smallCaps/>
          <w:color w:val="000000"/>
          <w:szCs w:val="21"/>
        </w:rPr>
        <w:t>………………………………………………………………………………………</w:t>
      </w:r>
      <w:r>
        <w:rPr>
          <w:smallCaps/>
          <w:color w:val="000000"/>
          <w:szCs w:val="21"/>
        </w:rPr>
        <w:tab/>
      </w:r>
      <w:r>
        <w:rPr>
          <w:rFonts w:hint="eastAsia"/>
          <w:smallCaps/>
          <w:color w:val="000000"/>
          <w:szCs w:val="21"/>
        </w:rPr>
        <w:t>13</w:t>
      </w:r>
    </w:p>
    <w:p w14:paraId="69A84318">
      <w:pPr>
        <w:spacing w:before="100" w:beforeAutospacing="1" w:after="100" w:afterAutospacing="1"/>
        <w:ind w:left="280"/>
        <w:jc w:val="left"/>
        <w:rPr>
          <w:color w:val="000000"/>
          <w:szCs w:val="21"/>
        </w:rPr>
      </w:pPr>
      <w:r>
        <w:rPr>
          <w:rFonts w:hint="eastAsia" w:ascii="宋体" w:hAnsi="宋体"/>
          <w:smallCaps/>
          <w:color w:val="000000"/>
          <w:szCs w:val="21"/>
        </w:rPr>
        <w:t>八、中标通知书</w:t>
      </w:r>
      <w:r>
        <w:rPr>
          <w:rFonts w:ascii="宋体" w:hAnsi="宋体"/>
          <w:smallCaps/>
          <w:color w:val="000000"/>
          <w:szCs w:val="21"/>
        </w:rPr>
        <w:t>………………………………………………………………………………</w:t>
      </w:r>
      <w:r>
        <w:rPr>
          <w:smallCaps/>
          <w:color w:val="000000"/>
          <w:szCs w:val="21"/>
        </w:rPr>
        <w:tab/>
      </w:r>
      <w:r>
        <w:rPr>
          <w:rFonts w:hint="eastAsia"/>
          <w:smallCaps/>
          <w:color w:val="000000"/>
          <w:szCs w:val="21"/>
        </w:rPr>
        <w:t>13</w:t>
      </w:r>
    </w:p>
    <w:p w14:paraId="7B840D22">
      <w:pPr>
        <w:spacing w:before="100" w:beforeAutospacing="1" w:after="100" w:afterAutospacing="1"/>
        <w:ind w:left="280"/>
        <w:jc w:val="left"/>
        <w:rPr>
          <w:color w:val="000000"/>
          <w:szCs w:val="21"/>
        </w:rPr>
      </w:pPr>
      <w:r>
        <w:rPr>
          <w:rFonts w:hint="eastAsia" w:ascii="宋体" w:hAnsi="宋体"/>
          <w:smallCaps/>
          <w:color w:val="000000"/>
          <w:szCs w:val="21"/>
        </w:rPr>
        <w:t>九、投标人对中标结果的质疑、投诉</w:t>
      </w:r>
      <w:r>
        <w:rPr>
          <w:rFonts w:ascii="宋体" w:hAnsi="宋体"/>
          <w:smallCaps/>
          <w:color w:val="000000"/>
          <w:szCs w:val="21"/>
        </w:rPr>
        <w:t>………………………………………………………</w:t>
      </w:r>
      <w:r>
        <w:rPr>
          <w:smallCaps/>
          <w:color w:val="000000"/>
          <w:szCs w:val="21"/>
        </w:rPr>
        <w:tab/>
      </w:r>
      <w:r>
        <w:rPr>
          <w:rFonts w:hint="eastAsia"/>
          <w:smallCaps/>
          <w:color w:val="000000"/>
          <w:szCs w:val="21"/>
        </w:rPr>
        <w:t>14</w:t>
      </w:r>
    </w:p>
    <w:p w14:paraId="5D90EA10">
      <w:pPr>
        <w:spacing w:before="100" w:beforeAutospacing="1" w:after="100" w:afterAutospacing="1"/>
        <w:ind w:left="280"/>
        <w:jc w:val="left"/>
        <w:rPr>
          <w:color w:val="000000"/>
          <w:szCs w:val="21"/>
        </w:rPr>
      </w:pPr>
      <w:r>
        <w:rPr>
          <w:rFonts w:hint="eastAsia" w:ascii="宋体" w:hAnsi="宋体"/>
          <w:smallCaps/>
          <w:color w:val="000000"/>
          <w:szCs w:val="21"/>
        </w:rPr>
        <w:t>十、签订合同</w:t>
      </w:r>
      <w:r>
        <w:rPr>
          <w:rFonts w:ascii="宋体" w:hAnsi="宋体"/>
          <w:smallCaps/>
          <w:color w:val="000000"/>
          <w:szCs w:val="21"/>
        </w:rPr>
        <w:t>…………………………………………………………………………………</w:t>
      </w:r>
      <w:r>
        <w:rPr>
          <w:smallCaps/>
          <w:color w:val="000000"/>
          <w:szCs w:val="21"/>
        </w:rPr>
        <w:tab/>
      </w:r>
      <w:r>
        <w:rPr>
          <w:rFonts w:hint="eastAsia"/>
          <w:smallCaps/>
          <w:color w:val="000000"/>
          <w:szCs w:val="21"/>
        </w:rPr>
        <w:t>14</w:t>
      </w:r>
    </w:p>
    <w:p w14:paraId="634EE871">
      <w:pPr>
        <w:spacing w:before="120" w:after="120"/>
        <w:jc w:val="left"/>
        <w:rPr>
          <w:color w:val="000000"/>
          <w:szCs w:val="21"/>
        </w:rPr>
      </w:pPr>
      <w:r>
        <w:rPr>
          <w:rFonts w:hint="eastAsia" w:ascii="宋体" w:hAnsi="宋体"/>
          <w:caps/>
          <w:color w:val="000000"/>
          <w:szCs w:val="21"/>
        </w:rPr>
        <w:t>第六篇 合同样本</w:t>
      </w:r>
      <w:r>
        <w:rPr>
          <w:rFonts w:ascii="宋体" w:hAnsi="宋体"/>
          <w:caps/>
          <w:color w:val="000000"/>
          <w:szCs w:val="21"/>
        </w:rPr>
        <w:t>…………………………………</w:t>
      </w:r>
      <w:r>
        <w:rPr>
          <w:rFonts w:hint="eastAsia" w:ascii="宋体" w:hAnsi="宋体"/>
          <w:caps/>
          <w:color w:val="000000"/>
          <w:szCs w:val="21"/>
        </w:rPr>
        <w:t>……………………………</w:t>
      </w:r>
      <w:r>
        <w:rPr>
          <w:rFonts w:ascii="宋体" w:hAnsi="宋体"/>
          <w:caps/>
          <w:color w:val="000000"/>
          <w:szCs w:val="21"/>
        </w:rPr>
        <w:t>…………………</w:t>
      </w:r>
      <w:r>
        <w:rPr>
          <w:caps/>
          <w:color w:val="000000"/>
          <w:szCs w:val="21"/>
        </w:rPr>
        <w:tab/>
      </w:r>
      <w:r>
        <w:rPr>
          <w:rFonts w:hint="eastAsia"/>
          <w:caps/>
          <w:color w:val="000000"/>
          <w:szCs w:val="21"/>
        </w:rPr>
        <w:t>15</w:t>
      </w:r>
    </w:p>
    <w:p w14:paraId="0CD294A4">
      <w:pPr>
        <w:spacing w:before="120" w:after="120"/>
        <w:jc w:val="left"/>
        <w:rPr>
          <w:color w:val="000000"/>
          <w:szCs w:val="21"/>
        </w:rPr>
      </w:pPr>
      <w:r>
        <w:rPr>
          <w:rFonts w:hint="eastAsia" w:ascii="宋体" w:hAnsi="宋体"/>
          <w:caps/>
          <w:color w:val="000000"/>
          <w:szCs w:val="21"/>
        </w:rPr>
        <w:t>第七篇 投标文件部分格式</w:t>
      </w:r>
      <w:r>
        <w:rPr>
          <w:rFonts w:ascii="宋体" w:hAnsi="宋体"/>
          <w:caps/>
          <w:color w:val="000000"/>
          <w:szCs w:val="21"/>
        </w:rPr>
        <w:t>………………………………</w:t>
      </w:r>
      <w:r>
        <w:rPr>
          <w:rFonts w:hint="eastAsia" w:ascii="宋体" w:hAnsi="宋体"/>
          <w:caps/>
          <w:color w:val="000000"/>
          <w:szCs w:val="21"/>
        </w:rPr>
        <w:t>…</w:t>
      </w:r>
      <w:r>
        <w:rPr>
          <w:rFonts w:ascii="宋体" w:hAnsi="宋体"/>
          <w:caps/>
          <w:color w:val="000000"/>
          <w:szCs w:val="21"/>
        </w:rPr>
        <w:t>……………………………………</w:t>
      </w:r>
      <w:r>
        <w:rPr>
          <w:rFonts w:hint="eastAsia" w:ascii="宋体" w:hAnsi="宋体"/>
          <w:caps/>
          <w:color w:val="000000"/>
          <w:szCs w:val="21"/>
        </w:rPr>
        <w:t xml:space="preserve">   21</w:t>
      </w:r>
    </w:p>
    <w:p w14:paraId="432BF2E5">
      <w:pPr>
        <w:spacing w:before="100" w:beforeAutospacing="1" w:after="100" w:afterAutospacing="1"/>
        <w:ind w:left="280"/>
        <w:jc w:val="left"/>
        <w:rPr>
          <w:color w:val="000000"/>
          <w:szCs w:val="21"/>
        </w:rPr>
      </w:pPr>
      <w:r>
        <w:rPr>
          <w:rFonts w:hint="eastAsia" w:ascii="宋体" w:hAnsi="宋体"/>
          <w:smallCaps/>
          <w:color w:val="000000"/>
          <w:szCs w:val="21"/>
        </w:rPr>
        <w:t>一、投标函…</w:t>
      </w:r>
      <w:r>
        <w:rPr>
          <w:rFonts w:ascii="宋体" w:hAnsi="宋体"/>
          <w:smallCaps/>
          <w:color w:val="000000"/>
          <w:szCs w:val="21"/>
        </w:rPr>
        <w:t>…………………………………………………………………………………</w:t>
      </w:r>
      <w:r>
        <w:rPr>
          <w:smallCaps/>
          <w:color w:val="000000"/>
          <w:szCs w:val="21"/>
        </w:rPr>
        <w:tab/>
      </w:r>
      <w:r>
        <w:rPr>
          <w:rFonts w:hint="eastAsia"/>
          <w:smallCaps/>
          <w:color w:val="000000"/>
          <w:szCs w:val="21"/>
        </w:rPr>
        <w:t>22</w:t>
      </w:r>
    </w:p>
    <w:p w14:paraId="32D64B33">
      <w:pPr>
        <w:spacing w:before="100" w:beforeAutospacing="1" w:after="100" w:afterAutospacing="1"/>
        <w:ind w:left="280"/>
        <w:jc w:val="left"/>
        <w:rPr>
          <w:color w:val="000000"/>
          <w:szCs w:val="21"/>
        </w:rPr>
      </w:pPr>
      <w:r>
        <w:rPr>
          <w:rFonts w:hint="eastAsia" w:ascii="宋体" w:hAnsi="宋体"/>
          <w:smallCaps/>
          <w:color w:val="000000"/>
          <w:szCs w:val="21"/>
        </w:rPr>
        <w:t>二、法定代表人身份证明书</w:t>
      </w:r>
      <w:r>
        <w:rPr>
          <w:rFonts w:ascii="宋体" w:hAnsi="宋体"/>
          <w:smallCaps/>
          <w:color w:val="000000"/>
          <w:szCs w:val="21"/>
        </w:rPr>
        <w:t>…………………………………………………………………</w:t>
      </w:r>
      <w:r>
        <w:rPr>
          <w:smallCaps/>
          <w:color w:val="000000"/>
          <w:szCs w:val="21"/>
        </w:rPr>
        <w:tab/>
      </w:r>
      <w:r>
        <w:rPr>
          <w:rFonts w:hint="eastAsia"/>
          <w:smallCaps/>
          <w:color w:val="000000"/>
          <w:szCs w:val="21"/>
        </w:rPr>
        <w:t>23</w:t>
      </w:r>
    </w:p>
    <w:p w14:paraId="6F2A20D5">
      <w:pPr>
        <w:spacing w:before="100" w:beforeAutospacing="1" w:after="100" w:afterAutospacing="1"/>
        <w:ind w:left="280"/>
        <w:jc w:val="left"/>
        <w:rPr>
          <w:rFonts w:ascii="宋体" w:hAnsi="宋体"/>
          <w:color w:val="000000"/>
          <w:szCs w:val="21"/>
        </w:rPr>
      </w:pPr>
      <w:r>
        <w:rPr>
          <w:rFonts w:hint="eastAsia" w:ascii="宋体" w:hAnsi="宋体"/>
          <w:smallCaps/>
          <w:color w:val="000000"/>
          <w:szCs w:val="21"/>
        </w:rPr>
        <w:t>三、法定代表人授权委托书</w:t>
      </w:r>
      <w:r>
        <w:rPr>
          <w:rFonts w:ascii="宋体" w:hAnsi="宋体"/>
          <w:smallCaps/>
          <w:color w:val="000000"/>
          <w:szCs w:val="21"/>
        </w:rPr>
        <w:t>…………………………………………………………………</w:t>
      </w:r>
      <w:r>
        <w:rPr>
          <w:smallCaps/>
          <w:color w:val="000000"/>
          <w:szCs w:val="21"/>
        </w:rPr>
        <w:tab/>
      </w:r>
      <w:r>
        <w:rPr>
          <w:rFonts w:hint="eastAsia" w:ascii="宋体" w:hAnsi="宋体"/>
          <w:smallCaps/>
          <w:color w:val="000000"/>
          <w:szCs w:val="21"/>
        </w:rPr>
        <w:t>24</w:t>
      </w:r>
    </w:p>
    <w:p w14:paraId="3940A7AC">
      <w:pPr>
        <w:spacing w:before="100" w:beforeAutospacing="1" w:after="100" w:afterAutospacing="1"/>
        <w:ind w:left="280"/>
        <w:jc w:val="left"/>
        <w:rPr>
          <w:rFonts w:ascii="宋体" w:hAnsi="宋体"/>
          <w:smallCaps/>
          <w:color w:val="000000"/>
          <w:szCs w:val="21"/>
        </w:rPr>
      </w:pPr>
      <w:r>
        <w:rPr>
          <w:rFonts w:hint="eastAsia" w:ascii="宋体" w:hAnsi="宋体"/>
          <w:smallCaps/>
          <w:color w:val="000000"/>
          <w:szCs w:val="21"/>
        </w:rPr>
        <w:t>四、报价函</w:t>
      </w:r>
      <w:r>
        <w:rPr>
          <w:rFonts w:ascii="宋体" w:hAnsi="宋体"/>
          <w:smallCaps/>
          <w:color w:val="000000"/>
          <w:szCs w:val="21"/>
        </w:rPr>
        <w:t>……………………………………………………………………………………</w:t>
      </w:r>
      <w:r>
        <w:rPr>
          <w:smallCaps/>
          <w:color w:val="000000"/>
          <w:szCs w:val="21"/>
        </w:rPr>
        <w:tab/>
      </w:r>
      <w:r>
        <w:rPr>
          <w:rFonts w:hint="eastAsia" w:ascii="宋体" w:hAnsi="宋体"/>
          <w:smallCaps/>
          <w:color w:val="000000"/>
          <w:szCs w:val="21"/>
        </w:rPr>
        <w:t>25</w:t>
      </w:r>
    </w:p>
    <w:p w14:paraId="4C610388">
      <w:pPr>
        <w:spacing w:before="100" w:beforeAutospacing="1" w:after="100" w:afterAutospacing="1"/>
        <w:ind w:left="280"/>
        <w:jc w:val="left"/>
        <w:rPr>
          <w:rFonts w:ascii="宋体" w:hAnsi="宋体"/>
          <w:smallCaps/>
          <w:color w:val="000000"/>
          <w:szCs w:val="21"/>
        </w:rPr>
      </w:pPr>
      <w:r>
        <w:rPr>
          <w:rFonts w:hint="eastAsia" w:ascii="宋体" w:hAnsi="宋体"/>
          <w:smallCaps/>
          <w:color w:val="000000"/>
          <w:szCs w:val="21"/>
        </w:rPr>
        <w:t>五、诚信声明…</w:t>
      </w:r>
      <w:r>
        <w:rPr>
          <w:rFonts w:ascii="宋体" w:hAnsi="宋体"/>
          <w:smallCaps/>
          <w:color w:val="000000"/>
          <w:szCs w:val="21"/>
        </w:rPr>
        <w:t>………………………………………………………………………………</w:t>
      </w:r>
      <w:r>
        <w:rPr>
          <w:smallCaps/>
          <w:color w:val="000000"/>
          <w:szCs w:val="21"/>
        </w:rPr>
        <w:tab/>
      </w:r>
      <w:r>
        <w:rPr>
          <w:rFonts w:hint="eastAsia" w:ascii="宋体" w:hAnsi="宋体"/>
          <w:smallCaps/>
          <w:color w:val="000000"/>
          <w:szCs w:val="21"/>
        </w:rPr>
        <w:t>26</w:t>
      </w:r>
    </w:p>
    <w:p w14:paraId="040D1435">
      <w:pPr>
        <w:widowControl/>
        <w:jc w:val="left"/>
        <w:rPr>
          <w:rFonts w:ascii="仿宋_GB2312" w:hAnsi="宋体" w:eastAsia="仿宋_GB2312" w:cs="宋体"/>
          <w:color w:val="000000"/>
          <w:sz w:val="32"/>
          <w:szCs w:val="32"/>
        </w:rPr>
        <w:sectPr>
          <w:pgSz w:w="11907" w:h="16840"/>
          <w:pgMar w:top="1440" w:right="1127" w:bottom="1440" w:left="1797" w:header="720" w:footer="720" w:gutter="0"/>
          <w:cols w:space="720" w:num="1"/>
          <w:docGrid w:type="lines" w:linePitch="312" w:charSpace="0"/>
        </w:sectPr>
      </w:pPr>
    </w:p>
    <w:p w14:paraId="0D72F168">
      <w:pPr>
        <w:snapToGrid w:val="0"/>
        <w:spacing w:line="500" w:lineRule="exact"/>
        <w:jc w:val="center"/>
        <w:outlineLvl w:val="0"/>
        <w:rPr>
          <w:rFonts w:ascii="仿宋" w:hAnsi="仿宋" w:eastAsia="仿宋"/>
          <w:b/>
          <w:color w:val="000000"/>
          <w:sz w:val="28"/>
          <w:szCs w:val="28"/>
        </w:rPr>
      </w:pPr>
      <w:bookmarkStart w:id="0" w:name="_Toc271791963"/>
      <w:bookmarkEnd w:id="0"/>
      <w:bookmarkStart w:id="1" w:name="_Toc311729654"/>
      <w:r>
        <w:rPr>
          <w:rFonts w:hint="eastAsia" w:ascii="仿宋" w:hAnsi="仿宋" w:eastAsia="仿宋"/>
          <w:b/>
          <w:color w:val="000000"/>
          <w:sz w:val="28"/>
          <w:szCs w:val="28"/>
        </w:rPr>
        <w:t>第一篇 投标邀请书</w:t>
      </w:r>
      <w:bookmarkEnd w:id="1"/>
    </w:p>
    <w:p w14:paraId="1CD3BF66">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 xml:space="preserve"> 重庆科艺房地产开发有限公司现对福江香郡三期前期物业管理服务进行公开招标，欢迎合格的投标人参与投标。</w:t>
      </w:r>
    </w:p>
    <w:p w14:paraId="1D014AE5">
      <w:pPr>
        <w:spacing w:line="400" w:lineRule="exact"/>
        <w:ind w:right="12" w:firstLine="480"/>
        <w:rPr>
          <w:rFonts w:ascii="仿宋" w:hAnsi="仿宋" w:eastAsia="仿宋"/>
          <w:color w:val="000000"/>
          <w:sz w:val="28"/>
          <w:szCs w:val="28"/>
        </w:rPr>
      </w:pPr>
      <w:bookmarkStart w:id="2" w:name="_Toc403569644"/>
      <w:r>
        <w:rPr>
          <w:rFonts w:hint="eastAsia" w:ascii="仿宋" w:hAnsi="仿宋" w:eastAsia="仿宋"/>
          <w:color w:val="000000"/>
          <w:sz w:val="28"/>
          <w:szCs w:val="28"/>
        </w:rPr>
        <w:t>一、招标项目内容</w:t>
      </w:r>
      <w:bookmarkEnd w:id="2"/>
    </w:p>
    <w:tbl>
      <w:tblPr>
        <w:tblStyle w:val="11"/>
        <w:tblW w:w="88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9"/>
        <w:gridCol w:w="1842"/>
        <w:gridCol w:w="3142"/>
        <w:gridCol w:w="1410"/>
      </w:tblGrid>
      <w:tr w14:paraId="4CE89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2479" w:type="dxa"/>
            <w:vAlign w:val="center"/>
          </w:tcPr>
          <w:p w14:paraId="30B1B447">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项目名称</w:t>
            </w:r>
          </w:p>
        </w:tc>
        <w:tc>
          <w:tcPr>
            <w:tcW w:w="1842" w:type="dxa"/>
            <w:vAlign w:val="center"/>
          </w:tcPr>
          <w:p w14:paraId="79DB096A">
            <w:pPr>
              <w:spacing w:line="400" w:lineRule="exact"/>
              <w:ind w:right="12"/>
              <w:jc w:val="center"/>
              <w:rPr>
                <w:rFonts w:ascii="仿宋" w:hAnsi="仿宋" w:eastAsia="仿宋"/>
                <w:color w:val="000000"/>
                <w:sz w:val="28"/>
                <w:szCs w:val="28"/>
              </w:rPr>
            </w:pPr>
            <w:r>
              <w:rPr>
                <w:rFonts w:hint="eastAsia" w:ascii="仿宋" w:hAnsi="仿宋" w:eastAsia="仿宋"/>
                <w:color w:val="000000"/>
                <w:sz w:val="28"/>
                <w:szCs w:val="28"/>
              </w:rPr>
              <w:t>项目内容</w:t>
            </w:r>
          </w:p>
        </w:tc>
        <w:tc>
          <w:tcPr>
            <w:tcW w:w="3142" w:type="dxa"/>
            <w:vAlign w:val="center"/>
          </w:tcPr>
          <w:p w14:paraId="7A24FA3B">
            <w:pPr>
              <w:spacing w:line="400" w:lineRule="exact"/>
              <w:ind w:right="12"/>
              <w:jc w:val="center"/>
              <w:rPr>
                <w:rFonts w:ascii="仿宋" w:hAnsi="仿宋" w:eastAsia="仿宋"/>
                <w:color w:val="000000"/>
                <w:sz w:val="28"/>
                <w:szCs w:val="28"/>
              </w:rPr>
            </w:pPr>
            <w:r>
              <w:rPr>
                <w:rFonts w:ascii="仿宋" w:hAnsi="仿宋" w:eastAsia="仿宋"/>
                <w:color w:val="000000"/>
                <w:sz w:val="28"/>
                <w:szCs w:val="28"/>
              </w:rPr>
              <w:t>最高单价限价</w:t>
            </w:r>
          </w:p>
          <w:p w14:paraId="74D17717">
            <w:pPr>
              <w:spacing w:line="400" w:lineRule="exact"/>
              <w:ind w:right="12"/>
              <w:jc w:val="center"/>
              <w:rPr>
                <w:rFonts w:ascii="仿宋" w:hAnsi="仿宋" w:eastAsia="仿宋"/>
                <w:color w:val="000000"/>
                <w:sz w:val="28"/>
                <w:szCs w:val="28"/>
              </w:rPr>
            </w:pPr>
            <w:r>
              <w:rPr>
                <w:rFonts w:hint="eastAsia" w:ascii="仿宋" w:hAnsi="仿宋" w:eastAsia="仿宋"/>
                <w:color w:val="000000"/>
                <w:sz w:val="28"/>
                <w:szCs w:val="28"/>
              </w:rPr>
              <w:t>（非经济标标底）</w:t>
            </w:r>
          </w:p>
        </w:tc>
        <w:tc>
          <w:tcPr>
            <w:tcW w:w="1410" w:type="dxa"/>
            <w:vAlign w:val="center"/>
          </w:tcPr>
          <w:p w14:paraId="5FCA0450">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合同期限</w:t>
            </w:r>
          </w:p>
        </w:tc>
      </w:tr>
      <w:tr w14:paraId="3D0A0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2479" w:type="dxa"/>
            <w:vAlign w:val="center"/>
          </w:tcPr>
          <w:p w14:paraId="5D425439">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福江香郡三期前期物业管理服务</w:t>
            </w:r>
          </w:p>
        </w:tc>
        <w:tc>
          <w:tcPr>
            <w:tcW w:w="1842" w:type="dxa"/>
            <w:vAlign w:val="center"/>
          </w:tcPr>
          <w:p w14:paraId="62A49264">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小区前期物业服务</w:t>
            </w:r>
          </w:p>
        </w:tc>
        <w:tc>
          <w:tcPr>
            <w:tcW w:w="3142" w:type="dxa"/>
            <w:vAlign w:val="center"/>
          </w:tcPr>
          <w:p w14:paraId="76E3ED8B">
            <w:pPr>
              <w:spacing w:line="400" w:lineRule="exact"/>
              <w:ind w:right="12"/>
              <w:rPr>
                <w:rFonts w:ascii="仿宋" w:hAnsi="仿宋" w:eastAsia="仿宋"/>
                <w:sz w:val="28"/>
                <w:szCs w:val="28"/>
              </w:rPr>
            </w:pPr>
            <w:r>
              <w:rPr>
                <w:rFonts w:hint="eastAsia" w:ascii="仿宋" w:hAnsi="仿宋" w:eastAsia="仿宋"/>
                <w:sz w:val="28"/>
                <w:szCs w:val="28"/>
              </w:rPr>
              <w:t>高层1.4元/月/平方米</w:t>
            </w:r>
          </w:p>
          <w:p w14:paraId="7F1CD3DF">
            <w:pPr>
              <w:spacing w:line="400" w:lineRule="exact"/>
              <w:ind w:right="12"/>
              <w:rPr>
                <w:rFonts w:ascii="仿宋" w:hAnsi="仿宋" w:eastAsia="仿宋"/>
                <w:sz w:val="28"/>
                <w:szCs w:val="28"/>
              </w:rPr>
            </w:pPr>
            <w:r>
              <w:rPr>
                <w:rFonts w:hint="eastAsia" w:ascii="仿宋" w:hAnsi="仿宋" w:eastAsia="仿宋"/>
                <w:sz w:val="28"/>
                <w:szCs w:val="28"/>
              </w:rPr>
              <w:t>洋房1.35元/月/平方米</w:t>
            </w:r>
          </w:p>
          <w:p w14:paraId="44A58C2B">
            <w:pPr>
              <w:spacing w:line="400" w:lineRule="exact"/>
              <w:ind w:right="12"/>
              <w:rPr>
                <w:rFonts w:ascii="仿宋" w:hAnsi="仿宋" w:eastAsia="仿宋"/>
                <w:sz w:val="28"/>
                <w:szCs w:val="28"/>
              </w:rPr>
            </w:pPr>
            <w:r>
              <w:rPr>
                <w:rFonts w:hint="eastAsia" w:ascii="仿宋" w:hAnsi="仿宋" w:eastAsia="仿宋"/>
                <w:sz w:val="28"/>
                <w:szCs w:val="28"/>
              </w:rPr>
              <w:t>商业3.5元/月/平方米</w:t>
            </w:r>
          </w:p>
          <w:p w14:paraId="2FE0B7BC">
            <w:pPr>
              <w:spacing w:line="400" w:lineRule="exact"/>
              <w:ind w:right="12"/>
              <w:rPr>
                <w:rFonts w:ascii="仿宋" w:hAnsi="仿宋" w:eastAsia="仿宋"/>
                <w:sz w:val="28"/>
                <w:szCs w:val="28"/>
              </w:rPr>
            </w:pPr>
            <w:r>
              <w:rPr>
                <w:rFonts w:hint="eastAsia" w:ascii="仿宋" w:hAnsi="仿宋" w:eastAsia="仿宋"/>
                <w:sz w:val="28"/>
                <w:szCs w:val="28"/>
              </w:rPr>
              <w:t>车位60元/月/个</w:t>
            </w:r>
          </w:p>
        </w:tc>
        <w:tc>
          <w:tcPr>
            <w:tcW w:w="1410" w:type="dxa"/>
            <w:vAlign w:val="center"/>
          </w:tcPr>
          <w:p w14:paraId="3218A44B">
            <w:pPr>
              <w:spacing w:line="400" w:lineRule="exact"/>
              <w:ind w:right="12"/>
              <w:jc w:val="center"/>
              <w:rPr>
                <w:rFonts w:ascii="仿宋" w:hAnsi="仿宋" w:eastAsia="仿宋"/>
                <w:color w:val="000000"/>
                <w:sz w:val="28"/>
                <w:szCs w:val="28"/>
              </w:rPr>
            </w:pPr>
            <w:r>
              <w:rPr>
                <w:rFonts w:ascii="仿宋" w:hAnsi="仿宋" w:eastAsia="仿宋"/>
                <w:color w:val="000000"/>
                <w:sz w:val="28"/>
                <w:szCs w:val="28"/>
              </w:rPr>
              <w:t>三年</w:t>
            </w:r>
          </w:p>
        </w:tc>
      </w:tr>
    </w:tbl>
    <w:p w14:paraId="7252DB40">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注：投标人投标单价报价不得高于规定的单价最高限价，单价报价高于单价限价的，将视为无效投标。</w:t>
      </w:r>
    </w:p>
    <w:p w14:paraId="200380FE">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二、投标人资格要求及有关规定</w:t>
      </w:r>
    </w:p>
    <w:p w14:paraId="613EBB29">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（一）投标人基本资格要求</w:t>
      </w:r>
    </w:p>
    <w:p w14:paraId="666DD417">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1.具有独立承担民事责任的能力；</w:t>
      </w:r>
    </w:p>
    <w:p w14:paraId="743AE9C0">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2.具有良好的商业信誉和健全的财务会计制度；</w:t>
      </w:r>
    </w:p>
    <w:p w14:paraId="4CF158E5">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3.具有履行合同所必需的设备和专业技术能力；</w:t>
      </w:r>
    </w:p>
    <w:p w14:paraId="2E72BC3D">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4.有依法缴纳税收的良好记录。</w:t>
      </w:r>
    </w:p>
    <w:p w14:paraId="73BF5240">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（二）特定资格条件</w:t>
      </w:r>
    </w:p>
    <w:p w14:paraId="3AD1141A">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1.投标人提供有效的《营业执照》副本（复印件必须是原件复印或扫描且加盖印章，装订至投标文件中，原件备查）。</w:t>
      </w:r>
    </w:p>
    <w:p w14:paraId="6097B94B">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2.投标人营业执照经营范围必须有物业管理。</w:t>
      </w:r>
    </w:p>
    <w:p w14:paraId="46F8EFA3">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（三）投标有关规定</w:t>
      </w:r>
    </w:p>
    <w:p w14:paraId="3BF70DB0">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1.法定代表人为同一个人的，两个及两个以上法人，母公司、全资子公司及其控股公司，都不得在招标中同时投标。</w:t>
      </w:r>
    </w:p>
    <w:p w14:paraId="7C4F12B5">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2.本招标项目所有补遗文件（如果有）一律在重庆市潼南区住房和城乡建设委员会网站（http://</w:t>
      </w:r>
      <w:r>
        <w:rPr>
          <w:rFonts w:ascii="仿宋" w:hAnsi="仿宋" w:eastAsia="仿宋"/>
          <w:color w:val="000000"/>
          <w:sz w:val="28"/>
          <w:szCs w:val="28"/>
        </w:rPr>
        <w:t>www.cqtn.gov.cn/</w:t>
      </w:r>
      <w:r>
        <w:rPr>
          <w:rFonts w:hint="eastAsia" w:ascii="仿宋" w:hAnsi="仿宋" w:eastAsia="仿宋"/>
          <w:color w:val="000000"/>
          <w:sz w:val="28"/>
          <w:szCs w:val="28"/>
        </w:rPr>
        <w:t>bm</w:t>
      </w:r>
      <w:r>
        <w:rPr>
          <w:rFonts w:ascii="仿宋" w:hAnsi="仿宋" w:eastAsia="仿宋"/>
          <w:color w:val="000000"/>
          <w:sz w:val="28"/>
          <w:szCs w:val="28"/>
        </w:rPr>
        <w:t>/</w:t>
      </w:r>
      <w:r>
        <w:rPr>
          <w:rFonts w:hint="eastAsia" w:ascii="仿宋" w:hAnsi="仿宋" w:eastAsia="仿宋"/>
          <w:color w:val="000000"/>
          <w:sz w:val="28"/>
          <w:szCs w:val="28"/>
        </w:rPr>
        <w:t>qzfcxjw/）上发布，请各投标人注意下载，无论是否下载，我公司视为投标人知晓。</w:t>
      </w:r>
    </w:p>
    <w:p w14:paraId="70F02E04">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(四)特别说明：</w:t>
      </w:r>
    </w:p>
    <w:p w14:paraId="65D7AEA5">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招标文件要求的所有材料的复印件加盖鲜章装订到投标文件中（复印件必须清晰），原件备查，评标若审查原件，于审查结束后退还各投标人，评委需审查原件时而未提供原件者视为无效投标。</w:t>
      </w:r>
    </w:p>
    <w:p w14:paraId="3617ED0B">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三、投标、开标有关说明</w:t>
      </w:r>
      <w:r>
        <w:rPr>
          <w:rFonts w:hint="eastAsia" w:ascii="仿宋" w:hAnsi="仿宋" w:eastAsia="仿宋"/>
          <w:color w:val="000000"/>
          <w:sz w:val="28"/>
          <w:szCs w:val="28"/>
        </w:rPr>
        <w:tab/>
      </w:r>
    </w:p>
    <w:p w14:paraId="49BB9253">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一）凡有意参加投标的投标人，请在重庆市潼南区住房和城乡建设委员会网站（http://www.cqtn.gov.cn/bm/qzfcxjw/）上下载本项目招标文件和补遗等开标前公布的所有项目资料，无论投标人下载与否，均视为已知晓所有招标内容。</w:t>
      </w:r>
    </w:p>
    <w:p w14:paraId="7219EA4F">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（二）招标文件公告期限：</w:t>
      </w:r>
      <w:r>
        <w:rPr>
          <w:rFonts w:hint="eastAsia" w:ascii="仿宋" w:hAnsi="仿宋" w:eastAsia="仿宋"/>
          <w:sz w:val="28"/>
          <w:szCs w:val="28"/>
        </w:rPr>
        <w:t>2021年</w:t>
      </w:r>
      <w:r>
        <w:rPr>
          <w:rFonts w:hint="eastAsia" w:ascii="仿宋" w:hAnsi="仿宋" w:eastAsia="仿宋"/>
          <w:sz w:val="28"/>
          <w:szCs w:val="28"/>
          <w:lang w:val="en-US" w:eastAsia="zh-CN"/>
        </w:rPr>
        <w:t>2</w:t>
      </w:r>
      <w:r>
        <w:rPr>
          <w:rFonts w:hint="eastAsia" w:ascii="仿宋" w:hAnsi="仿宋" w:eastAsia="仿宋"/>
          <w:sz w:val="28"/>
          <w:szCs w:val="28"/>
        </w:rPr>
        <w:t>月25日至2021年</w:t>
      </w:r>
      <w:r>
        <w:rPr>
          <w:rFonts w:hint="eastAsia" w:ascii="仿宋" w:hAnsi="仿宋" w:eastAsia="仿宋"/>
          <w:sz w:val="28"/>
          <w:szCs w:val="28"/>
          <w:lang w:val="en-US" w:eastAsia="zh-CN"/>
        </w:rPr>
        <w:t>3</w:t>
      </w:r>
      <w:r>
        <w:rPr>
          <w:rFonts w:hint="eastAsia" w:ascii="仿宋" w:hAnsi="仿宋" w:eastAsia="仿宋"/>
          <w:sz w:val="28"/>
          <w:szCs w:val="28"/>
        </w:rPr>
        <w:t>月2日</w:t>
      </w:r>
      <w:r>
        <w:rPr>
          <w:rFonts w:hint="eastAsia" w:ascii="仿宋" w:hAnsi="仿宋" w:eastAsia="仿宋"/>
          <w:color w:val="000000"/>
          <w:sz w:val="28"/>
          <w:szCs w:val="28"/>
        </w:rPr>
        <w:t>。</w:t>
      </w:r>
    </w:p>
    <w:p w14:paraId="3852C892">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（三）招标文件购买费为： 0元/份；。</w:t>
      </w:r>
    </w:p>
    <w:p w14:paraId="437506E3">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（四）投标人须在投标截止时间前满足以下三种要件，其投标才被接受：</w:t>
      </w:r>
    </w:p>
    <w:p w14:paraId="3470056B">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1、按时成功报名，报名截止时间</w:t>
      </w:r>
      <w:r>
        <w:rPr>
          <w:rFonts w:hint="eastAsia" w:ascii="仿宋" w:hAnsi="仿宋" w:eastAsia="仿宋"/>
          <w:sz w:val="28"/>
          <w:szCs w:val="28"/>
        </w:rPr>
        <w:t>2021年</w:t>
      </w:r>
      <w:r>
        <w:rPr>
          <w:rFonts w:hint="eastAsia" w:ascii="仿宋" w:hAnsi="仿宋" w:eastAsia="仿宋"/>
          <w:sz w:val="28"/>
          <w:szCs w:val="28"/>
          <w:lang w:val="en-US" w:eastAsia="zh-CN"/>
        </w:rPr>
        <w:t>3</w:t>
      </w:r>
      <w:r>
        <w:rPr>
          <w:rFonts w:hint="eastAsia" w:ascii="仿宋" w:hAnsi="仿宋" w:eastAsia="仿宋"/>
          <w:sz w:val="28"/>
          <w:szCs w:val="28"/>
        </w:rPr>
        <w:t>月2日</w:t>
      </w:r>
      <w:r>
        <w:rPr>
          <w:rFonts w:hint="eastAsia" w:ascii="仿宋" w:hAnsi="仿宋" w:eastAsia="仿宋"/>
          <w:color w:val="000000"/>
          <w:sz w:val="28"/>
          <w:szCs w:val="28"/>
        </w:rPr>
        <w:t>；</w:t>
      </w:r>
    </w:p>
    <w:p w14:paraId="61AE2159">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2、按时递交了投标文件；</w:t>
      </w:r>
    </w:p>
    <w:p w14:paraId="101AAD23">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3、按时签到。</w:t>
      </w:r>
    </w:p>
    <w:p w14:paraId="47A85536">
      <w:pPr>
        <w:spacing w:line="400" w:lineRule="exact"/>
        <w:ind w:right="12" w:firstLine="480"/>
        <w:rPr>
          <w:rFonts w:ascii="仿宋" w:hAnsi="仿宋" w:eastAsia="仿宋"/>
          <w:sz w:val="28"/>
          <w:szCs w:val="28"/>
        </w:rPr>
      </w:pPr>
      <w:r>
        <w:rPr>
          <w:rFonts w:hint="eastAsia" w:ascii="仿宋" w:hAnsi="仿宋" w:eastAsia="仿宋"/>
          <w:sz w:val="28"/>
          <w:szCs w:val="28"/>
        </w:rPr>
        <w:t>（五）报名方式：提供报名单位的营业执照复印件盖公章（鲜章），扫描后以附件形式发送至reagan100@qq.com ,邮件标题请使用“</w:t>
      </w:r>
      <w:r>
        <w:rPr>
          <w:rFonts w:ascii="仿宋" w:hAnsi="仿宋" w:eastAsia="仿宋"/>
          <w:sz w:val="28"/>
          <w:szCs w:val="28"/>
        </w:rPr>
        <w:t>GNZX202</w:t>
      </w:r>
      <w:r>
        <w:rPr>
          <w:rFonts w:hint="eastAsia" w:ascii="仿宋" w:hAnsi="仿宋" w:eastAsia="仿宋"/>
          <w:sz w:val="28"/>
          <w:szCs w:val="28"/>
        </w:rPr>
        <w:t>1</w:t>
      </w:r>
      <w:r>
        <w:rPr>
          <w:rFonts w:ascii="仿宋" w:hAnsi="仿宋" w:eastAsia="仿宋"/>
          <w:sz w:val="28"/>
          <w:szCs w:val="28"/>
        </w:rPr>
        <w:t>-</w:t>
      </w:r>
      <w:r>
        <w:rPr>
          <w:rFonts w:hint="eastAsia" w:ascii="仿宋" w:hAnsi="仿宋" w:eastAsia="仿宋"/>
          <w:sz w:val="28"/>
          <w:szCs w:val="28"/>
        </w:rPr>
        <w:t>2</w:t>
      </w:r>
      <w:r>
        <w:rPr>
          <w:rFonts w:ascii="仿宋" w:hAnsi="仿宋" w:eastAsia="仿宋"/>
          <w:sz w:val="28"/>
          <w:szCs w:val="28"/>
        </w:rPr>
        <w:t>-</w:t>
      </w:r>
      <w:r>
        <w:rPr>
          <w:rFonts w:hint="eastAsia" w:ascii="仿宋" w:hAnsi="仿宋" w:eastAsia="仿宋"/>
          <w:sz w:val="28"/>
          <w:szCs w:val="28"/>
        </w:rPr>
        <w:t>1投标报名”，并在邮件正文注明本项目名称和招标编号，以报名截止时间前收到该邮箱回复的报名成功确认邮件为报名成功的标志，如报名后未收到确认邮件，请报名截止时间前通过本篇第八条的联系方式与招标人进行联系咨询。</w:t>
      </w:r>
    </w:p>
    <w:p w14:paraId="0D588A08">
      <w:pPr>
        <w:spacing w:line="400" w:lineRule="exact"/>
        <w:ind w:right="12" w:firstLine="480"/>
        <w:rPr>
          <w:rFonts w:ascii="仿宋" w:hAnsi="仿宋" w:eastAsia="仿宋"/>
          <w:sz w:val="28"/>
          <w:szCs w:val="28"/>
        </w:rPr>
      </w:pPr>
      <w:r>
        <w:rPr>
          <w:rFonts w:hint="eastAsia" w:ascii="仿宋" w:hAnsi="仿宋" w:eastAsia="仿宋"/>
          <w:sz w:val="28"/>
          <w:szCs w:val="28"/>
        </w:rPr>
        <w:t>（六）投标签到时间：北京时间2021年</w:t>
      </w:r>
      <w:r>
        <w:rPr>
          <w:rFonts w:hint="eastAsia" w:ascii="仿宋" w:hAnsi="仿宋" w:eastAsia="仿宋"/>
          <w:sz w:val="28"/>
          <w:szCs w:val="28"/>
          <w:lang w:val="en-US" w:eastAsia="zh-CN"/>
        </w:rPr>
        <w:t>3</w:t>
      </w:r>
      <w:r>
        <w:rPr>
          <w:rFonts w:hint="eastAsia" w:ascii="仿宋" w:hAnsi="仿宋" w:eastAsia="仿宋"/>
          <w:sz w:val="28"/>
          <w:szCs w:val="28"/>
        </w:rPr>
        <w:t>月3日09：00-09：30，报名成功的投标人必须在截止时间前将投标文件交到投标地点。</w:t>
      </w:r>
    </w:p>
    <w:p w14:paraId="05A33B16">
      <w:pPr>
        <w:spacing w:line="400" w:lineRule="exact"/>
        <w:ind w:right="12" w:firstLine="480"/>
        <w:rPr>
          <w:rFonts w:ascii="仿宋" w:hAnsi="仿宋" w:eastAsia="仿宋"/>
          <w:sz w:val="28"/>
          <w:szCs w:val="28"/>
        </w:rPr>
      </w:pPr>
      <w:r>
        <w:rPr>
          <w:rFonts w:hint="eastAsia" w:ascii="仿宋" w:hAnsi="仿宋" w:eastAsia="仿宋"/>
          <w:sz w:val="28"/>
          <w:szCs w:val="28"/>
        </w:rPr>
        <w:t>（七）开标会时间：北京时间2021年</w:t>
      </w:r>
      <w:r>
        <w:rPr>
          <w:rFonts w:hint="eastAsia" w:ascii="仿宋" w:hAnsi="仿宋" w:eastAsia="仿宋"/>
          <w:sz w:val="28"/>
          <w:szCs w:val="28"/>
          <w:lang w:val="en-US" w:eastAsia="zh-CN"/>
        </w:rPr>
        <w:t>3</w:t>
      </w:r>
      <w:r>
        <w:rPr>
          <w:rFonts w:hint="eastAsia" w:ascii="仿宋" w:hAnsi="仿宋" w:eastAsia="仿宋"/>
          <w:sz w:val="28"/>
          <w:szCs w:val="28"/>
        </w:rPr>
        <w:t>月3日09:30。</w:t>
      </w:r>
    </w:p>
    <w:p w14:paraId="6077362C">
      <w:pPr>
        <w:spacing w:line="400" w:lineRule="exact"/>
        <w:ind w:right="12" w:firstLine="480"/>
        <w:rPr>
          <w:rFonts w:ascii="仿宋" w:hAnsi="仿宋" w:eastAsia="仿宋"/>
          <w:sz w:val="28"/>
          <w:szCs w:val="28"/>
        </w:rPr>
      </w:pPr>
      <w:r>
        <w:rPr>
          <w:rFonts w:hint="eastAsia" w:ascii="仿宋" w:hAnsi="仿宋" w:eastAsia="仿宋"/>
          <w:sz w:val="28"/>
          <w:szCs w:val="28"/>
        </w:rPr>
        <w:t>（八）开标会地点：梓潼街道学院路99号福江名都小区科艺地产会议室。</w:t>
      </w:r>
    </w:p>
    <w:p w14:paraId="4CCBBE35">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四、超过投标截止时间的投标，招标人恕不接受。</w:t>
      </w:r>
    </w:p>
    <w:p w14:paraId="2AC7E423">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五、投标人应在招标文件发出后对项目现场及周围环境自行踏勘。无论投标人是否踏勘过现场，均被认为在递交投标文件之前已踏勘现场，对本项目的风险和义务已经了解，并在投标文件中已充分考虑了现场和环境因素。踏勘现场所发生的费用由投标人自行承担。</w:t>
      </w:r>
    </w:p>
    <w:p w14:paraId="7E67219F">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六、投标人及其相关人员经过招标人的许可，可因踏勘目的进入工程现场，但投标人及其相关人员不得因此使招标人及其相关人员承担有关的责任和损失。投标人并应对由此而造成的死亡、人身伤害、财产损失、损害以及任何其它损失、损害和引起的费用和开支承担责任。</w:t>
      </w:r>
    </w:p>
    <w:p w14:paraId="0F61C969">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七、投标费用：投标人应承担其编制与递交投标文件所涉及的一切费用，无论投标结果如何，招标人对上述费用概不负责，均由投标人承担。</w:t>
      </w:r>
    </w:p>
    <w:p w14:paraId="306A3ABE">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八、联系方式</w:t>
      </w:r>
    </w:p>
    <w:p w14:paraId="35319D92">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（一）招标代理机构：重庆规诺企业管理咨询服务有限公司</w:t>
      </w:r>
    </w:p>
    <w:p w14:paraId="1B28BC4A">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 xml:space="preserve">联系人：樊先生 </w:t>
      </w:r>
    </w:p>
    <w:p w14:paraId="1E3CE24C">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电  话：13696489180</w:t>
      </w:r>
    </w:p>
    <w:p w14:paraId="02B93048">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（二）招标人：重庆科艺房地产开发有限公司</w:t>
      </w:r>
    </w:p>
    <w:p w14:paraId="613421BB">
      <w:pPr>
        <w:spacing w:line="400" w:lineRule="exact"/>
        <w:ind w:right="12" w:firstLine="480"/>
        <w:rPr>
          <w:rFonts w:ascii="仿宋" w:hAnsi="仿宋" w:eastAsia="仿宋"/>
          <w:sz w:val="28"/>
          <w:szCs w:val="28"/>
        </w:rPr>
      </w:pPr>
      <w:r>
        <w:rPr>
          <w:rFonts w:hint="eastAsia" w:ascii="仿宋" w:hAnsi="仿宋" w:eastAsia="仿宋"/>
          <w:sz w:val="28"/>
          <w:szCs w:val="28"/>
        </w:rPr>
        <w:t>联系人：向颗银</w:t>
      </w:r>
    </w:p>
    <w:p w14:paraId="0C0F3957">
      <w:pPr>
        <w:spacing w:line="400" w:lineRule="exact"/>
        <w:ind w:right="12" w:firstLine="480"/>
        <w:rPr>
          <w:rFonts w:ascii="仿宋" w:hAnsi="仿宋" w:eastAsia="仿宋"/>
          <w:sz w:val="28"/>
          <w:szCs w:val="28"/>
        </w:rPr>
      </w:pPr>
      <w:r>
        <w:rPr>
          <w:rFonts w:hint="eastAsia" w:ascii="仿宋" w:hAnsi="仿宋" w:eastAsia="仿宋"/>
          <w:sz w:val="28"/>
          <w:szCs w:val="28"/>
        </w:rPr>
        <w:t>电  话：13272897276</w:t>
      </w:r>
    </w:p>
    <w:p w14:paraId="3CDFDBDD">
      <w:pPr>
        <w:spacing w:line="400" w:lineRule="exact"/>
        <w:ind w:right="12" w:firstLine="480"/>
        <w:rPr>
          <w:rFonts w:ascii="仿宋" w:hAnsi="仿宋" w:eastAsia="仿宋"/>
          <w:sz w:val="28"/>
          <w:szCs w:val="28"/>
        </w:rPr>
      </w:pPr>
    </w:p>
    <w:p w14:paraId="02795FAB">
      <w:pPr>
        <w:snapToGrid w:val="0"/>
        <w:spacing w:line="500" w:lineRule="exact"/>
        <w:jc w:val="center"/>
        <w:outlineLvl w:val="0"/>
        <w:rPr>
          <w:rFonts w:ascii="仿宋" w:hAnsi="仿宋" w:eastAsia="仿宋"/>
          <w:b/>
          <w:color w:val="000000"/>
          <w:sz w:val="28"/>
          <w:szCs w:val="28"/>
        </w:rPr>
      </w:pPr>
      <w:bookmarkStart w:id="3" w:name="_Toc311729655"/>
      <w:bookmarkEnd w:id="3"/>
      <w:r>
        <w:rPr>
          <w:rFonts w:hint="eastAsia" w:ascii="仿宋" w:hAnsi="仿宋" w:eastAsia="仿宋"/>
          <w:b/>
          <w:color w:val="000000"/>
          <w:sz w:val="28"/>
          <w:szCs w:val="28"/>
        </w:rPr>
        <w:t>第二篇 项目介绍和服务要求</w:t>
      </w:r>
    </w:p>
    <w:p w14:paraId="7A1D8A9E">
      <w:pPr>
        <w:spacing w:line="400" w:lineRule="exact"/>
        <w:ind w:right="12" w:firstLine="480"/>
        <w:rPr>
          <w:rFonts w:ascii="仿宋" w:hAnsi="仿宋" w:eastAsia="仿宋"/>
          <w:color w:val="000000"/>
          <w:sz w:val="28"/>
          <w:szCs w:val="28"/>
        </w:rPr>
      </w:pPr>
    </w:p>
    <w:p w14:paraId="25CCD38B">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投标人须明确承诺提供三级住宅物业服务以上等级标准，具体服务方案请在投标文件中制作体现。</w:t>
      </w:r>
    </w:p>
    <w:p w14:paraId="38ED8E2F">
      <w:pPr>
        <w:spacing w:line="400" w:lineRule="exact"/>
        <w:ind w:right="12" w:firstLine="480"/>
        <w:rPr>
          <w:rFonts w:ascii="仿宋" w:hAnsi="仿宋" w:eastAsia="仿宋"/>
          <w:sz w:val="28"/>
          <w:szCs w:val="28"/>
        </w:rPr>
      </w:pPr>
      <w:r>
        <w:rPr>
          <w:rFonts w:hint="eastAsia" w:ascii="仿宋" w:hAnsi="仿宋" w:eastAsia="仿宋"/>
          <w:sz w:val="28"/>
          <w:szCs w:val="28"/>
        </w:rPr>
        <w:t>项目介绍</w:t>
      </w:r>
    </w:p>
    <w:p w14:paraId="16F4DF9B">
      <w:pPr>
        <w:spacing w:line="400" w:lineRule="exact"/>
        <w:ind w:right="12" w:firstLine="480"/>
        <w:rPr>
          <w:rFonts w:ascii="仿宋" w:hAnsi="仿宋" w:eastAsia="仿宋"/>
          <w:sz w:val="28"/>
          <w:szCs w:val="28"/>
        </w:rPr>
      </w:pPr>
      <w:r>
        <w:rPr>
          <w:rFonts w:hint="eastAsia" w:ascii="仿宋" w:hAnsi="仿宋" w:eastAsia="仿宋"/>
          <w:sz w:val="28"/>
          <w:szCs w:val="28"/>
        </w:rPr>
        <w:t>一、物业名称：福江香郡</w:t>
      </w:r>
    </w:p>
    <w:p w14:paraId="76871659">
      <w:pPr>
        <w:spacing w:line="400" w:lineRule="exact"/>
        <w:ind w:right="12" w:firstLine="480"/>
        <w:rPr>
          <w:rFonts w:ascii="仿宋" w:hAnsi="仿宋" w:eastAsia="仿宋"/>
          <w:sz w:val="28"/>
          <w:szCs w:val="28"/>
        </w:rPr>
      </w:pPr>
      <w:r>
        <w:rPr>
          <w:rFonts w:hint="eastAsia" w:ascii="仿宋" w:hAnsi="仿宋" w:eastAsia="仿宋"/>
          <w:sz w:val="28"/>
          <w:szCs w:val="28"/>
        </w:rPr>
        <w:t>二、物业位置：潼南区江北新城D2-1号地块</w:t>
      </w:r>
    </w:p>
    <w:p w14:paraId="096953D6">
      <w:pPr>
        <w:spacing w:line="400" w:lineRule="exact"/>
        <w:ind w:right="12" w:firstLine="480"/>
        <w:rPr>
          <w:rFonts w:ascii="仿宋" w:hAnsi="仿宋" w:eastAsia="仿宋"/>
          <w:sz w:val="28"/>
          <w:szCs w:val="28"/>
        </w:rPr>
      </w:pPr>
      <w:r>
        <w:rPr>
          <w:rFonts w:hint="eastAsia" w:ascii="仿宋" w:hAnsi="仿宋" w:eastAsia="仿宋"/>
          <w:sz w:val="28"/>
          <w:szCs w:val="28"/>
        </w:rPr>
        <w:t>三、物业类型：商住</w:t>
      </w:r>
    </w:p>
    <w:p w14:paraId="03BDD29B">
      <w:pPr>
        <w:spacing w:line="400" w:lineRule="exact"/>
        <w:ind w:right="12" w:firstLine="480"/>
        <w:rPr>
          <w:rFonts w:ascii="仿宋" w:hAnsi="仿宋" w:eastAsia="仿宋"/>
          <w:sz w:val="28"/>
          <w:szCs w:val="28"/>
        </w:rPr>
      </w:pPr>
      <w:r>
        <w:rPr>
          <w:rFonts w:hint="eastAsia" w:ascii="仿宋" w:hAnsi="仿宋" w:eastAsia="仿宋"/>
          <w:sz w:val="28"/>
          <w:szCs w:val="28"/>
        </w:rPr>
        <w:t>四、物业面积：</w:t>
      </w:r>
    </w:p>
    <w:p w14:paraId="3E74CFD8">
      <w:pPr>
        <w:spacing w:line="400" w:lineRule="exact"/>
        <w:ind w:right="12" w:firstLine="480"/>
        <w:rPr>
          <w:rFonts w:ascii="仿宋" w:hAnsi="仿宋" w:eastAsia="仿宋"/>
          <w:sz w:val="28"/>
          <w:szCs w:val="28"/>
        </w:rPr>
      </w:pPr>
      <w:r>
        <w:rPr>
          <w:rFonts w:hint="eastAsia" w:ascii="仿宋" w:hAnsi="仿宋" w:eastAsia="仿宋"/>
          <w:sz w:val="28"/>
          <w:szCs w:val="28"/>
        </w:rPr>
        <w:t>福江香郡位于潼南区江北新城D2-1号地块，本建筑区域规划设计的物业类型主要为住宅+配套商业，项目四至：东至：五彩路，西至：五湖路，南至：莲花东路，北至：世纪大道，规划建设净用地面积为88062平方米，项目绿地率为36%，整体容积率为2.20，总建筑面积257894.6平方米，建筑物总建面为</w:t>
      </w:r>
      <w:r>
        <w:rPr>
          <w:rFonts w:ascii="仿宋" w:hAnsi="仿宋" w:eastAsia="仿宋"/>
          <w:sz w:val="28"/>
          <w:szCs w:val="28"/>
        </w:rPr>
        <w:t>28535.16</w:t>
      </w:r>
      <w:r>
        <w:rPr>
          <w:rFonts w:hint="eastAsia" w:ascii="仿宋" w:hAnsi="仿宋" w:eastAsia="仿宋"/>
          <w:sz w:val="28"/>
          <w:szCs w:val="28"/>
        </w:rPr>
        <w:t>平方米，项目共有27栋楼，1881户，物业用房858.91平方米。</w:t>
      </w:r>
    </w:p>
    <w:p w14:paraId="3C2DD895">
      <w:pPr>
        <w:spacing w:line="400" w:lineRule="exact"/>
        <w:ind w:right="12" w:firstLine="480"/>
        <w:rPr>
          <w:rFonts w:ascii="仿宋" w:hAnsi="仿宋" w:eastAsia="仿宋"/>
          <w:sz w:val="28"/>
          <w:szCs w:val="28"/>
        </w:rPr>
      </w:pPr>
      <w:r>
        <w:rPr>
          <w:rFonts w:hint="eastAsia" w:ascii="仿宋" w:hAnsi="仿宋" w:eastAsia="仿宋"/>
          <w:sz w:val="28"/>
          <w:szCs w:val="28"/>
        </w:rPr>
        <w:t>本次招标为项目三期，总建筑面积131513.18平方米，住宅建筑面积约98503.75平方米，其中高层面积54826.29平方米，洋房面积43677.46平方米，商业7153.92平方米，绿化面积11852.52平方米。本期有11栋楼，808户住宅，地下停车位586个。主要功能为居民住宅、办公、商业、休闲设施和停车场等。</w:t>
      </w:r>
    </w:p>
    <w:p w14:paraId="639C7082">
      <w:pPr>
        <w:spacing w:line="400" w:lineRule="exact"/>
        <w:ind w:right="12" w:firstLine="480"/>
        <w:rPr>
          <w:rFonts w:ascii="仿宋" w:hAnsi="仿宋" w:eastAsia="仿宋"/>
          <w:sz w:val="28"/>
          <w:szCs w:val="28"/>
        </w:rPr>
      </w:pPr>
      <w:r>
        <w:rPr>
          <w:rFonts w:hint="eastAsia" w:ascii="仿宋" w:hAnsi="仿宋" w:eastAsia="仿宋"/>
          <w:sz w:val="28"/>
          <w:szCs w:val="28"/>
        </w:rPr>
        <w:t>五、规划建设基本情况</w:t>
      </w:r>
    </w:p>
    <w:p w14:paraId="2F81D42E">
      <w:pPr>
        <w:spacing w:line="400" w:lineRule="exact"/>
        <w:ind w:right="12" w:firstLine="480"/>
        <w:rPr>
          <w:rFonts w:ascii="仿宋" w:hAnsi="仿宋" w:eastAsia="仿宋"/>
          <w:sz w:val="28"/>
          <w:szCs w:val="28"/>
        </w:rPr>
      </w:pPr>
      <w:r>
        <w:rPr>
          <w:rFonts w:hint="eastAsia" w:ascii="仿宋" w:hAnsi="仿宋" w:eastAsia="仿宋"/>
          <w:sz w:val="28"/>
          <w:szCs w:val="28"/>
        </w:rPr>
        <w:t>（一）建设单位及交付时间</w:t>
      </w:r>
    </w:p>
    <w:p w14:paraId="180172EB">
      <w:pPr>
        <w:spacing w:line="400" w:lineRule="exact"/>
        <w:ind w:right="12" w:firstLine="480"/>
        <w:rPr>
          <w:rFonts w:ascii="仿宋" w:hAnsi="仿宋" w:eastAsia="仿宋"/>
          <w:sz w:val="28"/>
          <w:szCs w:val="28"/>
        </w:rPr>
      </w:pPr>
      <w:r>
        <w:rPr>
          <w:rFonts w:hint="eastAsia" w:ascii="仿宋" w:hAnsi="仿宋" w:eastAsia="仿宋"/>
          <w:sz w:val="28"/>
          <w:szCs w:val="28"/>
        </w:rPr>
        <w:t>1、开发单位：重庆科艺房地产开发有限公司</w:t>
      </w:r>
    </w:p>
    <w:p w14:paraId="312281EE">
      <w:pPr>
        <w:spacing w:line="400" w:lineRule="exact"/>
        <w:ind w:right="12" w:firstLine="480"/>
        <w:rPr>
          <w:rFonts w:ascii="仿宋" w:hAnsi="仿宋" w:eastAsia="仿宋"/>
          <w:sz w:val="28"/>
          <w:szCs w:val="28"/>
        </w:rPr>
      </w:pPr>
      <w:r>
        <w:rPr>
          <w:rFonts w:hint="eastAsia" w:ascii="仿宋" w:hAnsi="仿宋" w:eastAsia="仿宋"/>
          <w:sz w:val="28"/>
          <w:szCs w:val="28"/>
        </w:rPr>
        <w:t>2、设计单位：重庆大有建筑设计院</w:t>
      </w:r>
    </w:p>
    <w:p w14:paraId="5C78B561">
      <w:pPr>
        <w:spacing w:line="400" w:lineRule="exact"/>
        <w:ind w:right="12" w:firstLine="480"/>
        <w:rPr>
          <w:rFonts w:ascii="仿宋" w:hAnsi="仿宋" w:eastAsia="仿宋"/>
          <w:sz w:val="28"/>
          <w:szCs w:val="28"/>
        </w:rPr>
      </w:pPr>
      <w:r>
        <w:rPr>
          <w:rFonts w:hint="eastAsia" w:ascii="仿宋" w:hAnsi="仿宋" w:eastAsia="仿宋"/>
          <w:sz w:val="28"/>
          <w:szCs w:val="28"/>
        </w:rPr>
        <w:t>3、计划竣工日期：2021年5月</w:t>
      </w:r>
    </w:p>
    <w:p w14:paraId="0FD6F335">
      <w:pPr>
        <w:spacing w:line="400" w:lineRule="exact"/>
        <w:ind w:right="12" w:firstLine="480"/>
        <w:rPr>
          <w:rFonts w:ascii="仿宋" w:hAnsi="仿宋" w:eastAsia="仿宋"/>
          <w:sz w:val="28"/>
          <w:szCs w:val="28"/>
        </w:rPr>
      </w:pPr>
      <w:r>
        <w:rPr>
          <w:rFonts w:hint="eastAsia" w:ascii="仿宋" w:hAnsi="仿宋" w:eastAsia="仿宋"/>
          <w:sz w:val="28"/>
          <w:szCs w:val="28"/>
        </w:rPr>
        <w:t>（二）物业设施设备</w:t>
      </w:r>
    </w:p>
    <w:p w14:paraId="267263FB">
      <w:pPr>
        <w:spacing w:line="400" w:lineRule="exact"/>
        <w:ind w:right="12" w:firstLine="480"/>
        <w:rPr>
          <w:rFonts w:ascii="仿宋" w:hAnsi="仿宋" w:eastAsia="仿宋"/>
          <w:sz w:val="28"/>
          <w:szCs w:val="28"/>
        </w:rPr>
      </w:pPr>
      <w:r>
        <w:rPr>
          <w:rFonts w:hint="eastAsia" w:ascii="仿宋" w:hAnsi="仿宋" w:eastAsia="仿宋"/>
          <w:sz w:val="28"/>
          <w:szCs w:val="28"/>
        </w:rPr>
        <w:t>1、化粪池：2个，4000立方米。</w:t>
      </w:r>
      <w:r>
        <w:rPr>
          <w:rFonts w:hint="eastAsia" w:ascii="仿宋" w:hAnsi="仿宋" w:eastAsia="仿宋"/>
          <w:sz w:val="28"/>
          <w:szCs w:val="28"/>
        </w:rPr>
        <w:tab/>
      </w:r>
    </w:p>
    <w:p w14:paraId="5D267C8A">
      <w:pPr>
        <w:spacing w:line="400" w:lineRule="exact"/>
        <w:ind w:right="12" w:firstLine="480"/>
        <w:rPr>
          <w:rFonts w:ascii="仿宋" w:hAnsi="仿宋" w:eastAsia="仿宋"/>
          <w:sz w:val="28"/>
          <w:szCs w:val="28"/>
        </w:rPr>
      </w:pPr>
      <w:r>
        <w:rPr>
          <w:rFonts w:hint="eastAsia" w:ascii="仿宋" w:hAnsi="仿宋" w:eastAsia="仿宋"/>
          <w:sz w:val="28"/>
          <w:szCs w:val="28"/>
        </w:rPr>
        <w:t>2、2个人行出入口和3个车行出入口。</w:t>
      </w:r>
    </w:p>
    <w:p w14:paraId="164FCAFD">
      <w:pPr>
        <w:spacing w:line="400" w:lineRule="exact"/>
        <w:ind w:right="12" w:firstLine="480"/>
        <w:rPr>
          <w:rFonts w:ascii="仿宋" w:hAnsi="仿宋" w:eastAsia="仿宋"/>
          <w:sz w:val="28"/>
          <w:szCs w:val="28"/>
        </w:rPr>
      </w:pPr>
      <w:r>
        <w:rPr>
          <w:rFonts w:hint="eastAsia" w:ascii="仿宋" w:hAnsi="仿宋" w:eastAsia="仿宋"/>
          <w:sz w:val="28"/>
          <w:szCs w:val="28"/>
        </w:rPr>
        <w:t>3、本期电梯台数共23台，其中33层站6台，30层站</w:t>
      </w:r>
    </w:p>
    <w:p w14:paraId="1B191962">
      <w:pPr>
        <w:spacing w:line="400" w:lineRule="exact"/>
        <w:ind w:right="12" w:firstLine="480"/>
        <w:rPr>
          <w:rFonts w:ascii="仿宋" w:hAnsi="仿宋" w:eastAsia="仿宋"/>
          <w:sz w:val="28"/>
          <w:szCs w:val="28"/>
        </w:rPr>
      </w:pPr>
      <w:r>
        <w:rPr>
          <w:rFonts w:hint="eastAsia" w:ascii="仿宋" w:hAnsi="仿宋" w:eastAsia="仿宋"/>
          <w:sz w:val="28"/>
          <w:szCs w:val="28"/>
        </w:rPr>
        <w:t>2台，11层站2台，8层站11台，7层站2台。</w:t>
      </w:r>
    </w:p>
    <w:p w14:paraId="7C36AA4F">
      <w:pPr>
        <w:spacing w:line="400" w:lineRule="exact"/>
        <w:ind w:right="12" w:firstLine="480"/>
        <w:rPr>
          <w:rFonts w:ascii="仿宋" w:hAnsi="仿宋" w:eastAsia="仿宋"/>
          <w:sz w:val="28"/>
          <w:szCs w:val="28"/>
        </w:rPr>
      </w:pPr>
      <w:r>
        <w:rPr>
          <w:rFonts w:hint="eastAsia" w:ascii="仿宋" w:hAnsi="仿宋" w:eastAsia="仿宋"/>
          <w:sz w:val="28"/>
          <w:szCs w:val="28"/>
        </w:rPr>
        <w:t>（三）配套情况</w:t>
      </w:r>
    </w:p>
    <w:p w14:paraId="1F417710">
      <w:pPr>
        <w:spacing w:line="400" w:lineRule="exact"/>
        <w:ind w:right="12" w:firstLine="480"/>
        <w:rPr>
          <w:rFonts w:ascii="仿宋" w:hAnsi="仿宋" w:eastAsia="仿宋"/>
          <w:sz w:val="28"/>
          <w:szCs w:val="28"/>
        </w:rPr>
      </w:pPr>
      <w:r>
        <w:rPr>
          <w:rFonts w:hint="eastAsia" w:ascii="仿宋" w:hAnsi="仿宋" w:eastAsia="仿宋"/>
          <w:sz w:val="28"/>
          <w:szCs w:val="28"/>
        </w:rPr>
        <w:t>小区设有供配电系统，弱电安防系统，给排水系统，消</w:t>
      </w:r>
    </w:p>
    <w:p w14:paraId="5781651E">
      <w:pPr>
        <w:spacing w:line="400" w:lineRule="exact"/>
        <w:ind w:right="12" w:firstLine="480"/>
        <w:rPr>
          <w:rFonts w:ascii="仿宋" w:hAnsi="仿宋" w:eastAsia="仿宋"/>
          <w:sz w:val="28"/>
          <w:szCs w:val="28"/>
        </w:rPr>
      </w:pPr>
      <w:r>
        <w:rPr>
          <w:rFonts w:hint="eastAsia" w:ascii="仿宋" w:hAnsi="仿宋" w:eastAsia="仿宋"/>
          <w:sz w:val="28"/>
          <w:szCs w:val="28"/>
        </w:rPr>
        <w:t>防水系统（喷淋系统，室内外消火栓系统），通风系统，消防风系统（正压送风系统，排烟及补风系统），燃气系统等。</w:t>
      </w:r>
    </w:p>
    <w:p w14:paraId="0AEF9A9B">
      <w:pPr>
        <w:spacing w:line="400" w:lineRule="exact"/>
        <w:ind w:right="12" w:firstLine="480"/>
        <w:rPr>
          <w:rFonts w:ascii="仿宋" w:hAnsi="仿宋" w:eastAsia="仿宋"/>
          <w:sz w:val="28"/>
          <w:szCs w:val="28"/>
        </w:rPr>
      </w:pPr>
    </w:p>
    <w:p w14:paraId="7993986B">
      <w:pPr>
        <w:spacing w:line="400" w:lineRule="exact"/>
        <w:ind w:right="12" w:firstLine="480"/>
        <w:rPr>
          <w:rFonts w:ascii="仿宋" w:hAnsi="仿宋" w:eastAsia="仿宋"/>
          <w:sz w:val="28"/>
          <w:szCs w:val="28"/>
        </w:rPr>
      </w:pPr>
    </w:p>
    <w:p w14:paraId="680C6B3C">
      <w:pPr>
        <w:spacing w:line="500" w:lineRule="exact"/>
        <w:jc w:val="center"/>
        <w:outlineLvl w:val="0"/>
        <w:rPr>
          <w:rFonts w:ascii="仿宋" w:hAnsi="仿宋" w:eastAsia="仿宋"/>
          <w:b/>
          <w:color w:val="000000"/>
          <w:sz w:val="28"/>
          <w:szCs w:val="28"/>
        </w:rPr>
      </w:pPr>
      <w:r>
        <w:rPr>
          <w:rFonts w:hint="eastAsia" w:ascii="仿宋" w:hAnsi="仿宋" w:eastAsia="仿宋"/>
          <w:b/>
          <w:color w:val="000000"/>
          <w:sz w:val="28"/>
          <w:szCs w:val="28"/>
        </w:rPr>
        <w:t>第三篇 项目商务要求</w:t>
      </w:r>
    </w:p>
    <w:p w14:paraId="195423FB">
      <w:pPr>
        <w:spacing w:line="400" w:lineRule="exact"/>
        <w:ind w:right="12" w:firstLine="480"/>
        <w:rPr>
          <w:rFonts w:ascii="仿宋" w:hAnsi="仿宋" w:eastAsia="仿宋"/>
          <w:color w:val="000000"/>
          <w:sz w:val="28"/>
          <w:szCs w:val="28"/>
        </w:rPr>
      </w:pPr>
      <w:bookmarkStart w:id="4" w:name="_Toc271791968"/>
      <w:bookmarkEnd w:id="4"/>
      <w:r>
        <w:rPr>
          <w:rFonts w:hint="eastAsia" w:ascii="仿宋" w:hAnsi="仿宋" w:eastAsia="仿宋"/>
          <w:color w:val="000000"/>
          <w:sz w:val="28"/>
          <w:szCs w:val="28"/>
        </w:rPr>
        <w:t>一、服务时间：从项目交房入伙开始计算，服务时间三年。</w:t>
      </w:r>
    </w:p>
    <w:p w14:paraId="1F5B904C">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二、地点：福江香郡三期小区。</w:t>
      </w:r>
    </w:p>
    <w:p w14:paraId="0040A5A7">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三、质量保证及售后服务内容：</w:t>
      </w:r>
    </w:p>
    <w:p w14:paraId="0F24F19C">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投标人应承诺提供的服务满足招标人要求。</w:t>
      </w:r>
    </w:p>
    <w:p w14:paraId="1EA052A2">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投标人应承诺根据招标人的合理建议，做好物业服务工作。</w:t>
      </w:r>
    </w:p>
    <w:p w14:paraId="69BB730A">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投标人应承诺对服务人员进行培训，以提高服务人员的服务意识和服务质量。</w:t>
      </w:r>
    </w:p>
    <w:p w14:paraId="5E9C79A4">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投标人可根据自身实力，作更为优惠的服务承诺。</w:t>
      </w:r>
    </w:p>
    <w:p w14:paraId="6BD189E0">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四、知识产权</w:t>
      </w:r>
    </w:p>
    <w:p w14:paraId="58542E9A">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招标人在中华人民共和国境内使用投标人提供的货物及服务时免受第三方提出的侵犯其专利权或其它知识产权的起诉。如果第三方提出侵权指控，中标人应承担由此而引起的一切法律责任和费用。</w:t>
      </w:r>
    </w:p>
    <w:p w14:paraId="7DCDB0BC">
      <w:pPr>
        <w:spacing w:line="400" w:lineRule="exact"/>
        <w:ind w:right="12" w:firstLine="480"/>
        <w:rPr>
          <w:rFonts w:ascii="仿宋" w:hAnsi="仿宋" w:eastAsia="仿宋"/>
          <w:color w:val="000000"/>
          <w:sz w:val="28"/>
          <w:szCs w:val="28"/>
        </w:rPr>
      </w:pPr>
      <w:bookmarkStart w:id="5" w:name="_Toc271791969"/>
      <w:bookmarkEnd w:id="5"/>
      <w:bookmarkStart w:id="6" w:name="_Toc271791971"/>
      <w:bookmarkEnd w:id="6"/>
      <w:r>
        <w:rPr>
          <w:rFonts w:hint="eastAsia" w:ascii="仿宋" w:hAnsi="仿宋" w:eastAsia="仿宋"/>
          <w:color w:val="000000"/>
          <w:sz w:val="28"/>
          <w:szCs w:val="28"/>
        </w:rPr>
        <w:t>五、其他未尽事宜由供需双方在商务合同中详细约定。</w:t>
      </w:r>
      <w:bookmarkStart w:id="7" w:name="_Toc311729662"/>
      <w:bookmarkEnd w:id="7"/>
    </w:p>
    <w:p w14:paraId="753A1C30">
      <w:pPr>
        <w:spacing w:line="500" w:lineRule="exact"/>
        <w:ind w:firstLine="560" w:firstLineChars="200"/>
        <w:jc w:val="left"/>
        <w:rPr>
          <w:rFonts w:ascii="仿宋" w:hAnsi="仿宋" w:eastAsia="仿宋"/>
          <w:color w:val="000000"/>
          <w:sz w:val="28"/>
          <w:szCs w:val="28"/>
        </w:rPr>
      </w:pPr>
    </w:p>
    <w:p w14:paraId="2B230A8B">
      <w:pPr>
        <w:snapToGrid w:val="0"/>
        <w:spacing w:line="500" w:lineRule="exact"/>
        <w:jc w:val="center"/>
        <w:outlineLvl w:val="0"/>
        <w:rPr>
          <w:rFonts w:ascii="仿宋" w:hAnsi="仿宋" w:eastAsia="仿宋"/>
          <w:b/>
          <w:color w:val="000000"/>
          <w:sz w:val="28"/>
          <w:szCs w:val="28"/>
        </w:rPr>
      </w:pPr>
      <w:r>
        <w:rPr>
          <w:rFonts w:hint="eastAsia" w:ascii="仿宋" w:hAnsi="仿宋" w:eastAsia="仿宋"/>
          <w:b/>
          <w:color w:val="000000"/>
          <w:sz w:val="28"/>
          <w:szCs w:val="28"/>
        </w:rPr>
        <w:t xml:space="preserve">第四篇 </w:t>
      </w:r>
      <w:bookmarkStart w:id="8" w:name="_Toc271791973"/>
      <w:bookmarkEnd w:id="8"/>
      <w:r>
        <w:rPr>
          <w:rFonts w:hint="eastAsia" w:ascii="仿宋" w:hAnsi="仿宋" w:eastAsia="仿宋"/>
          <w:b/>
          <w:color w:val="000000"/>
          <w:sz w:val="28"/>
          <w:szCs w:val="28"/>
        </w:rPr>
        <w:t>评标方法、评标标准、无效投标条款和废标条款</w:t>
      </w:r>
    </w:p>
    <w:p w14:paraId="440001F2">
      <w:pPr>
        <w:spacing w:line="400" w:lineRule="exact"/>
        <w:ind w:right="12" w:firstLine="480"/>
        <w:rPr>
          <w:rFonts w:ascii="仿宋" w:hAnsi="仿宋" w:eastAsia="仿宋"/>
          <w:color w:val="000000"/>
          <w:sz w:val="28"/>
          <w:szCs w:val="28"/>
        </w:rPr>
      </w:pPr>
      <w:bookmarkStart w:id="9" w:name="_Toc316654047"/>
      <w:bookmarkEnd w:id="9"/>
      <w:bookmarkStart w:id="10" w:name="_Toc311729664"/>
      <w:r>
        <w:rPr>
          <w:rFonts w:hint="eastAsia" w:ascii="仿宋" w:hAnsi="仿宋" w:eastAsia="仿宋"/>
          <w:color w:val="000000"/>
          <w:sz w:val="28"/>
          <w:szCs w:val="28"/>
        </w:rPr>
        <w:t>一、评标方法</w:t>
      </w:r>
      <w:bookmarkEnd w:id="10"/>
    </w:p>
    <w:p w14:paraId="003D1D6B">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（一）评标方法定义</w:t>
      </w:r>
    </w:p>
    <w:p w14:paraId="09A385DE">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本项目采用综合评分法进行评标。综合评分法是指投标文件满足招标文件全部实质性要求且按照评审因素的量化指标评审得分最高的投标人为中标候选人的评标方法。投标人总得分为价格、技术、答辩等评定因素分别按照相应权重值计算分项得分后相加，满分为100分。</w:t>
      </w:r>
    </w:p>
    <w:p w14:paraId="1BE35E32">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（二）评标程序</w:t>
      </w:r>
    </w:p>
    <w:p w14:paraId="63943649">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评标工作由招标机构负责组织，具体评标事务由依法组建的评标委员会负责（评标委员会成员由招标人到区物业办评标专家库随机抽取4名评标专家和1名招标人代表组成）。</w:t>
      </w:r>
    </w:p>
    <w:p w14:paraId="6F6496B3">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评标委员会成员到位后，推举其中一位评审专家担任评审组长，并由评审组长牵头组织该项目评审工作。评标委员会按以下程序独立履行评审职责：</w:t>
      </w:r>
    </w:p>
    <w:p w14:paraId="50C81C83">
      <w:pPr>
        <w:numPr>
          <w:ilvl w:val="0"/>
          <w:numId w:val="1"/>
        </w:num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资格性检查。依据法律法规和招标文件的规定，对投标文件中的资格证明等进行审查，以确定投标人是否具备投标资格。请投标人代表手持一份法定代表人授权委托书和身份证原件，以便监标人在评标会现场确认身份。</w:t>
      </w:r>
    </w:p>
    <w:p w14:paraId="069FE92D">
      <w:pPr>
        <w:spacing w:line="400" w:lineRule="exact"/>
        <w:ind w:right="12"/>
        <w:rPr>
          <w:rFonts w:ascii="仿宋" w:hAnsi="仿宋" w:eastAsia="仿宋"/>
          <w:color w:val="000000"/>
          <w:sz w:val="28"/>
          <w:szCs w:val="28"/>
        </w:rPr>
      </w:pPr>
    </w:p>
    <w:p w14:paraId="19A4194F">
      <w:pPr>
        <w:spacing w:line="400" w:lineRule="exact"/>
        <w:ind w:right="12"/>
        <w:rPr>
          <w:rFonts w:ascii="仿宋" w:hAnsi="仿宋" w:eastAsia="仿宋"/>
          <w:color w:val="000000"/>
          <w:sz w:val="28"/>
          <w:szCs w:val="28"/>
        </w:rPr>
      </w:pPr>
    </w:p>
    <w:p w14:paraId="4D5A6D77">
      <w:pPr>
        <w:spacing w:line="400" w:lineRule="exact"/>
        <w:ind w:right="12"/>
        <w:rPr>
          <w:rFonts w:ascii="仿宋" w:hAnsi="仿宋" w:eastAsia="仿宋"/>
          <w:color w:val="000000"/>
          <w:sz w:val="28"/>
          <w:szCs w:val="28"/>
        </w:rPr>
      </w:pPr>
    </w:p>
    <w:p w14:paraId="671A38C4">
      <w:pPr>
        <w:spacing w:line="400" w:lineRule="exact"/>
        <w:ind w:right="12"/>
        <w:rPr>
          <w:rFonts w:ascii="仿宋" w:hAnsi="仿宋" w:eastAsia="仿宋"/>
          <w:color w:val="000000"/>
          <w:sz w:val="28"/>
          <w:szCs w:val="28"/>
        </w:rPr>
      </w:pPr>
    </w:p>
    <w:p w14:paraId="69CA9D0B">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资格性检查资料表如下：</w:t>
      </w:r>
    </w:p>
    <w:tbl>
      <w:tblPr>
        <w:tblStyle w:val="11"/>
        <w:tblW w:w="10200" w:type="dxa"/>
        <w:tblInd w:w="-2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877"/>
        <w:gridCol w:w="4110"/>
        <w:gridCol w:w="4433"/>
      </w:tblGrid>
      <w:tr w14:paraId="37567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780" w:type="dxa"/>
            <w:vAlign w:val="center"/>
          </w:tcPr>
          <w:p w14:paraId="0C2B4809">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序号</w:t>
            </w:r>
          </w:p>
        </w:tc>
        <w:tc>
          <w:tcPr>
            <w:tcW w:w="4987" w:type="dxa"/>
            <w:gridSpan w:val="2"/>
            <w:vAlign w:val="center"/>
          </w:tcPr>
          <w:p w14:paraId="757603DA">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检查因素</w:t>
            </w:r>
          </w:p>
        </w:tc>
        <w:tc>
          <w:tcPr>
            <w:tcW w:w="4433" w:type="dxa"/>
            <w:vAlign w:val="center"/>
          </w:tcPr>
          <w:p w14:paraId="7EA224EC">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检查内容</w:t>
            </w:r>
          </w:p>
        </w:tc>
      </w:tr>
      <w:tr w14:paraId="7AEA2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trPr>
        <w:tc>
          <w:tcPr>
            <w:tcW w:w="780" w:type="dxa"/>
            <w:vMerge w:val="restart"/>
            <w:vAlign w:val="center"/>
          </w:tcPr>
          <w:p w14:paraId="43A9DAAA">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1</w:t>
            </w:r>
          </w:p>
        </w:tc>
        <w:tc>
          <w:tcPr>
            <w:tcW w:w="877" w:type="dxa"/>
            <w:vMerge w:val="restart"/>
            <w:vAlign w:val="center"/>
          </w:tcPr>
          <w:p w14:paraId="19E9C23C">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投标人应符合的基本资格条件</w:t>
            </w:r>
          </w:p>
        </w:tc>
        <w:tc>
          <w:tcPr>
            <w:tcW w:w="4110" w:type="dxa"/>
            <w:vAlign w:val="center"/>
          </w:tcPr>
          <w:p w14:paraId="74338F3A">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（1）具有独立承担民事责任的能力</w:t>
            </w:r>
          </w:p>
        </w:tc>
        <w:tc>
          <w:tcPr>
            <w:tcW w:w="4433" w:type="dxa"/>
            <w:vAlign w:val="center"/>
          </w:tcPr>
          <w:p w14:paraId="5B44A055">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投标人法人营业执照；</w:t>
            </w:r>
          </w:p>
          <w:p w14:paraId="120CDE54">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投标人法定代表人身份证明或法定代表人授权代表委托书。</w:t>
            </w:r>
          </w:p>
        </w:tc>
      </w:tr>
      <w:tr w14:paraId="1CCAA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780" w:type="dxa"/>
            <w:vMerge w:val="continue"/>
            <w:vAlign w:val="center"/>
          </w:tcPr>
          <w:p w14:paraId="2F085FAF">
            <w:pPr>
              <w:spacing w:line="400" w:lineRule="exact"/>
              <w:ind w:right="12" w:firstLine="480"/>
              <w:rPr>
                <w:rFonts w:ascii="仿宋" w:hAnsi="仿宋" w:eastAsia="仿宋"/>
                <w:color w:val="000000"/>
                <w:sz w:val="28"/>
                <w:szCs w:val="28"/>
              </w:rPr>
            </w:pPr>
          </w:p>
        </w:tc>
        <w:tc>
          <w:tcPr>
            <w:tcW w:w="877" w:type="dxa"/>
            <w:vMerge w:val="continue"/>
            <w:vAlign w:val="center"/>
          </w:tcPr>
          <w:p w14:paraId="7DA52826">
            <w:pPr>
              <w:spacing w:line="400" w:lineRule="exact"/>
              <w:ind w:right="12" w:firstLine="480"/>
              <w:rPr>
                <w:rFonts w:ascii="仿宋" w:hAnsi="仿宋" w:eastAsia="仿宋"/>
                <w:color w:val="000000"/>
                <w:sz w:val="28"/>
                <w:szCs w:val="28"/>
              </w:rPr>
            </w:pPr>
          </w:p>
        </w:tc>
        <w:tc>
          <w:tcPr>
            <w:tcW w:w="4110" w:type="dxa"/>
            <w:vAlign w:val="center"/>
          </w:tcPr>
          <w:p w14:paraId="16CCE837">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（2）具有良好的商业信誉和健全的财务会计制度</w:t>
            </w:r>
          </w:p>
        </w:tc>
        <w:tc>
          <w:tcPr>
            <w:tcW w:w="4433" w:type="dxa"/>
            <w:vMerge w:val="restart"/>
            <w:vAlign w:val="center"/>
          </w:tcPr>
          <w:p w14:paraId="1461A8FC">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投标人提供诚信声明</w:t>
            </w:r>
          </w:p>
        </w:tc>
      </w:tr>
      <w:tr w14:paraId="7B066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780" w:type="dxa"/>
            <w:vMerge w:val="continue"/>
            <w:vAlign w:val="center"/>
          </w:tcPr>
          <w:p w14:paraId="76C5E2A8">
            <w:pPr>
              <w:spacing w:line="400" w:lineRule="exact"/>
              <w:ind w:right="12" w:firstLine="480"/>
              <w:rPr>
                <w:rFonts w:ascii="仿宋" w:hAnsi="仿宋" w:eastAsia="仿宋"/>
                <w:color w:val="000000"/>
                <w:sz w:val="28"/>
                <w:szCs w:val="28"/>
              </w:rPr>
            </w:pPr>
          </w:p>
        </w:tc>
        <w:tc>
          <w:tcPr>
            <w:tcW w:w="877" w:type="dxa"/>
            <w:vMerge w:val="continue"/>
            <w:vAlign w:val="center"/>
          </w:tcPr>
          <w:p w14:paraId="2EF6739E">
            <w:pPr>
              <w:spacing w:line="400" w:lineRule="exact"/>
              <w:ind w:right="12" w:firstLine="480"/>
              <w:rPr>
                <w:rFonts w:ascii="仿宋" w:hAnsi="仿宋" w:eastAsia="仿宋"/>
                <w:color w:val="000000"/>
                <w:sz w:val="28"/>
                <w:szCs w:val="28"/>
              </w:rPr>
            </w:pPr>
          </w:p>
        </w:tc>
        <w:tc>
          <w:tcPr>
            <w:tcW w:w="4110" w:type="dxa"/>
            <w:vAlign w:val="center"/>
          </w:tcPr>
          <w:p w14:paraId="696C348F">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（3）具有履行合同所必需的设备和专业技术能力</w:t>
            </w:r>
          </w:p>
        </w:tc>
        <w:tc>
          <w:tcPr>
            <w:tcW w:w="4433" w:type="dxa"/>
            <w:vMerge w:val="continue"/>
            <w:vAlign w:val="center"/>
          </w:tcPr>
          <w:p w14:paraId="6877700B">
            <w:pPr>
              <w:spacing w:line="400" w:lineRule="exact"/>
              <w:ind w:right="12" w:firstLine="480"/>
              <w:rPr>
                <w:rFonts w:ascii="仿宋" w:hAnsi="仿宋" w:eastAsia="仿宋"/>
                <w:color w:val="000000"/>
                <w:sz w:val="28"/>
                <w:szCs w:val="28"/>
              </w:rPr>
            </w:pPr>
          </w:p>
        </w:tc>
      </w:tr>
      <w:tr w14:paraId="4BFD2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780" w:type="dxa"/>
            <w:vMerge w:val="continue"/>
            <w:vAlign w:val="center"/>
          </w:tcPr>
          <w:p w14:paraId="6B1EE9D7">
            <w:pPr>
              <w:spacing w:line="400" w:lineRule="exact"/>
              <w:ind w:right="12" w:firstLine="480"/>
              <w:rPr>
                <w:rFonts w:ascii="仿宋" w:hAnsi="仿宋" w:eastAsia="仿宋"/>
                <w:color w:val="000000"/>
                <w:sz w:val="28"/>
                <w:szCs w:val="28"/>
              </w:rPr>
            </w:pPr>
          </w:p>
        </w:tc>
        <w:tc>
          <w:tcPr>
            <w:tcW w:w="877" w:type="dxa"/>
            <w:vMerge w:val="continue"/>
            <w:vAlign w:val="center"/>
          </w:tcPr>
          <w:p w14:paraId="260C4650">
            <w:pPr>
              <w:spacing w:line="400" w:lineRule="exact"/>
              <w:ind w:right="12" w:firstLine="480"/>
              <w:rPr>
                <w:rFonts w:ascii="仿宋" w:hAnsi="仿宋" w:eastAsia="仿宋"/>
                <w:color w:val="000000"/>
                <w:sz w:val="28"/>
                <w:szCs w:val="28"/>
              </w:rPr>
            </w:pPr>
          </w:p>
        </w:tc>
        <w:tc>
          <w:tcPr>
            <w:tcW w:w="4110" w:type="dxa"/>
            <w:vAlign w:val="center"/>
          </w:tcPr>
          <w:p w14:paraId="5DB060D7">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（4）有依法缴纳税收的良好记录</w:t>
            </w:r>
          </w:p>
        </w:tc>
        <w:tc>
          <w:tcPr>
            <w:tcW w:w="4433" w:type="dxa"/>
            <w:vMerge w:val="continue"/>
            <w:vAlign w:val="center"/>
          </w:tcPr>
          <w:p w14:paraId="11620B30">
            <w:pPr>
              <w:spacing w:line="400" w:lineRule="exact"/>
              <w:ind w:right="12" w:firstLine="480"/>
              <w:rPr>
                <w:rFonts w:ascii="仿宋" w:hAnsi="仿宋" w:eastAsia="仿宋"/>
                <w:color w:val="000000"/>
                <w:sz w:val="28"/>
                <w:szCs w:val="28"/>
              </w:rPr>
            </w:pPr>
          </w:p>
        </w:tc>
      </w:tr>
      <w:tr w14:paraId="4B1E5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780" w:type="dxa"/>
            <w:vAlign w:val="center"/>
          </w:tcPr>
          <w:p w14:paraId="12B32FAD">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2</w:t>
            </w:r>
          </w:p>
        </w:tc>
        <w:tc>
          <w:tcPr>
            <w:tcW w:w="4987" w:type="dxa"/>
            <w:gridSpan w:val="2"/>
            <w:vAlign w:val="center"/>
          </w:tcPr>
          <w:p w14:paraId="01B04510">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特定资格条件：投标人营业执照经营范围必须有物业管理。</w:t>
            </w:r>
          </w:p>
        </w:tc>
        <w:tc>
          <w:tcPr>
            <w:tcW w:w="4433" w:type="dxa"/>
            <w:vAlign w:val="center"/>
          </w:tcPr>
          <w:p w14:paraId="5840A0CE">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证明材料的复印件（加盖投标人公章），原件备查</w:t>
            </w:r>
          </w:p>
        </w:tc>
      </w:tr>
      <w:tr w14:paraId="0F273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780" w:type="dxa"/>
            <w:vAlign w:val="center"/>
          </w:tcPr>
          <w:p w14:paraId="68861A2D">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3</w:t>
            </w:r>
          </w:p>
        </w:tc>
        <w:tc>
          <w:tcPr>
            <w:tcW w:w="4987" w:type="dxa"/>
            <w:gridSpan w:val="2"/>
            <w:vAlign w:val="center"/>
          </w:tcPr>
          <w:p w14:paraId="6B84AF9C">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投标人明确承诺提供四级住宅物业服务或以上服务标准</w:t>
            </w:r>
          </w:p>
        </w:tc>
        <w:tc>
          <w:tcPr>
            <w:tcW w:w="4433" w:type="dxa"/>
            <w:vAlign w:val="center"/>
          </w:tcPr>
          <w:p w14:paraId="0B18F382">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投标人在投标文件中明确承诺提供四级住宅物业服务以上服务标准，并清楚列举条款</w:t>
            </w:r>
          </w:p>
        </w:tc>
      </w:tr>
      <w:tr w14:paraId="21B15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780" w:type="dxa"/>
            <w:vAlign w:val="center"/>
          </w:tcPr>
          <w:p w14:paraId="6DAB5998">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4</w:t>
            </w:r>
          </w:p>
        </w:tc>
        <w:tc>
          <w:tcPr>
            <w:tcW w:w="4987" w:type="dxa"/>
            <w:gridSpan w:val="2"/>
            <w:vAlign w:val="center"/>
          </w:tcPr>
          <w:p w14:paraId="551099D4">
            <w:pPr>
              <w:spacing w:line="400" w:lineRule="exact"/>
              <w:ind w:right="12"/>
              <w:rPr>
                <w:rFonts w:ascii="仿宋" w:hAnsi="仿宋" w:eastAsia="仿宋"/>
                <w:color w:val="000000"/>
                <w:sz w:val="28"/>
                <w:szCs w:val="28"/>
              </w:rPr>
            </w:pPr>
            <w:r>
              <w:rPr>
                <w:rFonts w:ascii="仿宋" w:hAnsi="仿宋" w:eastAsia="仿宋"/>
                <w:color w:val="000000"/>
                <w:sz w:val="28"/>
                <w:szCs w:val="28"/>
              </w:rPr>
              <w:t>投标人</w:t>
            </w:r>
            <w:r>
              <w:rPr>
                <w:rFonts w:hint="eastAsia" w:ascii="仿宋" w:hAnsi="仿宋" w:eastAsia="仿宋"/>
                <w:color w:val="000000"/>
                <w:sz w:val="28"/>
                <w:szCs w:val="28"/>
              </w:rPr>
              <w:t>对应</w:t>
            </w:r>
            <w:r>
              <w:rPr>
                <w:rFonts w:ascii="仿宋" w:hAnsi="仿宋" w:eastAsia="仿宋"/>
                <w:color w:val="000000"/>
                <w:sz w:val="28"/>
                <w:szCs w:val="28"/>
              </w:rPr>
              <w:t>第三篇要求提供商务响应差异情况表</w:t>
            </w:r>
          </w:p>
        </w:tc>
        <w:tc>
          <w:tcPr>
            <w:tcW w:w="4433" w:type="dxa"/>
            <w:vAlign w:val="center"/>
          </w:tcPr>
          <w:p w14:paraId="700F0BFA">
            <w:pPr>
              <w:spacing w:line="400" w:lineRule="exact"/>
              <w:ind w:right="12"/>
              <w:rPr>
                <w:rFonts w:ascii="仿宋" w:hAnsi="仿宋" w:eastAsia="仿宋"/>
                <w:color w:val="000000"/>
                <w:sz w:val="28"/>
                <w:szCs w:val="28"/>
              </w:rPr>
            </w:pPr>
            <w:r>
              <w:rPr>
                <w:rFonts w:ascii="仿宋" w:hAnsi="仿宋" w:eastAsia="仿宋"/>
                <w:color w:val="000000"/>
                <w:sz w:val="28"/>
                <w:szCs w:val="28"/>
              </w:rPr>
              <w:t>投标人</w:t>
            </w:r>
            <w:r>
              <w:rPr>
                <w:rFonts w:hint="eastAsia" w:ascii="仿宋" w:hAnsi="仿宋" w:eastAsia="仿宋"/>
                <w:color w:val="000000"/>
                <w:sz w:val="28"/>
                <w:szCs w:val="28"/>
              </w:rPr>
              <w:t>对应</w:t>
            </w:r>
            <w:r>
              <w:rPr>
                <w:rFonts w:ascii="仿宋" w:hAnsi="仿宋" w:eastAsia="仿宋"/>
                <w:color w:val="000000"/>
                <w:sz w:val="28"/>
                <w:szCs w:val="28"/>
              </w:rPr>
              <w:t>第三篇要求提供商务响应差异情况表</w:t>
            </w:r>
            <w:r>
              <w:rPr>
                <w:rFonts w:hint="eastAsia" w:ascii="仿宋" w:hAnsi="仿宋" w:eastAsia="仿宋"/>
                <w:color w:val="000000"/>
                <w:sz w:val="28"/>
                <w:szCs w:val="28"/>
              </w:rPr>
              <w:t>，</w:t>
            </w:r>
            <w:r>
              <w:rPr>
                <w:rFonts w:ascii="仿宋" w:hAnsi="仿宋" w:eastAsia="仿宋"/>
                <w:color w:val="000000"/>
                <w:sz w:val="28"/>
                <w:szCs w:val="28"/>
              </w:rPr>
              <w:t>且只允许</w:t>
            </w:r>
            <w:r>
              <w:rPr>
                <w:rFonts w:hint="eastAsia" w:ascii="仿宋" w:hAnsi="仿宋" w:eastAsia="仿宋"/>
                <w:color w:val="000000"/>
                <w:sz w:val="28"/>
                <w:szCs w:val="28"/>
              </w:rPr>
              <w:t>无差异或</w:t>
            </w:r>
            <w:r>
              <w:rPr>
                <w:rFonts w:ascii="仿宋" w:hAnsi="仿宋" w:eastAsia="仿宋"/>
                <w:color w:val="000000"/>
                <w:sz w:val="28"/>
                <w:szCs w:val="28"/>
              </w:rPr>
              <w:t>正差异</w:t>
            </w:r>
          </w:p>
        </w:tc>
      </w:tr>
    </w:tbl>
    <w:p w14:paraId="76E09F76">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2、符合性检查。依据招标文件的规定，从投标文件的有效性、完整性和对招标文件的响应程度进行审查，以确定是否对招标文件的要求作出响应。</w:t>
      </w:r>
    </w:p>
    <w:p w14:paraId="57AFCA3D">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符合性检查资料表如下：</w:t>
      </w:r>
    </w:p>
    <w:tbl>
      <w:tblPr>
        <w:tblStyle w:val="1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34"/>
        <w:gridCol w:w="2410"/>
        <w:gridCol w:w="5409"/>
      </w:tblGrid>
      <w:tr w14:paraId="67251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57E9E082">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序号</w:t>
            </w:r>
          </w:p>
        </w:tc>
        <w:tc>
          <w:tcPr>
            <w:tcW w:w="3544" w:type="dxa"/>
            <w:gridSpan w:val="2"/>
            <w:vAlign w:val="center"/>
          </w:tcPr>
          <w:p w14:paraId="47314DB3">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评审因素</w:t>
            </w:r>
          </w:p>
        </w:tc>
        <w:tc>
          <w:tcPr>
            <w:tcW w:w="5409" w:type="dxa"/>
            <w:vAlign w:val="center"/>
          </w:tcPr>
          <w:p w14:paraId="0F724D83">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评审标准</w:t>
            </w:r>
          </w:p>
        </w:tc>
      </w:tr>
      <w:tr w14:paraId="5B3B4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54714428">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1</w:t>
            </w:r>
          </w:p>
        </w:tc>
        <w:tc>
          <w:tcPr>
            <w:tcW w:w="1134" w:type="dxa"/>
            <w:vMerge w:val="restart"/>
            <w:vAlign w:val="center"/>
          </w:tcPr>
          <w:p w14:paraId="4087E7C5">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有效性审查</w:t>
            </w:r>
          </w:p>
        </w:tc>
        <w:tc>
          <w:tcPr>
            <w:tcW w:w="2410" w:type="dxa"/>
            <w:vAlign w:val="center"/>
          </w:tcPr>
          <w:p w14:paraId="12DF98D8">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投标文件签署</w:t>
            </w:r>
          </w:p>
        </w:tc>
        <w:tc>
          <w:tcPr>
            <w:tcW w:w="5409" w:type="dxa"/>
            <w:vAlign w:val="center"/>
          </w:tcPr>
          <w:p w14:paraId="44F47433">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投标文件内法定代表人或其授权代表人的签字和公章齐全。封面和签字盖章页内，对招标人、代理公司和投标公司必须以全称称呼和落款。</w:t>
            </w:r>
          </w:p>
        </w:tc>
      </w:tr>
      <w:tr w14:paraId="4F6A1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447B8840">
            <w:pPr>
              <w:spacing w:line="400" w:lineRule="exact"/>
              <w:ind w:right="12" w:firstLine="480"/>
              <w:rPr>
                <w:rFonts w:ascii="仿宋" w:hAnsi="仿宋" w:eastAsia="仿宋"/>
                <w:color w:val="000000"/>
                <w:sz w:val="28"/>
                <w:szCs w:val="28"/>
              </w:rPr>
            </w:pPr>
          </w:p>
        </w:tc>
        <w:tc>
          <w:tcPr>
            <w:tcW w:w="1134" w:type="dxa"/>
            <w:vMerge w:val="continue"/>
            <w:vAlign w:val="center"/>
          </w:tcPr>
          <w:p w14:paraId="36F8D57A">
            <w:pPr>
              <w:spacing w:line="400" w:lineRule="exact"/>
              <w:ind w:right="12" w:firstLine="480"/>
              <w:rPr>
                <w:rFonts w:ascii="仿宋" w:hAnsi="仿宋" w:eastAsia="仿宋"/>
                <w:color w:val="000000"/>
                <w:sz w:val="28"/>
                <w:szCs w:val="28"/>
              </w:rPr>
            </w:pPr>
          </w:p>
        </w:tc>
        <w:tc>
          <w:tcPr>
            <w:tcW w:w="2410" w:type="dxa"/>
            <w:vAlign w:val="center"/>
          </w:tcPr>
          <w:p w14:paraId="1833BF4C">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法定代表人身份证明或授权委托书</w:t>
            </w:r>
          </w:p>
        </w:tc>
        <w:tc>
          <w:tcPr>
            <w:tcW w:w="5409" w:type="dxa"/>
            <w:vAlign w:val="center"/>
          </w:tcPr>
          <w:p w14:paraId="3360ADB4">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法定代表人身份证明或授权委托书有效，符合招标文件规定的格式且签章齐全。</w:t>
            </w:r>
          </w:p>
        </w:tc>
      </w:tr>
      <w:tr w14:paraId="14615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03A44C09">
            <w:pPr>
              <w:spacing w:line="400" w:lineRule="exact"/>
              <w:ind w:right="12" w:firstLine="480"/>
              <w:rPr>
                <w:rFonts w:ascii="仿宋" w:hAnsi="仿宋" w:eastAsia="仿宋"/>
                <w:color w:val="000000"/>
                <w:sz w:val="28"/>
                <w:szCs w:val="28"/>
              </w:rPr>
            </w:pPr>
          </w:p>
        </w:tc>
        <w:tc>
          <w:tcPr>
            <w:tcW w:w="1134" w:type="dxa"/>
            <w:vMerge w:val="continue"/>
            <w:vAlign w:val="center"/>
          </w:tcPr>
          <w:p w14:paraId="2352EF03">
            <w:pPr>
              <w:spacing w:line="400" w:lineRule="exact"/>
              <w:ind w:right="12" w:firstLine="480"/>
              <w:rPr>
                <w:rFonts w:ascii="仿宋" w:hAnsi="仿宋" w:eastAsia="仿宋"/>
                <w:color w:val="000000"/>
                <w:sz w:val="28"/>
                <w:szCs w:val="28"/>
              </w:rPr>
            </w:pPr>
          </w:p>
        </w:tc>
        <w:tc>
          <w:tcPr>
            <w:tcW w:w="2410" w:type="dxa"/>
            <w:vAlign w:val="center"/>
          </w:tcPr>
          <w:p w14:paraId="267FC6FC">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投标方案</w:t>
            </w:r>
          </w:p>
        </w:tc>
        <w:tc>
          <w:tcPr>
            <w:tcW w:w="5409" w:type="dxa"/>
            <w:vAlign w:val="center"/>
          </w:tcPr>
          <w:p w14:paraId="54952BDD">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每个合同包只能有一个方案投标。</w:t>
            </w:r>
          </w:p>
        </w:tc>
      </w:tr>
      <w:tr w14:paraId="4C8E4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40C12823">
            <w:pPr>
              <w:spacing w:line="400" w:lineRule="exact"/>
              <w:ind w:right="12" w:firstLine="480"/>
              <w:rPr>
                <w:rFonts w:ascii="仿宋" w:hAnsi="仿宋" w:eastAsia="仿宋"/>
                <w:color w:val="000000"/>
                <w:sz w:val="28"/>
                <w:szCs w:val="28"/>
              </w:rPr>
            </w:pPr>
          </w:p>
        </w:tc>
        <w:tc>
          <w:tcPr>
            <w:tcW w:w="1134" w:type="dxa"/>
            <w:vMerge w:val="continue"/>
            <w:vAlign w:val="center"/>
          </w:tcPr>
          <w:p w14:paraId="0DC2A88F">
            <w:pPr>
              <w:spacing w:line="400" w:lineRule="exact"/>
              <w:ind w:right="12" w:firstLine="480"/>
              <w:rPr>
                <w:rFonts w:ascii="仿宋" w:hAnsi="仿宋" w:eastAsia="仿宋"/>
                <w:color w:val="000000"/>
                <w:sz w:val="28"/>
                <w:szCs w:val="28"/>
              </w:rPr>
            </w:pPr>
          </w:p>
        </w:tc>
        <w:tc>
          <w:tcPr>
            <w:tcW w:w="2410" w:type="dxa"/>
            <w:vAlign w:val="center"/>
          </w:tcPr>
          <w:p w14:paraId="15E204AB">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报价唯一</w:t>
            </w:r>
          </w:p>
        </w:tc>
        <w:tc>
          <w:tcPr>
            <w:tcW w:w="5409" w:type="dxa"/>
            <w:vAlign w:val="center"/>
          </w:tcPr>
          <w:p w14:paraId="3AFF33A5">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只能在限价范围内报价，只能有一个有效报价，不得提交选择性报价。</w:t>
            </w:r>
          </w:p>
        </w:tc>
      </w:tr>
      <w:tr w14:paraId="4991E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75" w:type="dxa"/>
            <w:vMerge w:val="restart"/>
            <w:vAlign w:val="center"/>
          </w:tcPr>
          <w:p w14:paraId="080C5EBC">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2</w:t>
            </w:r>
          </w:p>
        </w:tc>
        <w:tc>
          <w:tcPr>
            <w:tcW w:w="1134" w:type="dxa"/>
            <w:vMerge w:val="restart"/>
            <w:vAlign w:val="center"/>
          </w:tcPr>
          <w:p w14:paraId="034C384E">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完整性审查</w:t>
            </w:r>
          </w:p>
        </w:tc>
        <w:tc>
          <w:tcPr>
            <w:tcW w:w="2410" w:type="dxa"/>
            <w:vAlign w:val="center"/>
          </w:tcPr>
          <w:p w14:paraId="33053D6A">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投标文件份数</w:t>
            </w:r>
          </w:p>
        </w:tc>
        <w:tc>
          <w:tcPr>
            <w:tcW w:w="5409" w:type="dxa"/>
            <w:vAlign w:val="center"/>
          </w:tcPr>
          <w:p w14:paraId="2EBC3B76">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投标文件正、副本数量符合招标文件要求。</w:t>
            </w:r>
          </w:p>
        </w:tc>
      </w:tr>
      <w:tr w14:paraId="4112D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75" w:type="dxa"/>
            <w:vMerge w:val="continue"/>
            <w:vAlign w:val="center"/>
          </w:tcPr>
          <w:p w14:paraId="55CE2F7C">
            <w:pPr>
              <w:spacing w:line="400" w:lineRule="exact"/>
              <w:ind w:right="12" w:firstLine="480"/>
              <w:rPr>
                <w:rFonts w:ascii="仿宋" w:hAnsi="仿宋" w:eastAsia="仿宋"/>
                <w:color w:val="000000"/>
                <w:sz w:val="28"/>
                <w:szCs w:val="28"/>
              </w:rPr>
            </w:pPr>
          </w:p>
        </w:tc>
        <w:tc>
          <w:tcPr>
            <w:tcW w:w="1134" w:type="dxa"/>
            <w:vMerge w:val="continue"/>
            <w:vAlign w:val="center"/>
          </w:tcPr>
          <w:p w14:paraId="2B843DC7">
            <w:pPr>
              <w:spacing w:line="400" w:lineRule="exact"/>
              <w:ind w:right="12" w:firstLine="480"/>
              <w:rPr>
                <w:rFonts w:ascii="仿宋" w:hAnsi="仿宋" w:eastAsia="仿宋"/>
                <w:color w:val="000000"/>
                <w:sz w:val="28"/>
                <w:szCs w:val="28"/>
              </w:rPr>
            </w:pPr>
          </w:p>
        </w:tc>
        <w:tc>
          <w:tcPr>
            <w:tcW w:w="2410" w:type="dxa"/>
            <w:vAlign w:val="center"/>
          </w:tcPr>
          <w:p w14:paraId="2D1E5C1E">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投标文件内容</w:t>
            </w:r>
          </w:p>
        </w:tc>
        <w:tc>
          <w:tcPr>
            <w:tcW w:w="5409" w:type="dxa"/>
            <w:vAlign w:val="center"/>
          </w:tcPr>
          <w:p w14:paraId="4543A00F">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投标文件封面、目录、技术部分、经济部分齐全、无遗漏。</w:t>
            </w:r>
          </w:p>
        </w:tc>
      </w:tr>
      <w:tr w14:paraId="7DCAC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675" w:type="dxa"/>
            <w:vMerge w:val="restart"/>
            <w:vAlign w:val="center"/>
          </w:tcPr>
          <w:p w14:paraId="6C796CF2">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3</w:t>
            </w:r>
          </w:p>
        </w:tc>
        <w:tc>
          <w:tcPr>
            <w:tcW w:w="1134" w:type="dxa"/>
            <w:vMerge w:val="restart"/>
            <w:vAlign w:val="center"/>
          </w:tcPr>
          <w:p w14:paraId="27C3CA4C">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招标文件的响应程度审查</w:t>
            </w:r>
          </w:p>
        </w:tc>
        <w:tc>
          <w:tcPr>
            <w:tcW w:w="2410" w:type="dxa"/>
            <w:vAlign w:val="center"/>
          </w:tcPr>
          <w:p w14:paraId="3FDEAE9D">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投标文件内容</w:t>
            </w:r>
          </w:p>
        </w:tc>
        <w:tc>
          <w:tcPr>
            <w:tcW w:w="5409" w:type="dxa"/>
            <w:vAlign w:val="center"/>
          </w:tcPr>
          <w:p w14:paraId="790E3634">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对招标文件规定的招标内容全部作出响应。</w:t>
            </w:r>
          </w:p>
        </w:tc>
      </w:tr>
      <w:tr w14:paraId="76CD1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vAlign w:val="center"/>
          </w:tcPr>
          <w:p w14:paraId="0CFA17C9">
            <w:pPr>
              <w:spacing w:line="400" w:lineRule="exact"/>
              <w:ind w:right="12" w:firstLine="480"/>
              <w:rPr>
                <w:rFonts w:ascii="仿宋" w:hAnsi="仿宋" w:eastAsia="仿宋"/>
                <w:color w:val="000000"/>
                <w:sz w:val="28"/>
                <w:szCs w:val="28"/>
              </w:rPr>
            </w:pPr>
          </w:p>
        </w:tc>
        <w:tc>
          <w:tcPr>
            <w:tcW w:w="1134" w:type="dxa"/>
            <w:vMerge w:val="continue"/>
            <w:vAlign w:val="center"/>
          </w:tcPr>
          <w:p w14:paraId="5D540B2E">
            <w:pPr>
              <w:spacing w:line="400" w:lineRule="exact"/>
              <w:ind w:right="12" w:firstLine="480"/>
              <w:rPr>
                <w:rFonts w:ascii="仿宋" w:hAnsi="仿宋" w:eastAsia="仿宋"/>
                <w:color w:val="000000"/>
                <w:sz w:val="28"/>
                <w:szCs w:val="28"/>
              </w:rPr>
            </w:pPr>
          </w:p>
        </w:tc>
        <w:tc>
          <w:tcPr>
            <w:tcW w:w="2410" w:type="dxa"/>
            <w:vAlign w:val="center"/>
          </w:tcPr>
          <w:p w14:paraId="4AAD46AB">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投标有效期</w:t>
            </w:r>
          </w:p>
        </w:tc>
        <w:tc>
          <w:tcPr>
            <w:tcW w:w="5409" w:type="dxa"/>
            <w:vAlign w:val="center"/>
          </w:tcPr>
          <w:p w14:paraId="59B8BF59">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满足招标文件规定。</w:t>
            </w:r>
          </w:p>
        </w:tc>
      </w:tr>
    </w:tbl>
    <w:p w14:paraId="5E23946D">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3、澄清有关问题。对投标文件中含义不明确、同类问题表述不一致或者有明显文字和计算错误的内容，评标委员会可以现场要求投标人作出必要澄清、说明或者纠正。投标人的澄清、说明或者补正应当采用书面形式，由其法人或法人授权代表签字，其澄清的内容不得超出投标文件的范围或者改变投标文件的实质性内容。</w:t>
      </w:r>
    </w:p>
    <w:p w14:paraId="66D36543">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4、比较与评价。按招标文件中规定的评标方法和标准，对资格性检查和符合性检查合格的投标文件进行商务和技术评估。</w:t>
      </w:r>
    </w:p>
    <w:p w14:paraId="06B24498">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评标委员会各成员独立对每个有效投标人的投标文件进行评价、打分，然后由评审组长组织评标委员会成员对各评委打分情况进行核查及复核，个别评委对同一投标人同一评分项的打分偏离较大的，应对投标人的投标文件进行再次核对，确属打分有误的，应及时进行修正。</w:t>
      </w:r>
    </w:p>
    <w:p w14:paraId="3C46B0D6">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复核后，招标代理机构汇总每个投标人每项评分因素的得分。</w:t>
      </w:r>
    </w:p>
    <w:p w14:paraId="69108D20">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5、推荐中标候选人名单。按评审后得分由高到低的排列顺序推荐综合得分排名前三的投标人为本分包（项目）中标候选人，排名第一的为第一中标候选人。得分相同的，按经济标得分由高到低顺序排列。</w:t>
      </w:r>
    </w:p>
    <w:p w14:paraId="0D620ED9">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二、评标标准</w:t>
      </w:r>
      <w:bookmarkStart w:id="11" w:name="_Toc311729665"/>
      <w:bookmarkEnd w:id="11"/>
      <w:r>
        <w:rPr>
          <w:rFonts w:hint="eastAsia" w:ascii="仿宋" w:hAnsi="仿宋" w:eastAsia="仿宋"/>
          <w:color w:val="000000"/>
          <w:sz w:val="28"/>
          <w:szCs w:val="28"/>
        </w:rPr>
        <w:t>：</w:t>
      </w:r>
    </w:p>
    <w:tbl>
      <w:tblPr>
        <w:tblStyle w:val="11"/>
        <w:tblW w:w="9921" w:type="dxa"/>
        <w:tblInd w:w="-34" w:type="dxa"/>
        <w:tblLayout w:type="fixed"/>
        <w:tblCellMar>
          <w:top w:w="0" w:type="dxa"/>
          <w:left w:w="108" w:type="dxa"/>
          <w:bottom w:w="0" w:type="dxa"/>
          <w:right w:w="108" w:type="dxa"/>
        </w:tblCellMar>
      </w:tblPr>
      <w:tblGrid>
        <w:gridCol w:w="1359"/>
        <w:gridCol w:w="828"/>
        <w:gridCol w:w="6907"/>
        <w:gridCol w:w="827"/>
      </w:tblGrid>
      <w:tr w14:paraId="4F20DD34">
        <w:tblPrEx>
          <w:tblCellMar>
            <w:top w:w="0" w:type="dxa"/>
            <w:left w:w="108" w:type="dxa"/>
            <w:bottom w:w="0" w:type="dxa"/>
            <w:right w:w="108" w:type="dxa"/>
          </w:tblCellMar>
        </w:tblPrEx>
        <w:trPr>
          <w:trHeight w:val="361" w:hRule="atLeast"/>
        </w:trPr>
        <w:tc>
          <w:tcPr>
            <w:tcW w:w="1359" w:type="dxa"/>
            <w:tcBorders>
              <w:top w:val="single" w:color="000000" w:sz="4" w:space="0"/>
              <w:left w:val="single" w:color="000000" w:sz="4" w:space="0"/>
              <w:bottom w:val="single" w:color="000000" w:sz="4" w:space="0"/>
              <w:right w:val="single" w:color="auto" w:sz="4" w:space="0"/>
            </w:tcBorders>
            <w:vAlign w:val="center"/>
          </w:tcPr>
          <w:p w14:paraId="33DD7F11">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评分因素及权重</w:t>
            </w:r>
          </w:p>
        </w:tc>
        <w:tc>
          <w:tcPr>
            <w:tcW w:w="828" w:type="dxa"/>
            <w:tcBorders>
              <w:top w:val="single" w:color="000000" w:sz="4" w:space="0"/>
              <w:left w:val="single" w:color="auto" w:sz="4" w:space="0"/>
              <w:bottom w:val="single" w:color="000000" w:sz="4" w:space="0"/>
              <w:right w:val="single" w:color="000000" w:sz="4" w:space="0"/>
            </w:tcBorders>
            <w:vAlign w:val="center"/>
          </w:tcPr>
          <w:p w14:paraId="7EEA0F4E">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 xml:space="preserve">分值 </w:t>
            </w:r>
          </w:p>
        </w:tc>
        <w:tc>
          <w:tcPr>
            <w:tcW w:w="6907" w:type="dxa"/>
            <w:tcBorders>
              <w:top w:val="single" w:color="000000" w:sz="4" w:space="0"/>
              <w:left w:val="nil"/>
              <w:bottom w:val="single" w:color="000000" w:sz="4" w:space="0"/>
              <w:right w:val="single" w:color="000000" w:sz="4" w:space="0"/>
            </w:tcBorders>
            <w:vAlign w:val="center"/>
          </w:tcPr>
          <w:p w14:paraId="11D34C29">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评分标准</w:t>
            </w:r>
          </w:p>
        </w:tc>
        <w:tc>
          <w:tcPr>
            <w:tcW w:w="827" w:type="dxa"/>
            <w:tcBorders>
              <w:top w:val="single" w:color="000000" w:sz="4" w:space="0"/>
              <w:left w:val="nil"/>
              <w:bottom w:val="single" w:color="000000" w:sz="4" w:space="0"/>
              <w:right w:val="single" w:color="000000" w:sz="4" w:space="0"/>
            </w:tcBorders>
            <w:vAlign w:val="center"/>
          </w:tcPr>
          <w:p w14:paraId="0554362F">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 xml:space="preserve">说明 </w:t>
            </w:r>
          </w:p>
        </w:tc>
      </w:tr>
      <w:tr w14:paraId="27AAEC84">
        <w:tblPrEx>
          <w:tblCellMar>
            <w:top w:w="0" w:type="dxa"/>
            <w:left w:w="108" w:type="dxa"/>
            <w:bottom w:w="0" w:type="dxa"/>
            <w:right w:w="108" w:type="dxa"/>
          </w:tblCellMar>
        </w:tblPrEx>
        <w:trPr>
          <w:trHeight w:val="818" w:hRule="atLeast"/>
        </w:trPr>
        <w:tc>
          <w:tcPr>
            <w:tcW w:w="1359" w:type="dxa"/>
            <w:vMerge w:val="restart"/>
            <w:tcBorders>
              <w:top w:val="single" w:color="auto" w:sz="4" w:space="0"/>
              <w:left w:val="single" w:color="000000" w:sz="4" w:space="0"/>
              <w:right w:val="single" w:color="auto" w:sz="4" w:space="0"/>
            </w:tcBorders>
            <w:vAlign w:val="center"/>
          </w:tcPr>
          <w:p w14:paraId="7CB56019">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商务</w:t>
            </w:r>
          </w:p>
          <w:p w14:paraId="0FF80C72">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部分</w:t>
            </w:r>
          </w:p>
          <w:p w14:paraId="3EA95A78">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10%</w:t>
            </w:r>
          </w:p>
        </w:tc>
        <w:tc>
          <w:tcPr>
            <w:tcW w:w="828" w:type="dxa"/>
            <w:vMerge w:val="restart"/>
            <w:tcBorders>
              <w:top w:val="single" w:color="auto" w:sz="4" w:space="0"/>
              <w:left w:val="single" w:color="auto" w:sz="4" w:space="0"/>
              <w:right w:val="single" w:color="000000" w:sz="4" w:space="0"/>
            </w:tcBorders>
            <w:vAlign w:val="center"/>
          </w:tcPr>
          <w:p w14:paraId="4EA79B3C">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10分</w:t>
            </w:r>
          </w:p>
        </w:tc>
        <w:tc>
          <w:tcPr>
            <w:tcW w:w="6907" w:type="dxa"/>
            <w:tcBorders>
              <w:top w:val="single" w:color="000000" w:sz="4" w:space="0"/>
              <w:left w:val="nil"/>
              <w:bottom w:val="single" w:color="auto" w:sz="4" w:space="0"/>
              <w:right w:val="single" w:color="000000" w:sz="4" w:space="0"/>
            </w:tcBorders>
            <w:vAlign w:val="center"/>
          </w:tcPr>
          <w:p w14:paraId="4847A967">
            <w:pPr>
              <w:spacing w:line="400" w:lineRule="exact"/>
              <w:ind w:right="12"/>
              <w:jc w:val="center"/>
              <w:rPr>
                <w:rFonts w:ascii="仿宋" w:hAnsi="仿宋" w:eastAsia="仿宋"/>
                <w:sz w:val="28"/>
                <w:szCs w:val="28"/>
              </w:rPr>
            </w:pPr>
            <w:r>
              <w:rPr>
                <w:rFonts w:hint="eastAsia" w:ascii="仿宋" w:hAnsi="仿宋" w:eastAsia="仿宋"/>
                <w:sz w:val="28"/>
                <w:szCs w:val="28"/>
                <w:lang w:eastAsia="zh-CN"/>
              </w:rPr>
              <w:t>在管项目不少于</w:t>
            </w:r>
            <w:r>
              <w:rPr>
                <w:rFonts w:hint="eastAsia" w:ascii="仿宋" w:hAnsi="仿宋" w:eastAsia="仿宋"/>
                <w:sz w:val="28"/>
                <w:szCs w:val="28"/>
                <w:lang w:val="en-US" w:eastAsia="zh-CN"/>
              </w:rPr>
              <w:t>3个</w:t>
            </w:r>
            <w:r>
              <w:rPr>
                <w:rFonts w:hint="eastAsia" w:ascii="仿宋" w:hAnsi="仿宋" w:eastAsia="仿宋"/>
                <w:sz w:val="28"/>
                <w:szCs w:val="28"/>
              </w:rPr>
              <w:t>，得4分</w:t>
            </w:r>
          </w:p>
        </w:tc>
        <w:tc>
          <w:tcPr>
            <w:tcW w:w="827" w:type="dxa"/>
            <w:vMerge w:val="restart"/>
            <w:tcBorders>
              <w:top w:val="single" w:color="000000" w:sz="4" w:space="0"/>
              <w:left w:val="nil"/>
              <w:right w:val="single" w:color="000000" w:sz="4" w:space="0"/>
            </w:tcBorders>
            <w:vAlign w:val="center"/>
          </w:tcPr>
          <w:p w14:paraId="1BFB444B">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原件评标时备查</w:t>
            </w:r>
          </w:p>
        </w:tc>
      </w:tr>
      <w:tr w14:paraId="6561B675">
        <w:tblPrEx>
          <w:tblCellMar>
            <w:top w:w="0" w:type="dxa"/>
            <w:left w:w="108" w:type="dxa"/>
            <w:bottom w:w="0" w:type="dxa"/>
            <w:right w:w="108" w:type="dxa"/>
          </w:tblCellMar>
        </w:tblPrEx>
        <w:trPr>
          <w:trHeight w:val="79" w:hRule="atLeast"/>
        </w:trPr>
        <w:tc>
          <w:tcPr>
            <w:tcW w:w="1359" w:type="dxa"/>
            <w:vMerge w:val="continue"/>
            <w:tcBorders>
              <w:left w:val="single" w:color="000000" w:sz="4" w:space="0"/>
              <w:right w:val="single" w:color="auto" w:sz="4" w:space="0"/>
            </w:tcBorders>
            <w:vAlign w:val="center"/>
          </w:tcPr>
          <w:p w14:paraId="46024816">
            <w:pPr>
              <w:spacing w:line="400" w:lineRule="exact"/>
              <w:ind w:right="12" w:firstLine="480"/>
              <w:rPr>
                <w:rFonts w:ascii="仿宋" w:hAnsi="仿宋" w:eastAsia="仿宋"/>
                <w:color w:val="000000"/>
                <w:sz w:val="28"/>
                <w:szCs w:val="28"/>
              </w:rPr>
            </w:pPr>
          </w:p>
        </w:tc>
        <w:tc>
          <w:tcPr>
            <w:tcW w:w="828" w:type="dxa"/>
            <w:vMerge w:val="continue"/>
            <w:tcBorders>
              <w:left w:val="single" w:color="auto" w:sz="4" w:space="0"/>
              <w:right w:val="single" w:color="000000" w:sz="4" w:space="0"/>
            </w:tcBorders>
            <w:vAlign w:val="center"/>
          </w:tcPr>
          <w:p w14:paraId="019E7BB8">
            <w:pPr>
              <w:spacing w:line="400" w:lineRule="exact"/>
              <w:ind w:right="12" w:firstLine="480"/>
              <w:rPr>
                <w:rFonts w:ascii="仿宋" w:hAnsi="仿宋" w:eastAsia="仿宋"/>
                <w:color w:val="000000"/>
                <w:sz w:val="28"/>
                <w:szCs w:val="28"/>
              </w:rPr>
            </w:pPr>
          </w:p>
        </w:tc>
        <w:tc>
          <w:tcPr>
            <w:tcW w:w="6907" w:type="dxa"/>
            <w:tcBorders>
              <w:top w:val="single" w:color="000000" w:sz="4" w:space="0"/>
              <w:left w:val="nil"/>
              <w:bottom w:val="single" w:color="auto" w:sz="4" w:space="0"/>
              <w:right w:val="single" w:color="000000" w:sz="4" w:space="0"/>
            </w:tcBorders>
            <w:vAlign w:val="center"/>
          </w:tcPr>
          <w:p w14:paraId="4CF27ABB">
            <w:pPr>
              <w:spacing w:line="400" w:lineRule="exact"/>
              <w:ind w:right="12"/>
              <w:jc w:val="center"/>
              <w:rPr>
                <w:rFonts w:ascii="仿宋" w:hAnsi="仿宋" w:eastAsia="仿宋"/>
                <w:sz w:val="28"/>
                <w:szCs w:val="28"/>
              </w:rPr>
            </w:pPr>
            <w:r>
              <w:rPr>
                <w:rFonts w:hint="eastAsia" w:ascii="仿宋" w:hAnsi="仿宋" w:eastAsia="仿宋"/>
                <w:sz w:val="28"/>
                <w:szCs w:val="28"/>
              </w:rPr>
              <w:t>在潼南本地有不少于2个</w:t>
            </w:r>
            <w:r>
              <w:rPr>
                <w:rFonts w:hint="eastAsia" w:ascii="仿宋" w:hAnsi="仿宋" w:eastAsia="仿宋"/>
                <w:sz w:val="28"/>
                <w:szCs w:val="28"/>
                <w:lang w:eastAsia="zh-CN"/>
              </w:rPr>
              <w:t>在管</w:t>
            </w:r>
            <w:r>
              <w:rPr>
                <w:rFonts w:hint="eastAsia" w:ascii="仿宋" w:hAnsi="仿宋" w:eastAsia="仿宋"/>
                <w:sz w:val="28"/>
                <w:szCs w:val="28"/>
              </w:rPr>
              <w:t>项目，得6分</w:t>
            </w:r>
          </w:p>
        </w:tc>
        <w:tc>
          <w:tcPr>
            <w:tcW w:w="827" w:type="dxa"/>
            <w:vMerge w:val="continue"/>
            <w:tcBorders>
              <w:left w:val="nil"/>
              <w:right w:val="single" w:color="000000" w:sz="4" w:space="0"/>
            </w:tcBorders>
            <w:vAlign w:val="center"/>
          </w:tcPr>
          <w:p w14:paraId="36C144B9">
            <w:pPr>
              <w:spacing w:line="400" w:lineRule="exact"/>
              <w:ind w:right="12"/>
              <w:rPr>
                <w:rFonts w:ascii="仿宋" w:hAnsi="仿宋" w:eastAsia="仿宋"/>
                <w:color w:val="000000"/>
                <w:sz w:val="28"/>
                <w:szCs w:val="28"/>
              </w:rPr>
            </w:pPr>
          </w:p>
        </w:tc>
      </w:tr>
      <w:tr w14:paraId="194B2B9B">
        <w:tblPrEx>
          <w:tblCellMar>
            <w:top w:w="0" w:type="dxa"/>
            <w:left w:w="108" w:type="dxa"/>
            <w:bottom w:w="0" w:type="dxa"/>
            <w:right w:w="108" w:type="dxa"/>
          </w:tblCellMar>
        </w:tblPrEx>
        <w:trPr>
          <w:trHeight w:val="1407" w:hRule="atLeast"/>
        </w:trPr>
        <w:tc>
          <w:tcPr>
            <w:tcW w:w="1359" w:type="dxa"/>
            <w:tcBorders>
              <w:top w:val="single" w:color="auto" w:sz="4" w:space="0"/>
              <w:left w:val="single" w:color="000000" w:sz="4" w:space="0"/>
              <w:bottom w:val="single" w:color="auto" w:sz="4" w:space="0"/>
              <w:right w:val="single" w:color="auto" w:sz="4" w:space="0"/>
            </w:tcBorders>
            <w:vAlign w:val="center"/>
          </w:tcPr>
          <w:p w14:paraId="541A01C4">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技术</w:t>
            </w:r>
          </w:p>
          <w:p w14:paraId="6D0508B7">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部分</w:t>
            </w:r>
          </w:p>
          <w:p w14:paraId="10B1468A">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40%</w:t>
            </w:r>
          </w:p>
        </w:tc>
        <w:tc>
          <w:tcPr>
            <w:tcW w:w="828" w:type="dxa"/>
            <w:tcBorders>
              <w:top w:val="single" w:color="auto" w:sz="4" w:space="0"/>
              <w:left w:val="single" w:color="auto" w:sz="4" w:space="0"/>
              <w:bottom w:val="single" w:color="auto" w:sz="4" w:space="0"/>
              <w:right w:val="single" w:color="000000" w:sz="4" w:space="0"/>
            </w:tcBorders>
            <w:vAlign w:val="center"/>
          </w:tcPr>
          <w:p w14:paraId="12033527">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40分</w:t>
            </w:r>
          </w:p>
        </w:tc>
        <w:tc>
          <w:tcPr>
            <w:tcW w:w="6907" w:type="dxa"/>
            <w:tcBorders>
              <w:top w:val="single" w:color="auto" w:sz="4" w:space="0"/>
              <w:left w:val="nil"/>
              <w:bottom w:val="single" w:color="auto" w:sz="4" w:space="0"/>
              <w:right w:val="single" w:color="000000" w:sz="4" w:space="0"/>
            </w:tcBorders>
            <w:vAlign w:val="center"/>
          </w:tcPr>
          <w:p w14:paraId="378B01DD">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以下</w:t>
            </w:r>
            <w:r>
              <w:rPr>
                <w:rFonts w:ascii="仿宋" w:hAnsi="仿宋" w:eastAsia="仿宋"/>
                <w:color w:val="000000"/>
                <w:sz w:val="28"/>
                <w:szCs w:val="28"/>
              </w:rPr>
              <w:t>各方面</w:t>
            </w:r>
            <w:r>
              <w:rPr>
                <w:rFonts w:hint="eastAsia" w:ascii="仿宋" w:hAnsi="仿宋" w:eastAsia="仿宋"/>
                <w:color w:val="000000"/>
                <w:sz w:val="28"/>
                <w:szCs w:val="28"/>
              </w:rPr>
              <w:t>，投标文件必须作出实质性响应，未响应条款按0分处理。评分标准如下：</w:t>
            </w:r>
          </w:p>
          <w:p w14:paraId="12F55057">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1.物业管理的整体设想（4分）</w:t>
            </w:r>
          </w:p>
          <w:p w14:paraId="3A0D271C">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2.项目组织机构设置和人员配置方案（5分）</w:t>
            </w:r>
          </w:p>
          <w:p w14:paraId="509BE86E">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3.物业服务人员招募、培训、上岗、培养教育、日常管理方案（5分）</w:t>
            </w:r>
          </w:p>
          <w:p w14:paraId="006A0823">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4.早期介入和档案资料管理（5分）</w:t>
            </w:r>
          </w:p>
          <w:p w14:paraId="4B9AD7C4">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5.服务内容和管理措施（6分）</w:t>
            </w:r>
          </w:p>
          <w:p w14:paraId="6B74AB80">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6.突发应急预案（5分）</w:t>
            </w:r>
          </w:p>
          <w:p w14:paraId="55B7610B">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7.便民服务措施和服务标准承诺（4分）</w:t>
            </w:r>
          </w:p>
          <w:p w14:paraId="25C4A49D">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8.收支分项测算（6分）</w:t>
            </w:r>
          </w:p>
          <w:p w14:paraId="386A2842">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以上各条根据投标人提供的技术服务方案，由评标委员会各评审专家酌情评分。</w:t>
            </w:r>
          </w:p>
        </w:tc>
        <w:tc>
          <w:tcPr>
            <w:tcW w:w="827" w:type="dxa"/>
            <w:tcBorders>
              <w:top w:val="single" w:color="000000" w:sz="4" w:space="0"/>
              <w:left w:val="nil"/>
              <w:bottom w:val="single" w:color="auto" w:sz="4" w:space="0"/>
              <w:right w:val="single" w:color="000000" w:sz="4" w:space="0"/>
            </w:tcBorders>
            <w:vAlign w:val="center"/>
          </w:tcPr>
          <w:p w14:paraId="2C4E4C7C">
            <w:pPr>
              <w:spacing w:line="400" w:lineRule="exact"/>
              <w:ind w:right="12" w:firstLine="480"/>
              <w:rPr>
                <w:rFonts w:ascii="仿宋" w:hAnsi="仿宋" w:eastAsia="仿宋"/>
                <w:color w:val="000000"/>
                <w:sz w:val="28"/>
                <w:szCs w:val="28"/>
              </w:rPr>
            </w:pPr>
          </w:p>
        </w:tc>
      </w:tr>
      <w:tr w14:paraId="1423843C">
        <w:tblPrEx>
          <w:tblCellMar>
            <w:top w:w="0" w:type="dxa"/>
            <w:left w:w="108" w:type="dxa"/>
            <w:bottom w:w="0" w:type="dxa"/>
            <w:right w:w="108" w:type="dxa"/>
          </w:tblCellMar>
        </w:tblPrEx>
        <w:trPr>
          <w:trHeight w:val="445" w:hRule="atLeast"/>
        </w:trPr>
        <w:tc>
          <w:tcPr>
            <w:tcW w:w="1359" w:type="dxa"/>
            <w:vMerge w:val="restart"/>
            <w:tcBorders>
              <w:top w:val="single" w:color="auto" w:sz="4" w:space="0"/>
              <w:left w:val="single" w:color="000000" w:sz="4" w:space="0"/>
              <w:right w:val="single" w:color="auto" w:sz="4" w:space="0"/>
            </w:tcBorders>
            <w:vAlign w:val="center"/>
          </w:tcPr>
          <w:p w14:paraId="20413E1C">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经济</w:t>
            </w:r>
          </w:p>
          <w:p w14:paraId="2B295B0D">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部分</w:t>
            </w:r>
          </w:p>
          <w:p w14:paraId="592793FF">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35%</w:t>
            </w:r>
          </w:p>
        </w:tc>
        <w:tc>
          <w:tcPr>
            <w:tcW w:w="828" w:type="dxa"/>
            <w:vMerge w:val="restart"/>
            <w:tcBorders>
              <w:top w:val="single" w:color="auto" w:sz="4" w:space="0"/>
              <w:left w:val="single" w:color="auto" w:sz="4" w:space="0"/>
              <w:right w:val="single" w:color="000000" w:sz="4" w:space="0"/>
            </w:tcBorders>
            <w:vAlign w:val="center"/>
          </w:tcPr>
          <w:p w14:paraId="04938537">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35分</w:t>
            </w:r>
          </w:p>
        </w:tc>
        <w:tc>
          <w:tcPr>
            <w:tcW w:w="6907" w:type="dxa"/>
            <w:tcBorders>
              <w:top w:val="single" w:color="auto" w:sz="4" w:space="0"/>
              <w:left w:val="nil"/>
              <w:bottom w:val="single" w:color="auto" w:sz="4" w:space="0"/>
              <w:right w:val="single" w:color="000000" w:sz="4" w:space="0"/>
            </w:tcBorders>
            <w:vAlign w:val="center"/>
          </w:tcPr>
          <w:p w14:paraId="26F650E0">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高层9分：与标底相比±0.05元，扣1分</w:t>
            </w:r>
          </w:p>
        </w:tc>
        <w:tc>
          <w:tcPr>
            <w:tcW w:w="827" w:type="dxa"/>
            <w:vMerge w:val="restart"/>
            <w:tcBorders>
              <w:top w:val="single" w:color="000000" w:sz="4" w:space="0"/>
              <w:left w:val="nil"/>
              <w:right w:val="single" w:color="000000" w:sz="4" w:space="0"/>
            </w:tcBorders>
            <w:vAlign w:val="center"/>
          </w:tcPr>
          <w:p w14:paraId="6446E651">
            <w:pPr>
              <w:spacing w:line="400" w:lineRule="exact"/>
              <w:ind w:right="12" w:firstLine="480"/>
              <w:rPr>
                <w:rFonts w:ascii="仿宋" w:hAnsi="仿宋" w:eastAsia="仿宋"/>
                <w:color w:val="000000"/>
                <w:sz w:val="28"/>
                <w:szCs w:val="28"/>
              </w:rPr>
            </w:pPr>
          </w:p>
        </w:tc>
      </w:tr>
      <w:tr w14:paraId="2CD7E35D">
        <w:tblPrEx>
          <w:tblCellMar>
            <w:top w:w="0" w:type="dxa"/>
            <w:left w:w="108" w:type="dxa"/>
            <w:bottom w:w="0" w:type="dxa"/>
            <w:right w:w="108" w:type="dxa"/>
          </w:tblCellMar>
        </w:tblPrEx>
        <w:trPr>
          <w:trHeight w:val="423" w:hRule="atLeast"/>
        </w:trPr>
        <w:tc>
          <w:tcPr>
            <w:tcW w:w="1359" w:type="dxa"/>
            <w:vMerge w:val="continue"/>
            <w:tcBorders>
              <w:left w:val="single" w:color="000000" w:sz="4" w:space="0"/>
              <w:right w:val="single" w:color="auto" w:sz="4" w:space="0"/>
            </w:tcBorders>
            <w:vAlign w:val="center"/>
          </w:tcPr>
          <w:p w14:paraId="18ABE811">
            <w:pPr>
              <w:spacing w:line="400" w:lineRule="exact"/>
              <w:ind w:right="12"/>
              <w:rPr>
                <w:rFonts w:ascii="仿宋" w:hAnsi="仿宋" w:eastAsia="仿宋"/>
                <w:color w:val="000000"/>
                <w:sz w:val="28"/>
                <w:szCs w:val="28"/>
              </w:rPr>
            </w:pPr>
          </w:p>
        </w:tc>
        <w:tc>
          <w:tcPr>
            <w:tcW w:w="828" w:type="dxa"/>
            <w:vMerge w:val="continue"/>
            <w:tcBorders>
              <w:left w:val="single" w:color="auto" w:sz="4" w:space="0"/>
              <w:right w:val="single" w:color="000000" w:sz="4" w:space="0"/>
            </w:tcBorders>
            <w:vAlign w:val="center"/>
          </w:tcPr>
          <w:p w14:paraId="685CB52D">
            <w:pPr>
              <w:spacing w:line="400" w:lineRule="exact"/>
              <w:ind w:right="12"/>
              <w:rPr>
                <w:rFonts w:ascii="仿宋" w:hAnsi="仿宋" w:eastAsia="仿宋"/>
                <w:color w:val="000000"/>
                <w:sz w:val="28"/>
                <w:szCs w:val="28"/>
              </w:rPr>
            </w:pPr>
          </w:p>
        </w:tc>
        <w:tc>
          <w:tcPr>
            <w:tcW w:w="6907" w:type="dxa"/>
            <w:tcBorders>
              <w:top w:val="single" w:color="auto" w:sz="4" w:space="0"/>
              <w:left w:val="nil"/>
              <w:bottom w:val="single" w:color="auto" w:sz="4" w:space="0"/>
              <w:right w:val="single" w:color="000000" w:sz="4" w:space="0"/>
            </w:tcBorders>
            <w:vAlign w:val="center"/>
          </w:tcPr>
          <w:p w14:paraId="1599519D">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洋房9分：与标底相比±0.05元，扣1分</w:t>
            </w:r>
          </w:p>
        </w:tc>
        <w:tc>
          <w:tcPr>
            <w:tcW w:w="827" w:type="dxa"/>
            <w:vMerge w:val="continue"/>
            <w:tcBorders>
              <w:left w:val="nil"/>
              <w:right w:val="single" w:color="000000" w:sz="4" w:space="0"/>
            </w:tcBorders>
            <w:vAlign w:val="center"/>
          </w:tcPr>
          <w:p w14:paraId="3C705BD8">
            <w:pPr>
              <w:spacing w:line="400" w:lineRule="exact"/>
              <w:ind w:right="12" w:firstLine="480"/>
              <w:rPr>
                <w:rFonts w:ascii="仿宋" w:hAnsi="仿宋" w:eastAsia="仿宋"/>
                <w:color w:val="000000"/>
                <w:sz w:val="28"/>
                <w:szCs w:val="28"/>
              </w:rPr>
            </w:pPr>
          </w:p>
        </w:tc>
      </w:tr>
      <w:tr w14:paraId="386062BE">
        <w:tblPrEx>
          <w:tblCellMar>
            <w:top w:w="0" w:type="dxa"/>
            <w:left w:w="108" w:type="dxa"/>
            <w:bottom w:w="0" w:type="dxa"/>
            <w:right w:w="108" w:type="dxa"/>
          </w:tblCellMar>
        </w:tblPrEx>
        <w:trPr>
          <w:trHeight w:val="415" w:hRule="atLeast"/>
        </w:trPr>
        <w:tc>
          <w:tcPr>
            <w:tcW w:w="1359" w:type="dxa"/>
            <w:vMerge w:val="continue"/>
            <w:tcBorders>
              <w:left w:val="single" w:color="000000" w:sz="4" w:space="0"/>
              <w:right w:val="single" w:color="auto" w:sz="4" w:space="0"/>
            </w:tcBorders>
            <w:vAlign w:val="center"/>
          </w:tcPr>
          <w:p w14:paraId="7339D0C3">
            <w:pPr>
              <w:spacing w:line="400" w:lineRule="exact"/>
              <w:ind w:right="12"/>
              <w:rPr>
                <w:rFonts w:ascii="仿宋" w:hAnsi="仿宋" w:eastAsia="仿宋"/>
                <w:color w:val="000000"/>
                <w:sz w:val="28"/>
                <w:szCs w:val="28"/>
              </w:rPr>
            </w:pPr>
          </w:p>
        </w:tc>
        <w:tc>
          <w:tcPr>
            <w:tcW w:w="828" w:type="dxa"/>
            <w:vMerge w:val="continue"/>
            <w:tcBorders>
              <w:left w:val="single" w:color="auto" w:sz="4" w:space="0"/>
              <w:right w:val="single" w:color="000000" w:sz="4" w:space="0"/>
            </w:tcBorders>
            <w:vAlign w:val="center"/>
          </w:tcPr>
          <w:p w14:paraId="0ECB2D39">
            <w:pPr>
              <w:spacing w:line="400" w:lineRule="exact"/>
              <w:ind w:right="12"/>
              <w:rPr>
                <w:rFonts w:ascii="仿宋" w:hAnsi="仿宋" w:eastAsia="仿宋"/>
                <w:color w:val="000000"/>
                <w:sz w:val="28"/>
                <w:szCs w:val="28"/>
              </w:rPr>
            </w:pPr>
          </w:p>
        </w:tc>
        <w:tc>
          <w:tcPr>
            <w:tcW w:w="6907" w:type="dxa"/>
            <w:tcBorders>
              <w:top w:val="single" w:color="auto" w:sz="4" w:space="0"/>
              <w:left w:val="nil"/>
              <w:bottom w:val="single" w:color="auto" w:sz="4" w:space="0"/>
              <w:right w:val="single" w:color="000000" w:sz="4" w:space="0"/>
            </w:tcBorders>
            <w:vAlign w:val="center"/>
          </w:tcPr>
          <w:p w14:paraId="587C8B4B">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商业9分：与标底相比±0.50元，扣1分</w:t>
            </w:r>
          </w:p>
        </w:tc>
        <w:tc>
          <w:tcPr>
            <w:tcW w:w="827" w:type="dxa"/>
            <w:vMerge w:val="continue"/>
            <w:tcBorders>
              <w:left w:val="nil"/>
              <w:right w:val="single" w:color="000000" w:sz="4" w:space="0"/>
            </w:tcBorders>
            <w:vAlign w:val="center"/>
          </w:tcPr>
          <w:p w14:paraId="573CABF5">
            <w:pPr>
              <w:spacing w:line="400" w:lineRule="exact"/>
              <w:ind w:right="12" w:firstLine="480"/>
              <w:rPr>
                <w:rFonts w:ascii="仿宋" w:hAnsi="仿宋" w:eastAsia="仿宋"/>
                <w:color w:val="000000"/>
                <w:sz w:val="28"/>
                <w:szCs w:val="28"/>
              </w:rPr>
            </w:pPr>
          </w:p>
        </w:tc>
      </w:tr>
      <w:tr w14:paraId="02249BE2">
        <w:tblPrEx>
          <w:tblCellMar>
            <w:top w:w="0" w:type="dxa"/>
            <w:left w:w="108" w:type="dxa"/>
            <w:bottom w:w="0" w:type="dxa"/>
            <w:right w:w="108" w:type="dxa"/>
          </w:tblCellMar>
        </w:tblPrEx>
        <w:trPr>
          <w:trHeight w:val="415" w:hRule="atLeast"/>
        </w:trPr>
        <w:tc>
          <w:tcPr>
            <w:tcW w:w="1359" w:type="dxa"/>
            <w:vMerge w:val="continue"/>
            <w:tcBorders>
              <w:left w:val="single" w:color="000000" w:sz="4" w:space="0"/>
              <w:bottom w:val="single" w:color="auto" w:sz="4" w:space="0"/>
              <w:right w:val="single" w:color="auto" w:sz="4" w:space="0"/>
            </w:tcBorders>
            <w:vAlign w:val="center"/>
          </w:tcPr>
          <w:p w14:paraId="7906E435">
            <w:pPr>
              <w:spacing w:line="400" w:lineRule="exact"/>
              <w:ind w:right="12"/>
              <w:rPr>
                <w:rFonts w:ascii="仿宋" w:hAnsi="仿宋" w:eastAsia="仿宋"/>
                <w:color w:val="000000"/>
                <w:sz w:val="28"/>
                <w:szCs w:val="28"/>
              </w:rPr>
            </w:pPr>
          </w:p>
        </w:tc>
        <w:tc>
          <w:tcPr>
            <w:tcW w:w="828" w:type="dxa"/>
            <w:vMerge w:val="continue"/>
            <w:tcBorders>
              <w:left w:val="single" w:color="auto" w:sz="4" w:space="0"/>
              <w:bottom w:val="single" w:color="auto" w:sz="4" w:space="0"/>
              <w:right w:val="single" w:color="000000" w:sz="4" w:space="0"/>
            </w:tcBorders>
            <w:vAlign w:val="center"/>
          </w:tcPr>
          <w:p w14:paraId="0FEE81A1">
            <w:pPr>
              <w:spacing w:line="400" w:lineRule="exact"/>
              <w:ind w:right="12"/>
              <w:rPr>
                <w:rFonts w:ascii="仿宋" w:hAnsi="仿宋" w:eastAsia="仿宋"/>
                <w:color w:val="000000"/>
                <w:sz w:val="28"/>
                <w:szCs w:val="28"/>
              </w:rPr>
            </w:pPr>
          </w:p>
        </w:tc>
        <w:tc>
          <w:tcPr>
            <w:tcW w:w="6907" w:type="dxa"/>
            <w:tcBorders>
              <w:top w:val="single" w:color="auto" w:sz="4" w:space="0"/>
              <w:left w:val="nil"/>
              <w:bottom w:val="single" w:color="auto" w:sz="4" w:space="0"/>
              <w:right w:val="single" w:color="000000" w:sz="4" w:space="0"/>
            </w:tcBorders>
            <w:vAlign w:val="center"/>
          </w:tcPr>
          <w:p w14:paraId="08273685">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车位8分：与标底相比±5.00元，扣1分</w:t>
            </w:r>
          </w:p>
        </w:tc>
        <w:tc>
          <w:tcPr>
            <w:tcW w:w="827" w:type="dxa"/>
            <w:vMerge w:val="continue"/>
            <w:tcBorders>
              <w:left w:val="nil"/>
              <w:bottom w:val="single" w:color="auto" w:sz="4" w:space="0"/>
              <w:right w:val="single" w:color="000000" w:sz="4" w:space="0"/>
            </w:tcBorders>
            <w:vAlign w:val="center"/>
          </w:tcPr>
          <w:p w14:paraId="76406E53">
            <w:pPr>
              <w:spacing w:line="400" w:lineRule="exact"/>
              <w:ind w:right="12" w:firstLine="480"/>
              <w:rPr>
                <w:rFonts w:ascii="仿宋" w:hAnsi="仿宋" w:eastAsia="仿宋"/>
                <w:color w:val="000000"/>
                <w:sz w:val="28"/>
                <w:szCs w:val="28"/>
              </w:rPr>
            </w:pPr>
          </w:p>
        </w:tc>
      </w:tr>
      <w:tr w14:paraId="6E88FB98">
        <w:tblPrEx>
          <w:tblCellMar>
            <w:top w:w="0" w:type="dxa"/>
            <w:left w:w="108" w:type="dxa"/>
            <w:bottom w:w="0" w:type="dxa"/>
            <w:right w:w="108" w:type="dxa"/>
          </w:tblCellMar>
        </w:tblPrEx>
        <w:trPr>
          <w:trHeight w:val="1295" w:hRule="atLeast"/>
        </w:trPr>
        <w:tc>
          <w:tcPr>
            <w:tcW w:w="1359" w:type="dxa"/>
            <w:tcBorders>
              <w:top w:val="single" w:color="auto" w:sz="4" w:space="0"/>
              <w:left w:val="single" w:color="000000" w:sz="4" w:space="0"/>
              <w:bottom w:val="single" w:color="auto" w:sz="4" w:space="0"/>
              <w:right w:val="single" w:color="auto" w:sz="4" w:space="0"/>
            </w:tcBorders>
            <w:vAlign w:val="center"/>
          </w:tcPr>
          <w:p w14:paraId="38550187">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现场答辩部分</w:t>
            </w:r>
          </w:p>
          <w:p w14:paraId="195CE095">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15%</w:t>
            </w:r>
          </w:p>
        </w:tc>
        <w:tc>
          <w:tcPr>
            <w:tcW w:w="828" w:type="dxa"/>
            <w:tcBorders>
              <w:top w:val="single" w:color="auto" w:sz="4" w:space="0"/>
              <w:left w:val="single" w:color="auto" w:sz="4" w:space="0"/>
              <w:bottom w:val="single" w:color="auto" w:sz="4" w:space="0"/>
              <w:right w:val="single" w:color="000000" w:sz="4" w:space="0"/>
            </w:tcBorders>
            <w:vAlign w:val="center"/>
          </w:tcPr>
          <w:p w14:paraId="00DD62A0">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15分</w:t>
            </w:r>
          </w:p>
        </w:tc>
        <w:tc>
          <w:tcPr>
            <w:tcW w:w="6907" w:type="dxa"/>
            <w:tcBorders>
              <w:top w:val="single" w:color="auto" w:sz="4" w:space="0"/>
              <w:left w:val="nil"/>
              <w:bottom w:val="single" w:color="auto" w:sz="4" w:space="0"/>
              <w:right w:val="single" w:color="000000" w:sz="4" w:space="0"/>
            </w:tcBorders>
            <w:vAlign w:val="center"/>
          </w:tcPr>
          <w:p w14:paraId="647BBC5E">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对物业管理知识和物业管理的法律法规的熟悉程度，回答问题的准确性、条理性及完整性，15分</w:t>
            </w:r>
          </w:p>
        </w:tc>
        <w:tc>
          <w:tcPr>
            <w:tcW w:w="827" w:type="dxa"/>
            <w:tcBorders>
              <w:top w:val="single" w:color="auto" w:sz="4" w:space="0"/>
              <w:left w:val="nil"/>
              <w:bottom w:val="single" w:color="auto" w:sz="4" w:space="0"/>
              <w:right w:val="single" w:color="000000" w:sz="4" w:space="0"/>
            </w:tcBorders>
            <w:vAlign w:val="center"/>
          </w:tcPr>
          <w:p w14:paraId="445DD7D4">
            <w:pPr>
              <w:spacing w:line="400" w:lineRule="exact"/>
              <w:ind w:right="12" w:firstLine="480"/>
              <w:rPr>
                <w:rFonts w:ascii="仿宋" w:hAnsi="仿宋" w:eastAsia="仿宋"/>
                <w:color w:val="000000"/>
                <w:sz w:val="28"/>
                <w:szCs w:val="28"/>
              </w:rPr>
            </w:pPr>
          </w:p>
        </w:tc>
      </w:tr>
    </w:tbl>
    <w:p w14:paraId="672036B3">
      <w:pPr>
        <w:spacing w:line="400" w:lineRule="exact"/>
        <w:ind w:right="12" w:firstLine="480"/>
        <w:rPr>
          <w:rFonts w:ascii="仿宋" w:hAnsi="仿宋" w:eastAsia="仿宋"/>
          <w:color w:val="000000"/>
          <w:sz w:val="28"/>
          <w:szCs w:val="28"/>
        </w:rPr>
      </w:pPr>
    </w:p>
    <w:p w14:paraId="092B9898">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三、无效投标条款</w:t>
      </w:r>
    </w:p>
    <w:p w14:paraId="5E9E6D5F">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评标委员会评审时，投标人或其投标文件出现下列情况之一者，应为无效投标：</w:t>
      </w:r>
    </w:p>
    <w:p w14:paraId="0949E82F">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（一）投标人未通过资格性检查的；</w:t>
      </w:r>
    </w:p>
    <w:p w14:paraId="6D9AA632">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（二）投标人营业执照上经营范围无物业管理的；</w:t>
      </w:r>
    </w:p>
    <w:p w14:paraId="23F4FA97">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（三）法定代表人为同一个人的两个及两个以上法人，母公司、全资子公司及其控股公司进行投标的，上述投标人的投标均无效；</w:t>
      </w:r>
    </w:p>
    <w:p w14:paraId="1F8F5727">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（四）投标文件出现多个投标方案或投标报价的；</w:t>
      </w:r>
    </w:p>
    <w:p w14:paraId="22D321AA">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（五）投标报价超出招标文件规定的单价最高限价的；</w:t>
      </w:r>
    </w:p>
    <w:p w14:paraId="64B88C4F">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（六）投标文件含有违反国家法律、法规的内容，或附有招标人不能接受的条件的；</w:t>
      </w:r>
    </w:p>
    <w:p w14:paraId="1674D913">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（七）经评标委员会审查，未对招标文件作实质性响应的；</w:t>
      </w:r>
    </w:p>
    <w:p w14:paraId="6A288000">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（八）招标文件规定的其他无效投标条款。</w:t>
      </w:r>
    </w:p>
    <w:p w14:paraId="3BC0F8F0">
      <w:pPr>
        <w:spacing w:line="400" w:lineRule="exact"/>
        <w:ind w:right="12" w:firstLine="480"/>
        <w:rPr>
          <w:rFonts w:ascii="仿宋" w:hAnsi="仿宋" w:eastAsia="仿宋"/>
          <w:color w:val="000000"/>
          <w:sz w:val="28"/>
          <w:szCs w:val="28"/>
        </w:rPr>
      </w:pPr>
      <w:bookmarkStart w:id="12" w:name="_Toc271791974"/>
      <w:bookmarkEnd w:id="12"/>
      <w:bookmarkStart w:id="13" w:name="_Toc311729666"/>
      <w:r>
        <w:rPr>
          <w:rFonts w:hint="eastAsia" w:ascii="仿宋" w:hAnsi="仿宋" w:eastAsia="仿宋"/>
          <w:color w:val="000000"/>
          <w:sz w:val="28"/>
          <w:szCs w:val="28"/>
        </w:rPr>
        <w:t>四、废标条款</w:t>
      </w:r>
      <w:bookmarkEnd w:id="13"/>
    </w:p>
    <w:p w14:paraId="7712B61C">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评标委员会评审时出现以下情况之一的，应予废标：</w:t>
      </w:r>
    </w:p>
    <w:p w14:paraId="36C8A251">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（一）符合专业条件的投标人或者对招标文件作实质响应的投标人不足三家的。</w:t>
      </w:r>
    </w:p>
    <w:p w14:paraId="5C0820DC">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（二）投标人的报价符合招标最高限价的投标人不足三家的。</w:t>
      </w:r>
    </w:p>
    <w:p w14:paraId="39F9C5F6">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（三）出现影响招标公正的违法、违规行为的。</w:t>
      </w:r>
    </w:p>
    <w:p w14:paraId="16A8CC0E">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（四）因重大变故，招标任务取消的。</w:t>
      </w:r>
    </w:p>
    <w:p w14:paraId="77249A61">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废标后，应当重新组织招标。</w:t>
      </w:r>
      <w:bookmarkStart w:id="14" w:name="_Toc311729667"/>
      <w:bookmarkEnd w:id="14"/>
      <w:bookmarkStart w:id="15" w:name="_Toc271791975"/>
      <w:bookmarkEnd w:id="15"/>
    </w:p>
    <w:p w14:paraId="22E44DF4">
      <w:pPr>
        <w:spacing w:line="400" w:lineRule="exact"/>
        <w:ind w:right="12" w:firstLine="480"/>
        <w:rPr>
          <w:rFonts w:ascii="仿宋" w:hAnsi="仿宋" w:eastAsia="仿宋"/>
          <w:color w:val="000000"/>
          <w:sz w:val="28"/>
          <w:szCs w:val="28"/>
        </w:rPr>
      </w:pPr>
    </w:p>
    <w:p w14:paraId="6195DCFB">
      <w:pPr>
        <w:spacing w:line="500" w:lineRule="exact"/>
        <w:jc w:val="center"/>
        <w:outlineLvl w:val="0"/>
        <w:rPr>
          <w:rFonts w:ascii="仿宋" w:hAnsi="仿宋" w:eastAsia="仿宋"/>
          <w:b/>
          <w:color w:val="000000"/>
          <w:sz w:val="28"/>
          <w:szCs w:val="28"/>
        </w:rPr>
      </w:pPr>
      <w:r>
        <w:rPr>
          <w:rFonts w:hint="eastAsia" w:ascii="仿宋" w:hAnsi="仿宋" w:eastAsia="仿宋"/>
          <w:b/>
          <w:color w:val="000000"/>
          <w:sz w:val="28"/>
          <w:szCs w:val="28"/>
        </w:rPr>
        <w:t>第五篇 投标人须知</w:t>
      </w:r>
    </w:p>
    <w:p w14:paraId="54FC3877">
      <w:pPr>
        <w:spacing w:line="400" w:lineRule="exact"/>
        <w:ind w:right="12" w:firstLine="480"/>
        <w:rPr>
          <w:rFonts w:ascii="仿宋" w:hAnsi="仿宋" w:eastAsia="仿宋"/>
          <w:color w:val="000000"/>
          <w:sz w:val="28"/>
          <w:szCs w:val="28"/>
        </w:rPr>
      </w:pPr>
      <w:bookmarkStart w:id="16" w:name="_Toc271791976"/>
      <w:bookmarkEnd w:id="16"/>
      <w:bookmarkStart w:id="17" w:name="_Toc311729668"/>
      <w:r>
        <w:rPr>
          <w:rFonts w:hint="eastAsia" w:ascii="仿宋" w:hAnsi="仿宋" w:eastAsia="仿宋"/>
          <w:color w:val="000000"/>
          <w:sz w:val="28"/>
          <w:szCs w:val="28"/>
        </w:rPr>
        <w:t>一、投标费用</w:t>
      </w:r>
      <w:bookmarkEnd w:id="17"/>
    </w:p>
    <w:p w14:paraId="2DED2EA2">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无论投标结果如何，投标人参与本项目投标的所有费用均应由投标人自行承担。</w:t>
      </w:r>
    </w:p>
    <w:p w14:paraId="3F39B9C0">
      <w:pPr>
        <w:spacing w:line="400" w:lineRule="exact"/>
        <w:ind w:right="12" w:firstLine="480"/>
        <w:rPr>
          <w:rFonts w:ascii="仿宋" w:hAnsi="仿宋" w:eastAsia="仿宋"/>
          <w:color w:val="000000"/>
          <w:sz w:val="28"/>
          <w:szCs w:val="28"/>
        </w:rPr>
      </w:pPr>
      <w:bookmarkStart w:id="18" w:name="_Toc271791977"/>
      <w:bookmarkEnd w:id="18"/>
      <w:bookmarkStart w:id="19" w:name="_Toc311729669"/>
      <w:r>
        <w:rPr>
          <w:rFonts w:hint="eastAsia" w:ascii="仿宋" w:hAnsi="仿宋" w:eastAsia="仿宋"/>
          <w:color w:val="000000"/>
          <w:sz w:val="28"/>
          <w:szCs w:val="28"/>
        </w:rPr>
        <w:t>二、投标人</w:t>
      </w:r>
      <w:bookmarkEnd w:id="19"/>
    </w:p>
    <w:p w14:paraId="573CEE7C">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1、合格投标人条件</w:t>
      </w:r>
    </w:p>
    <w:p w14:paraId="3C6DD0FA">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合格投标人应完全符合招标文件第一篇中规定的投标人资格条件，并对招标文件作出实质性响应。</w:t>
      </w:r>
    </w:p>
    <w:p w14:paraId="20C2C5CB">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2、投标人的风险</w:t>
      </w:r>
    </w:p>
    <w:p w14:paraId="0CFAD933">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投标人没有按照招标文件要求提供全部资料，或者投标人没有对招标文件在各方面作出实质性响应，可能导致投标被拒绝或评定为无效投标。</w:t>
      </w:r>
    </w:p>
    <w:p w14:paraId="1D903C98">
      <w:pPr>
        <w:spacing w:line="400" w:lineRule="exact"/>
        <w:ind w:right="12" w:firstLine="480"/>
        <w:rPr>
          <w:rFonts w:ascii="仿宋" w:hAnsi="仿宋" w:eastAsia="仿宋"/>
          <w:color w:val="000000"/>
          <w:sz w:val="28"/>
          <w:szCs w:val="28"/>
        </w:rPr>
      </w:pPr>
      <w:bookmarkStart w:id="20" w:name="_Toc271791978"/>
      <w:bookmarkEnd w:id="20"/>
      <w:bookmarkStart w:id="21" w:name="_Toc311729670"/>
      <w:r>
        <w:rPr>
          <w:rFonts w:hint="eastAsia" w:ascii="仿宋" w:hAnsi="仿宋" w:eastAsia="仿宋"/>
          <w:color w:val="000000"/>
          <w:sz w:val="28"/>
          <w:szCs w:val="28"/>
        </w:rPr>
        <w:t>三、招标文件</w:t>
      </w:r>
      <w:bookmarkEnd w:id="21"/>
    </w:p>
    <w:p w14:paraId="2FFCA8EE">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招标文件是投标人编制投标文件的依据，是评标委员会评判依据和标准。招标文件也是招标人与中标投标人签订合同的基础。</w:t>
      </w:r>
    </w:p>
    <w:p w14:paraId="3E02CCC4">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1、招标文件由投标邀请书；项目介绍和服务要求；商务条款；评标方法、评标标准、无效投标条款和废标条款；投标人须知；合同范本；投标文件格式等七部分组成。</w:t>
      </w:r>
    </w:p>
    <w:p w14:paraId="36C05561">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2、招标代理机构对招标文件所作的一切有效的书面通知、修改及补充，都是招标文件不可分割的部分。</w:t>
      </w:r>
    </w:p>
    <w:p w14:paraId="17D0418A">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3、投标人对招标文件如有异议，应在规定时间内以书面形式提交招标代理机构。招标代理机构对已发出的招标文件需要进行澄清或修改的，应以书面形式在重庆市潼南区住房和城乡建设委员会网站（http://www.cqtn.gov.cn/bm/qzfcxjw/）进行通知。该澄清或者修改的内容为招标文件的组成部分。</w:t>
      </w:r>
    </w:p>
    <w:p w14:paraId="3FE827FB">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4、投标人对招标文件有异议的，应在规定时间内提出，否则视同认可招标文件所有要求。逾期提出异议的，招标代理机构可以不予受理。</w:t>
      </w:r>
    </w:p>
    <w:p w14:paraId="4AED5FD6">
      <w:pPr>
        <w:spacing w:line="400" w:lineRule="exact"/>
        <w:ind w:right="12" w:firstLine="480"/>
        <w:rPr>
          <w:rFonts w:ascii="仿宋" w:hAnsi="仿宋" w:eastAsia="仿宋"/>
          <w:color w:val="000000"/>
          <w:sz w:val="28"/>
          <w:szCs w:val="28"/>
        </w:rPr>
      </w:pPr>
      <w:bookmarkStart w:id="22" w:name="_Toc271791979"/>
      <w:bookmarkEnd w:id="22"/>
      <w:bookmarkStart w:id="23" w:name="_Toc311729671"/>
      <w:r>
        <w:rPr>
          <w:rFonts w:hint="eastAsia" w:ascii="仿宋" w:hAnsi="仿宋" w:eastAsia="仿宋"/>
          <w:color w:val="000000"/>
          <w:sz w:val="28"/>
          <w:szCs w:val="28"/>
        </w:rPr>
        <w:t>四、投标文件</w:t>
      </w:r>
      <w:bookmarkEnd w:id="23"/>
    </w:p>
    <w:p w14:paraId="48DABAD6">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投标人应当按照招标文件的要求编制投标文件，并对招标文件提出的要求和条件作出实质性响应。</w:t>
      </w:r>
    </w:p>
    <w:p w14:paraId="76E94B8A">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（一）投标文件组成</w:t>
      </w:r>
    </w:p>
    <w:p w14:paraId="69D05FE2">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投标文件由以下部分和投标人所作的一切有效补充、修改和承诺等文件组成，投标人应按照第七篇“投标文件格式”的目录顺序组织编写和装订。</w:t>
      </w:r>
    </w:p>
    <w:p w14:paraId="68C9B385">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（二）投标文件的份数和签署.</w:t>
      </w:r>
    </w:p>
    <w:p w14:paraId="64850A44">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1、投标文件一式四份，一正三副，每份纸质投标文件内容须完全一样，须在封面清楚地标明“项目名称”和“投标人名称”，封面必须加盖鲜章。</w:t>
      </w:r>
    </w:p>
    <w:p w14:paraId="0AB71620">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2、招标文件第七篇投标文件格式中规定签字、盖章的地方必须按其规定签字、盖章。</w:t>
      </w:r>
    </w:p>
    <w:p w14:paraId="50EEFC62">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3、若投标人对投标文件的错处作必要修改，则应在修改处加盖投标人公章或由法人或法人授权代表签字确认。</w:t>
      </w:r>
    </w:p>
    <w:p w14:paraId="73CFDE78">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4、电报、电话、传真形式的投标文件概不接受，如份数缺失或未按要求签字盖章则视为该投标人不具备投标资格。</w:t>
      </w:r>
    </w:p>
    <w:p w14:paraId="2F080F55">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（三）投标报价</w:t>
      </w:r>
    </w:p>
    <w:p w14:paraId="6AE04CCC">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1、投标报价应包括物业管理条例规定的物业服务当中应由物业服务企业承担的全部费用。</w:t>
      </w:r>
    </w:p>
    <w:p w14:paraId="3224AB66">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2、投标人应严格按照“投标文件格式”中“报价函”格式进行报价。</w:t>
      </w:r>
    </w:p>
    <w:p w14:paraId="62EEECDC">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3、本项目只接受一个投标报价，该报价用于计算投标文件经济部分得分，最后的合同价格在该报价的基础上，须经过政府相关部门指导确认，合理调整后再签署。</w:t>
      </w:r>
    </w:p>
    <w:p w14:paraId="54C62D86">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4、有选择的或有条件的报价将不予接受。</w:t>
      </w:r>
    </w:p>
    <w:p w14:paraId="3CF67F0C">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（四）修正错误</w:t>
      </w:r>
    </w:p>
    <w:p w14:paraId="535FCF2D">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若投标文件出现计算或表达上的错误，修正错误的原则如下：</w:t>
      </w:r>
    </w:p>
    <w:p w14:paraId="53F36DCD">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1、报价函与收支分项测算不一致的，以报价函为准；</w:t>
      </w:r>
    </w:p>
    <w:p w14:paraId="45C2627A">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2、报价函的大写金额和小写金额不一致的，以大写金额为准；</w:t>
      </w:r>
    </w:p>
    <w:p w14:paraId="12C4B50B">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3、金额小数点有明显错位的，应予以纠正；</w:t>
      </w:r>
    </w:p>
    <w:p w14:paraId="0CACDCCF">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4、对不同文字文本投标文件的解释发生异议的，以中文文本为准。</w:t>
      </w:r>
    </w:p>
    <w:p w14:paraId="0EAFF913">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评标委员会按上述修正错误的原则及方法调整或修正投标人投标报价，调整后的投标报价对投标人具有约束作用。如果投标人不接受修正后的报价，则其投标将作为无效投标处理。</w:t>
      </w:r>
    </w:p>
    <w:p w14:paraId="355F9A1F">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（五）投标文件的递交</w:t>
      </w:r>
    </w:p>
    <w:p w14:paraId="340CB68A">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1、投标文件的密封与标记</w:t>
      </w:r>
    </w:p>
    <w:p w14:paraId="313C3E9B">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投标文件应用密封袋集中密封。密封袋上注明项目名称、投标人名称及“不准提前启封”字样。封口须加盖投标人公章。</w:t>
      </w:r>
    </w:p>
    <w:p w14:paraId="2F34BBE0">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2、如果未按上述规定进行密封和标记，招标代理公司对投标文件误投、丢失或提前拆封不负责任；对未密封或密封情况特别糟糕的投标人，代理公司经过与招标方现场代表协商一致后可否决其投标资格，已缴纳的招标文件购买费不予退还。</w:t>
      </w:r>
    </w:p>
    <w:p w14:paraId="7154D014">
      <w:pPr>
        <w:spacing w:line="400" w:lineRule="exact"/>
        <w:ind w:right="12" w:firstLine="480"/>
        <w:rPr>
          <w:rFonts w:ascii="仿宋" w:hAnsi="仿宋" w:eastAsia="仿宋"/>
          <w:color w:val="000000"/>
          <w:sz w:val="28"/>
          <w:szCs w:val="28"/>
        </w:rPr>
      </w:pPr>
      <w:bookmarkStart w:id="24" w:name="_Toc271791980"/>
      <w:bookmarkEnd w:id="24"/>
      <w:bookmarkStart w:id="25" w:name="_Toc311729672"/>
      <w:r>
        <w:rPr>
          <w:rFonts w:hint="eastAsia" w:ascii="仿宋" w:hAnsi="仿宋" w:eastAsia="仿宋"/>
          <w:color w:val="000000"/>
          <w:sz w:val="28"/>
          <w:szCs w:val="28"/>
        </w:rPr>
        <w:t>五、开标</w:t>
      </w:r>
      <w:bookmarkEnd w:id="25"/>
    </w:p>
    <w:p w14:paraId="1AB3E6D9">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（一）开标在招标文件中“投标邀请书”确定的时间和地点公开进行。</w:t>
      </w:r>
    </w:p>
    <w:p w14:paraId="6AE1DC09">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二）招标代理公司可以视招标具体情况，延长投标截止时间和开标时间，但至少应当在招标文件要求提交投标文件的截止时间三日前，将变更时间在重庆市潼南区住房和城乡建设委员会网站（http://www.cqtn.gov.cn/bm/qzfcxjw/）书面通知。</w:t>
      </w:r>
    </w:p>
    <w:p w14:paraId="0071F873">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（三）开标由招标代理公司主持，邀请招标人、投标人、评审专家和有关监督部门代表参加。</w:t>
      </w:r>
    </w:p>
    <w:p w14:paraId="44D79558">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（四）开标时，由投标人或者其推选的代表检查投标文件的密封情况；经确认密封完好的投标文件，由工作人员当众拆封，宣读投标人投标文件“报价函”的投标人名称和投标报价，以及其他主要内容并记录。</w:t>
      </w:r>
    </w:p>
    <w:p w14:paraId="3FE466EC">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（五）未宣读的投标价格等实质性内容等，评标时不予承认。</w:t>
      </w:r>
    </w:p>
    <w:p w14:paraId="6564A2A9">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（六）开标过程应由签到表、报价确认表、专家评分表、招标人评分表、得分汇总表、经济标标底、监督人致辞组成。会后交物业主管部门存档备查。</w:t>
      </w:r>
    </w:p>
    <w:p w14:paraId="61EE4765">
      <w:pPr>
        <w:spacing w:line="400" w:lineRule="exact"/>
        <w:ind w:right="12" w:firstLine="480"/>
        <w:rPr>
          <w:rFonts w:ascii="仿宋" w:hAnsi="仿宋" w:eastAsia="仿宋"/>
          <w:color w:val="000000"/>
          <w:sz w:val="28"/>
          <w:szCs w:val="28"/>
        </w:rPr>
      </w:pPr>
      <w:bookmarkStart w:id="26" w:name="_Toc271791981"/>
      <w:bookmarkEnd w:id="26"/>
      <w:bookmarkStart w:id="27" w:name="_Toc311729673"/>
      <w:r>
        <w:rPr>
          <w:rFonts w:hint="eastAsia" w:ascii="仿宋" w:hAnsi="仿宋" w:eastAsia="仿宋"/>
          <w:color w:val="000000"/>
          <w:sz w:val="28"/>
          <w:szCs w:val="28"/>
        </w:rPr>
        <w:t>六、评标</w:t>
      </w:r>
      <w:bookmarkEnd w:id="27"/>
    </w:p>
    <w:p w14:paraId="71CB2DE0">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见第四篇“评标”内容。</w:t>
      </w:r>
    </w:p>
    <w:p w14:paraId="5263EB5C">
      <w:pPr>
        <w:spacing w:line="400" w:lineRule="exact"/>
        <w:ind w:right="12" w:firstLine="480"/>
        <w:rPr>
          <w:rFonts w:ascii="仿宋" w:hAnsi="仿宋" w:eastAsia="仿宋"/>
          <w:color w:val="000000"/>
          <w:sz w:val="28"/>
          <w:szCs w:val="28"/>
        </w:rPr>
      </w:pPr>
      <w:bookmarkStart w:id="28" w:name="_Toc271791982"/>
      <w:bookmarkEnd w:id="28"/>
      <w:bookmarkStart w:id="29" w:name="_Toc311729674"/>
      <w:r>
        <w:rPr>
          <w:rFonts w:hint="eastAsia" w:ascii="仿宋" w:hAnsi="仿宋" w:eastAsia="仿宋"/>
          <w:color w:val="000000"/>
          <w:sz w:val="28"/>
          <w:szCs w:val="28"/>
        </w:rPr>
        <w:t>七、定标</w:t>
      </w:r>
      <w:bookmarkEnd w:id="29"/>
    </w:p>
    <w:p w14:paraId="5A0758BC">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（一）定标原则</w:t>
      </w:r>
    </w:p>
    <w:p w14:paraId="7351253F">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招标人或其授权的评标委员会应按照评标报告中推荐的中标候选投标人排名顺序确定中标投标人。</w:t>
      </w:r>
    </w:p>
    <w:p w14:paraId="6CAE3727">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（二）定标程序</w:t>
      </w:r>
    </w:p>
    <w:p w14:paraId="1D5D47D3">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1、招标代理机构在招标人代表和评标委员会打分结束后，当场统计各投标人的得分情况，并由评标委员会评审组长宣读评分结果同时对本次招投标情况进行点评。</w:t>
      </w:r>
    </w:p>
    <w:p w14:paraId="53085BDA">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开标会结束后，在重庆市潼南区住房和城乡建设委员会网站（http://www.cqtn.gov.cn/bm/qzfcxjw/）发布公示评标结果。</w:t>
      </w:r>
    </w:p>
    <w:p w14:paraId="0261E985">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2、投标人对评标结果无异议的，招标人应在收到评标报告后3个工作日内对评标结果进行确认。如有投标人对评标结果提出质疑的，招标人可在质疑处理完毕后确定中标人。</w:t>
      </w:r>
    </w:p>
    <w:p w14:paraId="7D2CAEEF">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3、中标投标人变更</w:t>
      </w:r>
    </w:p>
    <w:p w14:paraId="2EE7E1A2">
      <w:pPr>
        <w:spacing w:line="400" w:lineRule="exact"/>
        <w:ind w:right="12" w:firstLine="480"/>
        <w:rPr>
          <w:rFonts w:ascii="仿宋" w:hAnsi="仿宋" w:eastAsia="仿宋"/>
          <w:color w:val="000000"/>
          <w:sz w:val="28"/>
          <w:szCs w:val="28"/>
        </w:rPr>
      </w:pPr>
      <w:bookmarkStart w:id="30" w:name="_Toc271791983"/>
      <w:bookmarkEnd w:id="30"/>
      <w:bookmarkStart w:id="31" w:name="_Toc311729675"/>
      <w:r>
        <w:rPr>
          <w:rFonts w:hint="eastAsia" w:ascii="仿宋" w:hAnsi="仿宋" w:eastAsia="仿宋"/>
          <w:color w:val="000000"/>
          <w:sz w:val="28"/>
          <w:szCs w:val="28"/>
        </w:rPr>
        <w:t>3.1若中标人因不可抗力或者自身原因不能履行合同的，须提交书面说明放弃中标人身份，招标人可以确定排名其后一位的中标候选人为中标人</w:t>
      </w:r>
      <w:bookmarkEnd w:id="31"/>
      <w:r>
        <w:rPr>
          <w:rFonts w:hint="eastAsia" w:ascii="仿宋" w:hAnsi="仿宋" w:eastAsia="仿宋"/>
          <w:color w:val="000000"/>
          <w:sz w:val="28"/>
          <w:szCs w:val="28"/>
        </w:rPr>
        <w:t>。</w:t>
      </w:r>
    </w:p>
    <w:p w14:paraId="5F609DC7">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3.2中标人如放弃中标身份但不提供书面手续的，招标人将会同招标代理机构把相关情况报当地物业主管部门，由物业主管部门酌情进行处罚，并在重庆市潼南区住房和城乡建设委员会网站（http://www.cqtn.gov.cn/bm/qzfcxjw/）公示取消中标人中标身份。</w:t>
      </w:r>
    </w:p>
    <w:p w14:paraId="2D586212">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八、中标通知书</w:t>
      </w:r>
    </w:p>
    <w:p w14:paraId="28553729">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（一）招标人确定中标人后，招标代理机构以书面形式发出中标通知书。</w:t>
      </w:r>
    </w:p>
    <w:p w14:paraId="760B32A1">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（二）中标通知书发出后，招标人改变中标结果，应当承担相应的法律责任。如中标投标人放弃中标，须提交书面说明放弃中标人身份。</w:t>
      </w:r>
    </w:p>
    <w:p w14:paraId="419AB244">
      <w:pPr>
        <w:spacing w:line="400" w:lineRule="exact"/>
        <w:ind w:right="12" w:firstLine="480"/>
        <w:rPr>
          <w:rFonts w:ascii="仿宋" w:hAnsi="仿宋" w:eastAsia="仿宋"/>
          <w:color w:val="000000"/>
          <w:sz w:val="28"/>
          <w:szCs w:val="28"/>
        </w:rPr>
      </w:pPr>
      <w:bookmarkStart w:id="32" w:name="_Toc271791984"/>
      <w:bookmarkEnd w:id="32"/>
      <w:bookmarkStart w:id="33" w:name="_Toc311729676"/>
      <w:r>
        <w:rPr>
          <w:rFonts w:hint="eastAsia" w:ascii="仿宋" w:hAnsi="仿宋" w:eastAsia="仿宋"/>
          <w:color w:val="000000"/>
          <w:sz w:val="28"/>
          <w:szCs w:val="28"/>
        </w:rPr>
        <w:t>九、</w:t>
      </w:r>
      <w:bookmarkEnd w:id="33"/>
      <w:bookmarkStart w:id="34" w:name="_Toc271791986"/>
      <w:bookmarkEnd w:id="34"/>
      <w:bookmarkStart w:id="35" w:name="_Toc271791985"/>
      <w:r>
        <w:rPr>
          <w:rFonts w:hint="eastAsia" w:ascii="仿宋" w:hAnsi="仿宋" w:eastAsia="仿宋"/>
          <w:color w:val="000000"/>
          <w:sz w:val="28"/>
          <w:szCs w:val="28"/>
        </w:rPr>
        <w:t>询问、质疑和投诉</w:t>
      </w:r>
    </w:p>
    <w:p w14:paraId="65407A89">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（一）询问</w:t>
      </w:r>
    </w:p>
    <w:p w14:paraId="201DFD96">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招标人或者招标代理机构应当在一个工作日内对投标人依法提出的询问作出答复。投标人询问和招标人招标代理机构答复均可以是口头或书面形式。</w:t>
      </w:r>
    </w:p>
    <w:p w14:paraId="35EDBF2A">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（二）质疑</w:t>
      </w:r>
    </w:p>
    <w:p w14:paraId="0C3FF874">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1.质疑内容、时限</w:t>
      </w:r>
    </w:p>
    <w:p w14:paraId="2CEE6BAF">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1.1招标文件公告期限为招标公告发出之日起七个工作日，投标人对招标文件提出质疑的，应在招标文件公告期限内向招标人、招标代理机构提出。</w:t>
      </w:r>
    </w:p>
    <w:p w14:paraId="397CACF8">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1.2 投标人对招标过程提出质疑的，应在各招标程序环节结束之日起三个工作日内以书面形式向招标人、招标代理机构提出，并附相关证明材料。</w:t>
      </w:r>
    </w:p>
    <w:p w14:paraId="7AD9FE79">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1.3中标结果公告期限为中标结果公告发出之日起三个工作日，投标人对中标结果如有异议的，应当在中标结果公告期限届满之前以书面形式向招标人或招标代理机构提出质疑，并附相关证明材料。</w:t>
      </w:r>
    </w:p>
    <w:p w14:paraId="55ED02B5">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1.4投标人对招标文件中的投标人特定资格条件、技术质量和商务要求、评审标准有异议的，应主要向招标人提出质疑，其他问题可向招标代理机构提出质疑。</w:t>
      </w:r>
    </w:p>
    <w:p w14:paraId="65A6DDF5">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2.质疑答复</w:t>
      </w:r>
    </w:p>
    <w:p w14:paraId="00B74AB3">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招标人、招标代理机构应当在收到投标人的书面质疑后一个工作日内作出答复，答复可以是口头或书面形式。</w:t>
      </w:r>
    </w:p>
    <w:p w14:paraId="2B9ACB83">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（三）投诉</w:t>
      </w:r>
    </w:p>
    <w:p w14:paraId="01777EE7">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1.投标人对招标人、招标代理机构的答复不满意，或者招标人、招标代理机构未在规定时间内答复的，可在答复期满后十五个工作日内按有关规定，向招标人所在地主管部门投诉。</w:t>
      </w:r>
    </w:p>
    <w:p w14:paraId="4C12F9BC">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2.在提出投诉时，应附送相关证明材料。</w:t>
      </w:r>
    </w:p>
    <w:p w14:paraId="13DB3D27">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3.在确定受理投诉后，主管部门自受理投诉之日起三十个工作日内（进行调查取证或者组织质证时间除外）对投诉事项做出处理决定，并将投诉处理决定书送达投诉人、被投诉人和其他与投诉处理决定有利害关系的招标相关当事人，同时在重庆市潼南区住房和城乡建设委员会网站（http://www.cqtn.gov.cn/bm/qzfcxjw/）公告投诉处理决定书。</w:t>
      </w:r>
    </w:p>
    <w:p w14:paraId="64FA78F6">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十、</w:t>
      </w:r>
      <w:bookmarkEnd w:id="35"/>
      <w:r>
        <w:rPr>
          <w:rFonts w:hint="eastAsia" w:ascii="仿宋" w:hAnsi="仿宋" w:eastAsia="仿宋"/>
          <w:color w:val="000000"/>
          <w:sz w:val="28"/>
          <w:szCs w:val="28"/>
        </w:rPr>
        <w:t>签订合同</w:t>
      </w:r>
    </w:p>
    <w:p w14:paraId="42ED56E9">
      <w:pPr>
        <w:spacing w:line="400" w:lineRule="exact"/>
        <w:ind w:right="12" w:firstLine="480"/>
        <w:rPr>
          <w:rFonts w:ascii="仿宋" w:hAnsi="仿宋" w:eastAsia="仿宋"/>
          <w:color w:val="000000"/>
          <w:sz w:val="28"/>
          <w:szCs w:val="28"/>
        </w:rPr>
      </w:pPr>
      <w:bookmarkStart w:id="36" w:name="_Toc311729679"/>
      <w:bookmarkEnd w:id="36"/>
      <w:r>
        <w:rPr>
          <w:rFonts w:hint="eastAsia" w:ascii="仿宋" w:hAnsi="仿宋" w:eastAsia="仿宋"/>
          <w:color w:val="000000"/>
          <w:sz w:val="28"/>
          <w:szCs w:val="28"/>
        </w:rPr>
        <w:t>（一）招标人应当自中标通知书发出之日起三十日内，按照招标文件和中标人投标文件的约定，与中标人签订书面合同。所签订的合同不得对招标文件和中标人投标文件作实质性修改。</w:t>
      </w:r>
    </w:p>
    <w:p w14:paraId="77CEF3B0">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（二）招标文件、中标人的投标文件及澄清文件等，均为签订合同的依据。</w:t>
      </w:r>
    </w:p>
    <w:p w14:paraId="575C1B79">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（三）合同生效条款由供需双方约定，法律、行政法规规定应当办理批准、登记等手续后生效的合同，依照其规定。</w:t>
      </w:r>
    </w:p>
    <w:p w14:paraId="1D4B5809">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（四）合同原则上应按照样本签订，相关单位要求适用合同通用格式版本的，应按其要求另行签订其他合同。</w:t>
      </w:r>
    </w:p>
    <w:p w14:paraId="5132A59D">
      <w:pPr>
        <w:spacing w:line="500" w:lineRule="exact"/>
        <w:jc w:val="center"/>
        <w:outlineLvl w:val="0"/>
        <w:rPr>
          <w:rFonts w:ascii="仿宋" w:hAnsi="仿宋" w:eastAsia="仿宋"/>
          <w:b/>
          <w:bCs/>
          <w:color w:val="000000"/>
          <w:sz w:val="28"/>
          <w:szCs w:val="28"/>
        </w:rPr>
      </w:pPr>
      <w:bookmarkStart w:id="37" w:name="_Toc311729678"/>
      <w:bookmarkEnd w:id="37"/>
      <w:bookmarkStart w:id="38" w:name="_Toc311729680"/>
      <w:bookmarkEnd w:id="38"/>
      <w:r>
        <w:rPr>
          <w:rFonts w:hint="eastAsia" w:ascii="仿宋" w:hAnsi="仿宋" w:eastAsia="仿宋"/>
          <w:b/>
          <w:color w:val="000000"/>
          <w:sz w:val="28"/>
          <w:szCs w:val="28"/>
        </w:rPr>
        <w:t>第六篇  合同样本</w:t>
      </w:r>
    </w:p>
    <w:p w14:paraId="3296248F">
      <w:pPr>
        <w:spacing w:line="500" w:lineRule="exact"/>
        <w:jc w:val="center"/>
        <w:outlineLvl w:val="0"/>
        <w:rPr>
          <w:rFonts w:ascii="仿宋" w:hAnsi="仿宋" w:eastAsia="仿宋"/>
          <w:color w:val="000000"/>
          <w:sz w:val="28"/>
          <w:szCs w:val="28"/>
        </w:rPr>
      </w:pPr>
      <w:bookmarkStart w:id="39" w:name="_Toc271791987"/>
      <w:bookmarkEnd w:id="39"/>
      <w:r>
        <w:rPr>
          <w:rFonts w:hint="eastAsia" w:ascii="仿宋" w:hAnsi="仿宋" w:eastAsia="仿宋"/>
          <w:color w:val="000000"/>
          <w:sz w:val="28"/>
          <w:szCs w:val="28"/>
        </w:rPr>
        <w:t>前期物业管理服务合同</w:t>
      </w:r>
    </w:p>
    <w:p w14:paraId="61DB9720">
      <w:pPr>
        <w:spacing w:line="400" w:lineRule="exact"/>
        <w:ind w:right="12" w:firstLine="480"/>
        <w:jc w:val="center"/>
        <w:rPr>
          <w:rFonts w:ascii="仿宋" w:hAnsi="仿宋" w:eastAsia="仿宋"/>
          <w:color w:val="000000"/>
          <w:sz w:val="28"/>
          <w:szCs w:val="28"/>
        </w:rPr>
      </w:pPr>
      <w:r>
        <w:rPr>
          <w:rFonts w:hint="eastAsia" w:ascii="仿宋" w:hAnsi="仿宋" w:eastAsia="仿宋"/>
          <w:b/>
          <w:bCs/>
          <w:color w:val="000000"/>
          <w:sz w:val="28"/>
          <w:szCs w:val="28"/>
        </w:rPr>
        <w:t>第一章 总则</w:t>
      </w:r>
    </w:p>
    <w:p w14:paraId="56F7AA97">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本合同当事人：</w:t>
      </w:r>
    </w:p>
    <w:p w14:paraId="0728929B">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甲方：委托方（以下简称甲方）：</w:t>
      </w:r>
    </w:p>
    <w:p w14:paraId="6B23C3DA">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企业名称：</w:t>
      </w:r>
    </w:p>
    <w:p w14:paraId="4DE84352">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 xml:space="preserve">法定代表人：            联系电话：             </w:t>
      </w:r>
    </w:p>
    <w:p w14:paraId="4E4E194F">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地   址：</w:t>
      </w:r>
    </w:p>
    <w:p w14:paraId="02FC2798">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乙方：受委托方（以下简称乙方）：</w:t>
      </w:r>
    </w:p>
    <w:p w14:paraId="0F4CCF6F">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 xml:space="preserve">企业名称： </w:t>
      </w:r>
    </w:p>
    <w:p w14:paraId="5CD0299F">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 xml:space="preserve">法定代表人：           联系电话：              </w:t>
      </w:r>
    </w:p>
    <w:p w14:paraId="08820A30">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 xml:space="preserve">地址： </w:t>
      </w:r>
    </w:p>
    <w:p w14:paraId="30CDBC79">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第一条  根据《中华人民共和国合同法》、《</w:t>
      </w:r>
      <w:r>
        <w:fldChar w:fldCharType="begin"/>
      </w:r>
      <w:r>
        <w:instrText xml:space="preserve"> HYPERLINK "http://www.wyfwgw.com/laws/29.html" \t "_blank" </w:instrText>
      </w:r>
      <w:r>
        <w:fldChar w:fldCharType="separate"/>
      </w:r>
      <w:r>
        <w:rPr>
          <w:rFonts w:hint="eastAsia" w:ascii="仿宋" w:hAnsi="仿宋" w:eastAsia="仿宋"/>
          <w:color w:val="000000"/>
          <w:sz w:val="28"/>
          <w:szCs w:val="28"/>
        </w:rPr>
        <w:t>中华人民共和国物权法</w:t>
      </w:r>
      <w:r>
        <w:rPr>
          <w:rFonts w:hint="eastAsia" w:ascii="仿宋" w:hAnsi="仿宋" w:eastAsia="仿宋"/>
          <w:color w:val="000000"/>
          <w:sz w:val="28"/>
          <w:szCs w:val="28"/>
        </w:rPr>
        <w:fldChar w:fldCharType="end"/>
      </w:r>
      <w:r>
        <w:rPr>
          <w:rFonts w:hint="eastAsia" w:ascii="仿宋" w:hAnsi="仿宋" w:eastAsia="仿宋"/>
          <w:color w:val="000000"/>
          <w:sz w:val="28"/>
          <w:szCs w:val="28"/>
        </w:rPr>
        <w:t>》、《</w:t>
      </w:r>
      <w:r>
        <w:fldChar w:fldCharType="begin"/>
      </w:r>
      <w:r>
        <w:instrText xml:space="preserve"> HYPERLINK "http://www.wyfwgw.com/laws/5.html" \t "_blank" </w:instrText>
      </w:r>
      <w:r>
        <w:fldChar w:fldCharType="separate"/>
      </w:r>
      <w:r>
        <w:rPr>
          <w:rFonts w:hint="eastAsia" w:ascii="仿宋" w:hAnsi="仿宋" w:eastAsia="仿宋"/>
          <w:color w:val="000000"/>
          <w:sz w:val="28"/>
          <w:szCs w:val="28"/>
        </w:rPr>
        <w:t>物业管理条例</w:t>
      </w:r>
      <w:r>
        <w:rPr>
          <w:rFonts w:hint="eastAsia" w:ascii="仿宋" w:hAnsi="仿宋" w:eastAsia="仿宋"/>
          <w:color w:val="000000"/>
          <w:sz w:val="28"/>
          <w:szCs w:val="28"/>
        </w:rPr>
        <w:fldChar w:fldCharType="end"/>
      </w:r>
      <w:r>
        <w:rPr>
          <w:rFonts w:hint="eastAsia" w:ascii="仿宋" w:hAnsi="仿宋" w:eastAsia="仿宋"/>
          <w:color w:val="000000"/>
          <w:sz w:val="28"/>
          <w:szCs w:val="28"/>
        </w:rPr>
        <w:t>》及《重庆市物业管理条例》等有关法律、法规的规定，甲乙双方在自愿、平等、公平、诚实信用的基础上，就甲方将“福江香郡三期”委托给乙方实行物业服务有关事宜,协商订立本合同。</w:t>
      </w:r>
    </w:p>
    <w:p w14:paraId="6ABE0803">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第二条　乙方提供服务的受益人为本物业的全体业主和物业使用人，本物业的全体业主和物业使用人均应履行本合同，承担相应的责任。</w:t>
      </w:r>
    </w:p>
    <w:p w14:paraId="75699E3A">
      <w:pPr>
        <w:snapToGrid w:val="0"/>
        <w:spacing w:line="500" w:lineRule="exact"/>
        <w:ind w:firstLine="562" w:firstLineChars="200"/>
        <w:jc w:val="center"/>
        <w:rPr>
          <w:rFonts w:ascii="仿宋" w:hAnsi="仿宋" w:eastAsia="仿宋"/>
          <w:color w:val="000000"/>
          <w:sz w:val="28"/>
          <w:szCs w:val="28"/>
        </w:rPr>
      </w:pPr>
      <w:r>
        <w:rPr>
          <w:rFonts w:hint="eastAsia" w:ascii="仿宋" w:hAnsi="仿宋" w:eastAsia="仿宋"/>
          <w:b/>
          <w:bCs/>
          <w:color w:val="000000"/>
          <w:sz w:val="28"/>
          <w:szCs w:val="28"/>
        </w:rPr>
        <w:t>第二章 委托服务事项</w:t>
      </w:r>
    </w:p>
    <w:p w14:paraId="34CE4D14">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第三条  物业管理类型：      商业、住宅、停车库     。</w:t>
      </w:r>
    </w:p>
    <w:p w14:paraId="63E18B5E">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物业总建筑面积：            平方米；</w:t>
      </w:r>
    </w:p>
    <w:p w14:paraId="3E2876B6">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住宅建筑面积：              平方米；</w:t>
      </w:r>
    </w:p>
    <w:p w14:paraId="094BDF60">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商业建筑面积：              平方米。</w:t>
      </w:r>
    </w:p>
    <w:p w14:paraId="11EBD505">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 xml:space="preserve">物业管理区域四至：   </w:t>
      </w:r>
    </w:p>
    <w:p w14:paraId="2A96CD48">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 xml:space="preserve">东：                南：  </w:t>
      </w:r>
    </w:p>
    <w:p w14:paraId="2225BE1B">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 xml:space="preserve">西：                北：  </w:t>
      </w:r>
    </w:p>
    <w:p w14:paraId="1E5D1595">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乙方应按照《重庆市物业服务收费管理办法》提供四级或以上标准服务。</w:t>
      </w:r>
    </w:p>
    <w:p w14:paraId="17010129">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第四条  制订物业服务工作计划并组织实施；管理相关的工程图纸、档案与竣工验收资料等；根据法律、法规和《临时管理规约》的授权制订物业服务的有关制度。</w:t>
      </w:r>
    </w:p>
    <w:p w14:paraId="34FB895B">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第五条  房屋建筑共用部位的维修、养护和管理，包括：楼盖、屋顶、外墙面、承重墙体结构、楼梯间、走廊通道、门厅等。</w:t>
      </w:r>
    </w:p>
    <w:p w14:paraId="6A040849">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第六条  共用设施、设备的维修、养护、运行和管理，包括：共用的上下水管道、落水管、污水管、垃圾道、共用照明、天线、中央空调、高压水泵房、楼内消防设施设备、电梯等。</w:t>
      </w:r>
    </w:p>
    <w:p w14:paraId="5DEE94AD">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第七条  建筑及其设施在国家规定的保修期内协调开发商、承建商进行对甲方所有单元内发生的墙体、水、电、气、通讯、共用天线、排污、排水系统等建筑体系保修；保修期后实施有偿服务或协调专业机构或职能部门有偿维护维修。</w:t>
      </w:r>
    </w:p>
    <w:p w14:paraId="730EC7F7">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第八条  环境卫生及绿化养护</w:t>
      </w:r>
    </w:p>
    <w:p w14:paraId="7669A3F4">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1、公共环境、房屋共用部位的保洁，生活垃圾收集并运至垃圾消纳站（不含垃圾消纳的管理及装饰装修垃圾收集和清运），化粪池清掏。</w:t>
      </w:r>
    </w:p>
    <w:p w14:paraId="5B90CFFF">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2、公用绿地、花木、建筑小品等的养护与管理，使之处于良好状态。</w:t>
      </w:r>
    </w:p>
    <w:p w14:paraId="1EE7C1B6">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第九条  公共秩序维护工作</w:t>
      </w:r>
    </w:p>
    <w:p w14:paraId="2C398A56">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1、建立预防性安全防范体系并设立应急机制，配合公安机关进行秩序监控和巡视等工作，但不包含甲方产权范围内人身财产的保险、保证和保管责任。双方另行签订人身、财产保险和财产保管专项合同的，以专项合同的约定执行。</w:t>
      </w:r>
    </w:p>
    <w:p w14:paraId="374FD8F8">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2、对来访客人办理访问手续，控制闲杂人员进入小区。</w:t>
      </w:r>
    </w:p>
    <w:p w14:paraId="617BDB34">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3、维持小区的交通秩序。对本物业区域内的交通状况预测和安排，使本物业区域内车辆停放有序，交通顺畅（不含人身、财产的保险、保管责任）。</w:t>
      </w:r>
    </w:p>
    <w:p w14:paraId="37FAF05C">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4、地震、地陷、火灾等突发事件的组织疏导和协助施救工作。</w:t>
      </w:r>
    </w:p>
    <w:p w14:paraId="525EE62C">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5、定期或不定期巡视、检查小区，及时采取措施以防止任何人未经乙方同意或违反本协议的约定而占用、变更、损害公共服务设施、设备,制止违反本物业的物业管理制度、本协议、《</w:t>
      </w:r>
      <w:r>
        <w:fldChar w:fldCharType="begin"/>
      </w:r>
      <w:r>
        <w:instrText xml:space="preserve"> HYPERLINK "http://www.wyfwgw.com/laws/3733.html" \t "_blank" </w:instrText>
      </w:r>
      <w:r>
        <w:fldChar w:fldCharType="separate"/>
      </w:r>
      <w:r>
        <w:rPr>
          <w:rFonts w:hint="eastAsia" w:ascii="仿宋" w:hAnsi="仿宋" w:eastAsia="仿宋"/>
          <w:color w:val="000000"/>
          <w:sz w:val="28"/>
          <w:szCs w:val="28"/>
        </w:rPr>
        <w:t>临时管理规约</w:t>
      </w:r>
      <w:r>
        <w:rPr>
          <w:rFonts w:hint="eastAsia" w:ascii="仿宋" w:hAnsi="仿宋" w:eastAsia="仿宋"/>
          <w:color w:val="000000"/>
          <w:sz w:val="28"/>
          <w:szCs w:val="28"/>
        </w:rPr>
        <w:fldChar w:fldCharType="end"/>
      </w:r>
      <w:r>
        <w:rPr>
          <w:rFonts w:hint="eastAsia" w:ascii="仿宋" w:hAnsi="仿宋" w:eastAsia="仿宋"/>
          <w:color w:val="000000"/>
          <w:sz w:val="28"/>
          <w:szCs w:val="28"/>
        </w:rPr>
        <w:t>》的行为。</w:t>
      </w:r>
    </w:p>
    <w:p w14:paraId="00AB8938">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6、发生安全事故，及时向有关部门报告，采取相应措施，协助做好救助工作。</w:t>
      </w:r>
    </w:p>
    <w:p w14:paraId="2047C369">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7、消防工作，包括公共区域消防设施的维护以及消防管理制度的建立、消防设施的检查、维护以及定期进行消防训练，保证有关人员掌握消防基本技能。</w:t>
      </w:r>
    </w:p>
    <w:p w14:paraId="4C69FF9F">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第十条  档案资料管理</w:t>
      </w:r>
    </w:p>
    <w:p w14:paraId="15119270">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1、本物业竣工资料、图纸及接管验收档案的管理。</w:t>
      </w:r>
    </w:p>
    <w:p w14:paraId="6994CF2C">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2、业主及非业主使用人的档案资料的管理。</w:t>
      </w:r>
    </w:p>
    <w:p w14:paraId="5EBE20AE">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第十一条  房屋装饰装修管理</w:t>
      </w:r>
    </w:p>
    <w:p w14:paraId="47D4EC9D">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严格按照《中华人民共和国消防法》、《</w:t>
      </w:r>
      <w:r>
        <w:fldChar w:fldCharType="begin"/>
      </w:r>
      <w:r>
        <w:instrText xml:space="preserve"> HYPERLINK "http://www.wyfwgw.com/laws/621.html" \t "_blank" </w:instrText>
      </w:r>
      <w:r>
        <w:fldChar w:fldCharType="separate"/>
      </w:r>
      <w:r>
        <w:rPr>
          <w:rFonts w:hint="eastAsia" w:ascii="仿宋" w:hAnsi="仿宋" w:eastAsia="仿宋"/>
          <w:color w:val="000000"/>
          <w:sz w:val="28"/>
          <w:szCs w:val="28"/>
        </w:rPr>
        <w:t>住宅室内装饰装修管理办法</w:t>
      </w:r>
      <w:r>
        <w:rPr>
          <w:rFonts w:hint="eastAsia" w:ascii="仿宋" w:hAnsi="仿宋" w:eastAsia="仿宋"/>
          <w:color w:val="000000"/>
          <w:sz w:val="28"/>
          <w:szCs w:val="28"/>
        </w:rPr>
        <w:fldChar w:fldCharType="end"/>
      </w:r>
      <w:r>
        <w:rPr>
          <w:rFonts w:hint="eastAsia" w:ascii="仿宋" w:hAnsi="仿宋" w:eastAsia="仿宋"/>
          <w:color w:val="000000"/>
          <w:sz w:val="28"/>
          <w:szCs w:val="28"/>
        </w:rPr>
        <w:t>》、《重庆市消防条例》、《重庆市城市容貌管理条例》、《重庆市户外广告管理条例》以及物业服务公司按照有关法规、条例等制定的装修管理规定对装修方案进行审核，对装修过程进行监督，并对违规行为进行制止。</w:t>
      </w:r>
    </w:p>
    <w:p w14:paraId="34A0A90C">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第十二条  受所有权人委托，对小区配套设施如停车场（库）等场所进行管理。</w:t>
      </w:r>
    </w:p>
    <w:p w14:paraId="7EC1A638">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第十三条　对小区公共区域及甲方保留区域进行管理。</w:t>
      </w:r>
    </w:p>
    <w:p w14:paraId="6DE79C7F">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第十四条  不定期的组织开展社区文化娱乐活动，加强业主间的沟通和文化交流。设立小区信息发布栏，加强与业主的联系和消息发布。</w:t>
      </w:r>
    </w:p>
    <w:p w14:paraId="591EC536">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第十五条　负责向业主和物业使用人收取下列费用：</w:t>
      </w:r>
    </w:p>
    <w:p w14:paraId="0F0CEA8C">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1、物业服务费（住宅、商业、停车库）；</w:t>
      </w:r>
    </w:p>
    <w:p w14:paraId="432A48E0">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2、停车场车位物业服务费；</w:t>
      </w:r>
    </w:p>
    <w:p w14:paraId="54F5F18D">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3、其它有偿服务费；</w:t>
      </w:r>
    </w:p>
    <w:p w14:paraId="714BDC4A">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4、物业维修资金。</w:t>
      </w:r>
    </w:p>
    <w:p w14:paraId="35D59000">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第十六条  各项费用的调整</w:t>
      </w:r>
    </w:p>
    <w:p w14:paraId="3FB1278D">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乙方应当就物业服务费使用制定独立账目管理，并可按照实际支出合理调整物业服务费，但乙方须提前与业主和物业使用人商议决定。</w:t>
      </w:r>
    </w:p>
    <w:p w14:paraId="58C1869E">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第十七条　对业主和物业使用人违反物业管理方面的法律法规或《临时管理规约》的行为，针对具体行为并根据情节轻重，采取规劝、制止、追究法律责任等措施。</w:t>
      </w:r>
    </w:p>
    <w:p w14:paraId="71032967">
      <w:pPr>
        <w:snapToGrid w:val="0"/>
        <w:spacing w:line="500" w:lineRule="exact"/>
        <w:ind w:firstLine="562" w:firstLineChars="200"/>
        <w:jc w:val="center"/>
        <w:rPr>
          <w:rFonts w:ascii="仿宋" w:hAnsi="仿宋" w:eastAsia="仿宋"/>
          <w:b/>
          <w:bCs/>
          <w:color w:val="000000"/>
          <w:sz w:val="28"/>
          <w:szCs w:val="28"/>
        </w:rPr>
      </w:pPr>
      <w:r>
        <w:rPr>
          <w:rFonts w:hint="eastAsia" w:ascii="仿宋" w:hAnsi="仿宋" w:eastAsia="仿宋"/>
          <w:b/>
          <w:bCs/>
          <w:color w:val="000000"/>
          <w:sz w:val="28"/>
          <w:szCs w:val="28"/>
        </w:rPr>
        <w:t>第三章 双方权利义务</w:t>
      </w:r>
    </w:p>
    <w:p w14:paraId="648DB16B">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第十八条　甲方权利义务</w:t>
      </w:r>
    </w:p>
    <w:p w14:paraId="55BCFBA6">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1、审定乙方拟订的前期介入服务方案、小区物业服务方案；</w:t>
      </w:r>
    </w:p>
    <w:p w14:paraId="39706B5F">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2、检查监督乙方服务的实施及合同的执行情况；</w:t>
      </w:r>
    </w:p>
    <w:p w14:paraId="60B91AE0">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3、审定乙方提出的前期介入服务工作计划、物业管理服务年度计划、财务预算及决算；</w:t>
      </w:r>
    </w:p>
    <w:p w14:paraId="03728057">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4、负责制定《临时管理规约》和提供《住宅使用说明书》、《住宅质量保证书》，并在房屋销售时公示《临时管理规约》；</w:t>
      </w:r>
    </w:p>
    <w:p w14:paraId="69747C17">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5、委托乙方管理的房屋、设施、设备应达到国家验收标准要求；保修责任内房屋、设施、设备维修养护和房屋建设遗留质量问题，按以下方式处理；</w:t>
      </w:r>
    </w:p>
    <w:p w14:paraId="18AC8AF9">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6、维修和返修事宜：</w:t>
      </w:r>
    </w:p>
    <w:p w14:paraId="65AB4F7C">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（1）甲方负责返修；</w:t>
      </w:r>
    </w:p>
    <w:p w14:paraId="18BBB266">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（2）委托乙方返修，支付全部费用；</w:t>
      </w:r>
    </w:p>
    <w:p w14:paraId="48943ECC">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 xml:space="preserve">7、在合同生效之日起按物业管理有关规定的比例向乙方提供管理用房，管理用房面积为：         </w:t>
      </w:r>
      <w:r>
        <w:rPr>
          <w:rFonts w:ascii="仿宋" w:hAnsi="仿宋" w:eastAsia="仿宋"/>
          <w:color w:val="000000"/>
          <w:sz w:val="28"/>
          <w:szCs w:val="28"/>
        </w:rPr>
        <w:t>平方米</w:t>
      </w:r>
      <w:r>
        <w:rPr>
          <w:rFonts w:hint="eastAsia" w:ascii="仿宋" w:hAnsi="仿宋" w:eastAsia="仿宋"/>
          <w:color w:val="000000"/>
          <w:sz w:val="28"/>
          <w:szCs w:val="28"/>
        </w:rPr>
        <w:t>，具体位置按最终规划设计的为准。由乙方无偿使用（产权属全体业主）；</w:t>
      </w:r>
    </w:p>
    <w:p w14:paraId="4B052441">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8、在物业管理交接验收时，负责向乙方提供和移交物业管理相关资料；</w:t>
      </w:r>
    </w:p>
    <w:p w14:paraId="0417D53F">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9、应移交物业相关资料：</w:t>
      </w:r>
    </w:p>
    <w:p w14:paraId="5E560252">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（1）规划图、竣工总平面图，单体建筑、结构、设备竣工图，附属配套设施、地下管网工程竣工图等竣工验收资料；</w:t>
      </w:r>
    </w:p>
    <w:p w14:paraId="7FB983FE">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（2）设施、设备安装、使用和维护保养技术资料；</w:t>
      </w:r>
    </w:p>
    <w:p w14:paraId="13821BD8">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（3）物业质量保证文件和物业使用说明文件；</w:t>
      </w:r>
    </w:p>
    <w:p w14:paraId="7071E093">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（4）物业服务所必需的其他资料；</w:t>
      </w:r>
    </w:p>
    <w:p w14:paraId="1AD9FFDC">
      <w:pPr>
        <w:spacing w:line="400" w:lineRule="exact"/>
        <w:ind w:right="12" w:firstLine="560" w:firstLineChars="200"/>
        <w:rPr>
          <w:rFonts w:ascii="仿宋" w:hAnsi="仿宋" w:eastAsia="仿宋"/>
          <w:color w:val="000000"/>
          <w:sz w:val="28"/>
          <w:szCs w:val="28"/>
        </w:rPr>
      </w:pPr>
      <w:r>
        <w:rPr>
          <w:rFonts w:hint="eastAsia" w:ascii="仿宋" w:hAnsi="仿宋" w:eastAsia="仿宋"/>
          <w:color w:val="000000"/>
          <w:sz w:val="28"/>
          <w:szCs w:val="28"/>
        </w:rPr>
        <w:t>10、支付物业前期介入服务费用，具体金额及支付方式经双方协商后补签协议约定执行；</w:t>
      </w:r>
    </w:p>
    <w:p w14:paraId="2FB72867">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11、当业主和物业使用人拒绝按规定交纳物业服务费用时，协助乙方催收；</w:t>
      </w:r>
    </w:p>
    <w:p w14:paraId="181C6715">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12、协调、处理本合同生效前发生的管理遗留问题；</w:t>
      </w:r>
    </w:p>
    <w:p w14:paraId="70B70332">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13、协助乙方做好物业服务工作和社区宣传教育、文化娱乐活动；</w:t>
      </w:r>
    </w:p>
    <w:p w14:paraId="3843D54F">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14、应将本合同向物业所在地房地产行政主管部门备案，并按相关规定公示。</w:t>
      </w:r>
    </w:p>
    <w:p w14:paraId="2DBBA431">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第十九条　乙方权利义务</w:t>
      </w:r>
    </w:p>
    <w:p w14:paraId="5B94B025">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1、按照本合同的约定标准，提供高品质、专业化的服务；</w:t>
      </w:r>
    </w:p>
    <w:p w14:paraId="1D56900B">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2、起草物业管理区域内共用部分的使用要求、注意事项和物业服务制度；</w:t>
      </w:r>
    </w:p>
    <w:p w14:paraId="43AB5A5E">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3、雇佣、培训、解雇职员并对其工作进行管理；</w:t>
      </w:r>
    </w:p>
    <w:p w14:paraId="70CD71A9">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4、乙方办公场所、工作服，工具，器具，材料或其他为保证对甲方服务工作开展所必需设备材料的采买和管理；</w:t>
      </w:r>
    </w:p>
    <w:p w14:paraId="1714D48B">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5、依照本合同和有关规定收取服务费用；</w:t>
      </w:r>
    </w:p>
    <w:p w14:paraId="17086CE7">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6、可选聘专营公司承担本物业的专项服务业务，但不得将本物业的管理责任转让给第三方；</w:t>
      </w:r>
    </w:p>
    <w:p w14:paraId="600752EC">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7、适时聘请、撤换及付酬予律师、建筑师、会计师及其他专业顾问和合作单位；</w:t>
      </w:r>
    </w:p>
    <w:p w14:paraId="02428A05">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8、按本合同的约定，对业主和物业使用人违反《临时管理规约》的行为进行处理；</w:t>
      </w:r>
    </w:p>
    <w:p w14:paraId="78F761E2">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9、向业主和物业使用人告知物业使用的有关规定，乙方有权审核业主或使用人是否严格按照《中华人民共和国消防法》、《住宅室内装饰装修管理规定》、《重庆市消防条例》、《重庆市城市容貌管理条例》、《重庆市产外广告管理条例》以及物业服务公司按照有关法规、条例等制定的装修管理规定进行其所属产权范围内的装修工程，停车(场)库是否进行任何形式的改装、改造、修建构筑物．装饰和装修，并对违规行为进行制止；</w:t>
      </w:r>
    </w:p>
    <w:p w14:paraId="681E2E3F">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10、接受业主的监督，定期向业主大会，业主委员会报告物业服务合同履行情况和物业维修资金使用情况；</w:t>
      </w:r>
    </w:p>
    <w:p w14:paraId="251FC220">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11、以物业公司名义投保，投保项目包括公众责任等险种，甲方应对其属下的产权范围内利益自行投保；</w:t>
      </w:r>
    </w:p>
    <w:p w14:paraId="748B267B">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12、负责编制物业管理年度服务计划、资金使用计划及决算报告；</w:t>
      </w:r>
    </w:p>
    <w:p w14:paraId="13FFC712">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13、负责编制房屋、附属建筑物、构筑物、设施、设备、绿化等的年度维修养护计划和大中修方案，经双方议定后由乙方组织实施；</w:t>
      </w:r>
    </w:p>
    <w:p w14:paraId="220A69BE">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14、协助有关部门制止违法、违规的行为，维护物业管理区域公共秩序；</w:t>
      </w:r>
    </w:p>
    <w:p w14:paraId="112C678F">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15、可适时设立以下服务项目(并可根据需要设立新的服务项目)，合理收费：房屋租赁、代售；代办电话安装、宽带安装服务：室内清洁服务；室内工程维修；代养护花木；代车辆清洗、保险办理服务以及与甲方商议的其它服务内容；</w:t>
      </w:r>
    </w:p>
    <w:p w14:paraId="72D8B502">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16、乙方有权在不违背业主整体权益基础上制定、修改管理规则，并利用小区告示栏、网站、小区内部刊物(如有)等各种信息渠道予以公布，对各业主均有约束力。</w:t>
      </w:r>
    </w:p>
    <w:p w14:paraId="36278FE6">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第二十条  双方特别约定如下：</w:t>
      </w:r>
    </w:p>
    <w:p w14:paraId="25AD17F3">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本物业管理区域内的停车库（场）（未出售的车位）、休闲商业、</w:t>
      </w:r>
      <w:r>
        <w:rPr>
          <w:rFonts w:hint="eastAsia" w:ascii="仿宋" w:hAnsi="仿宋" w:eastAsia="仿宋"/>
          <w:color w:val="000000"/>
          <w:sz w:val="28"/>
          <w:szCs w:val="28"/>
          <w:lang w:eastAsia="zh-CN"/>
        </w:rPr>
        <w:t>运动健身</w:t>
      </w:r>
      <w:r>
        <w:rPr>
          <w:rFonts w:hint="eastAsia" w:ascii="仿宋" w:hAnsi="仿宋" w:eastAsia="仿宋"/>
          <w:color w:val="000000"/>
          <w:sz w:val="28"/>
          <w:szCs w:val="28"/>
        </w:rPr>
        <w:t>场馆等建构筑物及附属设施（如甲方已修建），其产权归甲方所有，甲方保留其使用权、收益权和处置权。其它甲方委托乙方经营管理的项目，乙方制定的收费标准须报经甲方批准，其收益由双方协商议定。</w:t>
      </w:r>
    </w:p>
    <w:p w14:paraId="40FB4B71">
      <w:pPr>
        <w:snapToGrid w:val="0"/>
        <w:spacing w:line="500" w:lineRule="exact"/>
        <w:ind w:firstLine="562" w:firstLineChars="200"/>
        <w:jc w:val="center"/>
        <w:rPr>
          <w:rFonts w:ascii="仿宋" w:hAnsi="仿宋" w:eastAsia="仿宋"/>
          <w:b/>
          <w:bCs/>
          <w:color w:val="000000"/>
          <w:sz w:val="28"/>
          <w:szCs w:val="28"/>
        </w:rPr>
      </w:pPr>
      <w:r>
        <w:rPr>
          <w:rFonts w:hint="eastAsia" w:ascii="仿宋" w:hAnsi="仿宋" w:eastAsia="仿宋"/>
          <w:b/>
          <w:bCs/>
          <w:color w:val="000000"/>
          <w:sz w:val="28"/>
          <w:szCs w:val="28"/>
        </w:rPr>
        <w:t>第四章 物业服务费用和其他费用</w:t>
      </w:r>
    </w:p>
    <w:p w14:paraId="027A6B55">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第二十一条 物业服务费构成如下：</w:t>
      </w:r>
    </w:p>
    <w:p w14:paraId="7DF5C00F">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1、小区公共秩序维护费；</w:t>
      </w:r>
    </w:p>
    <w:p w14:paraId="20DB7B99">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2、小区公共区域清洁、保洁服务费(但所有政府另行征收的如垃圾处置费等费用均未包含其中)；</w:t>
      </w:r>
    </w:p>
    <w:p w14:paraId="03931047">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3、小区公共区域绿化养护、服务费：</w:t>
      </w:r>
    </w:p>
    <w:p w14:paraId="75C05180">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4、小区房屋共用部位维修(小修)及保养费；</w:t>
      </w:r>
    </w:p>
    <w:p w14:paraId="293AFB51">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5、小区共用设施设备日常运行、维护(小修)及保养费；</w:t>
      </w:r>
    </w:p>
    <w:p w14:paraId="5675CB98">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6、小区公共区域四害防治费用；</w:t>
      </w:r>
    </w:p>
    <w:p w14:paraId="03BB5A0D">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7、乙方的办公管理费；</w:t>
      </w:r>
    </w:p>
    <w:p w14:paraId="0F55CB1A">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8、乙方员工的薪酬、社会保险、福利、制服及相关器具;</w:t>
      </w:r>
    </w:p>
    <w:p w14:paraId="0DF80D5E">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9、乙方用于为业主服务的固定资产折旧费；</w:t>
      </w:r>
    </w:p>
    <w:p w14:paraId="6BE021D2">
      <w:pPr>
        <w:spacing w:line="400" w:lineRule="exact"/>
        <w:ind w:right="12" w:firstLine="425" w:firstLineChars="152"/>
        <w:rPr>
          <w:rFonts w:ascii="仿宋" w:hAnsi="仿宋" w:eastAsia="仿宋"/>
          <w:color w:val="000000"/>
          <w:sz w:val="28"/>
          <w:szCs w:val="28"/>
        </w:rPr>
      </w:pPr>
      <w:r>
        <w:rPr>
          <w:rFonts w:hint="eastAsia" w:ascii="仿宋" w:hAnsi="仿宋" w:eastAsia="仿宋"/>
          <w:color w:val="000000"/>
          <w:sz w:val="28"/>
          <w:szCs w:val="28"/>
        </w:rPr>
        <w:t>10、乙方为小区公共区域所投保的公众责任险等保险费用；</w:t>
      </w:r>
    </w:p>
    <w:p w14:paraId="1690C4E6">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11、乙方用于上缴有关部门的各项零星费用；</w:t>
      </w:r>
    </w:p>
    <w:p w14:paraId="3BC92ABE">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12、乙方用于上缴有关部门管理费、税费；</w:t>
      </w:r>
    </w:p>
    <w:p w14:paraId="5EB9A16D">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13、乙方的合理利润；</w:t>
      </w:r>
    </w:p>
    <w:p w14:paraId="50DB855C">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14、乙方用于为业主公共利益服务及社区文化活动费用。</w:t>
      </w:r>
    </w:p>
    <w:p w14:paraId="73A93A0C">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第二十二条 物业服务费</w:t>
      </w:r>
    </w:p>
    <w:p w14:paraId="2E1C2E7A">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1、本物业服务费实行一费制（不包含二次供水加压费用），包干制，由乙方按以下收费标准收取：</w:t>
      </w:r>
    </w:p>
    <w:p w14:paraId="4C75B52D">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（1）高层住宅物业费收费标准为：      元／平方米／月计收。</w:t>
      </w:r>
    </w:p>
    <w:p w14:paraId="4D18B470">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（2）洋房住宅物业费收费标准为：      元／平方米／月计收。</w:t>
      </w:r>
    </w:p>
    <w:p w14:paraId="0C05A98D">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（3）商业物业费收费标准为：      元／平方米／月计收。</w:t>
      </w:r>
    </w:p>
    <w:p w14:paraId="390E0390">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（4）车位物业费收费标准为：      元／个／月计收。</w:t>
      </w:r>
    </w:p>
    <w:p w14:paraId="6B077F0B">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（5）二次供水加压费用从加压楼层开始收取，收费标准为：   元/吨。</w:t>
      </w:r>
    </w:p>
    <w:p w14:paraId="1A3ECD03">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（6）未销售的和未交房给已售业主的房屋的物业管理费按照全价由甲方按月向乙方缴纳。</w:t>
      </w:r>
    </w:p>
    <w:p w14:paraId="57F4C749">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（7）特约服务实行明码实价，双方自愿的原则。</w:t>
      </w:r>
    </w:p>
    <w:p w14:paraId="5CFB95BE">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（8）临时停车收费标准，乙方按政府物价部门批准的标准收取；乙方可视情况变化，在符合相关政策和征得甲方同意的情况下，可对车位租赁费（月票车）作适当上浮。</w:t>
      </w:r>
    </w:p>
    <w:p w14:paraId="5082FE8C">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2、缴费办法</w:t>
      </w:r>
    </w:p>
    <w:p w14:paraId="26DD0F11">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(1)住宅、商业用房的物业服务费按房屋建筑面积计收，在产权部门核定面积批复下达之前以销售合同注明的建筑面积计算，批复之后以产权部门核定的建筑面积为准。面积核定前收取的物业服务费差额不作退补。停车(场)库车位物业服务费以个为单位计收。</w:t>
      </w:r>
    </w:p>
    <w:p w14:paraId="4786E68E">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 xml:space="preserve"> (2)甲方在当月15日之前将物业服务费用金额缴清,逾期将按日向甲方加收应交纳总费用3‰的违约金。</w:t>
      </w:r>
    </w:p>
    <w:p w14:paraId="541D4264">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 xml:space="preserve"> (3) 首次物业服务费收取以通知交房日期为准，交房日期在15日之前(含15日)的收取当月全月的物业服务费，交房日期在15日之后的收取当月半个月的物业服务费。首次收取物业服务费期限为半年 。</w:t>
      </w:r>
    </w:p>
    <w:p w14:paraId="4899E096">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第二十三条 甲方可以现金或</w:t>
      </w:r>
      <w:r>
        <w:rPr>
          <w:rFonts w:hint="eastAsia" w:ascii="仿宋" w:hAnsi="仿宋" w:eastAsia="仿宋"/>
          <w:color w:val="000000"/>
          <w:sz w:val="28"/>
          <w:szCs w:val="28"/>
          <w:lang w:eastAsia="zh-CN"/>
        </w:rPr>
        <w:t>转账</w:t>
      </w:r>
      <w:r>
        <w:rPr>
          <w:rFonts w:hint="eastAsia" w:ascii="仿宋" w:hAnsi="仿宋" w:eastAsia="仿宋"/>
          <w:color w:val="000000"/>
          <w:sz w:val="28"/>
          <w:szCs w:val="28"/>
        </w:rPr>
        <w:t>方式缴纳各项费用。</w:t>
      </w:r>
    </w:p>
    <w:p w14:paraId="29A69BF7">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第二十四条 物业维修资金收取</w:t>
      </w:r>
    </w:p>
    <w:p w14:paraId="667C5F24">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物业维修资金按政府有关规定维持在一定数额，不足部分由业主续缴，专项用于物业保修期满后共用部分的大，中维修、更新、改造。具体项目如下：</w:t>
      </w:r>
    </w:p>
    <w:p w14:paraId="6B960CC6">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1、小区房屋共用部位大、中修、更新或改造；</w:t>
      </w:r>
    </w:p>
    <w:p w14:paraId="78539677">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2、小区共用设施设备(如防盗监控、消防设施等)大、中修及更新、改造；</w:t>
      </w:r>
    </w:p>
    <w:p w14:paraId="00867AC3">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3、小区环境配套设施(如健身娱乐设施等)的更新、改造；</w:t>
      </w:r>
    </w:p>
    <w:p w14:paraId="1941C6A6">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4、小区公共区域绿化(如草坪、乔灌木等)更新、改造；</w:t>
      </w:r>
    </w:p>
    <w:p w14:paraId="0EE22E69">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5、小区公共建筑(如小区大门，单元大堂、楼层及其装饰等)、道路的更新、改造；</w:t>
      </w:r>
    </w:p>
    <w:p w14:paraId="35E9E6B6">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6、用于小区非盈利性设施的大、中修及更新、改造；</w:t>
      </w:r>
    </w:p>
    <w:p w14:paraId="4B38B2F4">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7、停车（场）库共用设备设施（如监控、车管系统、风机、水泵、消防设施等）大、中修及更新、改造；</w:t>
      </w:r>
    </w:p>
    <w:p w14:paraId="100D19C6">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8、其它不在上列内但需由物业维修资金支付的费用，如国家法律法规规定的须由物业维修资金支付的费用。</w:t>
      </w:r>
    </w:p>
    <w:p w14:paraId="110E87E1">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9、保修期内属保修范围的由甲方承担。</w:t>
      </w:r>
    </w:p>
    <w:p w14:paraId="784B77E2">
      <w:pPr>
        <w:snapToGrid w:val="0"/>
        <w:spacing w:line="500" w:lineRule="exact"/>
        <w:ind w:firstLine="562" w:firstLineChars="200"/>
        <w:jc w:val="center"/>
        <w:rPr>
          <w:rFonts w:ascii="仿宋" w:hAnsi="仿宋" w:eastAsia="仿宋"/>
          <w:b/>
          <w:bCs/>
          <w:color w:val="000000"/>
          <w:sz w:val="28"/>
          <w:szCs w:val="28"/>
        </w:rPr>
      </w:pPr>
      <w:r>
        <w:rPr>
          <w:rFonts w:hint="eastAsia" w:ascii="仿宋" w:hAnsi="仿宋" w:eastAsia="仿宋"/>
          <w:b/>
          <w:bCs/>
          <w:color w:val="000000"/>
          <w:sz w:val="28"/>
          <w:szCs w:val="28"/>
        </w:rPr>
        <w:t>第五章 委托服务期限</w:t>
      </w:r>
    </w:p>
    <w:p w14:paraId="75D87FDA">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第二十五条 “ 福江香郡三期 ”由乙方根据本协议内容进行服务管理，前期物业服务合同为期三年：</w:t>
      </w:r>
      <w:r>
        <w:rPr>
          <w:rFonts w:hint="eastAsia" w:ascii="仿宋" w:hAnsi="仿宋" w:eastAsia="仿宋"/>
          <w:color w:val="000000"/>
          <w:sz w:val="28"/>
          <w:szCs w:val="28"/>
          <w:u w:val="single"/>
        </w:rPr>
        <w:t xml:space="preserve">    年  月  日至    年  月  日止</w:t>
      </w:r>
      <w:r>
        <w:rPr>
          <w:rFonts w:hint="eastAsia" w:ascii="仿宋" w:hAnsi="仿宋" w:eastAsia="仿宋"/>
          <w:color w:val="000000"/>
          <w:sz w:val="28"/>
          <w:szCs w:val="28"/>
        </w:rPr>
        <w:t>。本小区业主大会与选聘或续聘的物业服务企业签订新的物业服务合同生效时，本合同自动终止。</w:t>
      </w:r>
    </w:p>
    <w:p w14:paraId="65A411F1">
      <w:pPr>
        <w:snapToGrid w:val="0"/>
        <w:spacing w:line="500" w:lineRule="exact"/>
        <w:ind w:firstLine="562" w:firstLineChars="200"/>
        <w:jc w:val="center"/>
        <w:rPr>
          <w:rFonts w:ascii="仿宋" w:hAnsi="仿宋" w:eastAsia="仿宋"/>
          <w:b/>
          <w:bCs/>
          <w:color w:val="000000"/>
          <w:sz w:val="28"/>
          <w:szCs w:val="28"/>
        </w:rPr>
      </w:pPr>
      <w:r>
        <w:rPr>
          <w:rFonts w:hint="eastAsia" w:ascii="仿宋" w:hAnsi="仿宋" w:eastAsia="仿宋"/>
          <w:b/>
          <w:bCs/>
          <w:color w:val="000000"/>
          <w:sz w:val="28"/>
          <w:szCs w:val="28"/>
        </w:rPr>
        <w:t>第六章 违约责任</w:t>
      </w:r>
    </w:p>
    <w:p w14:paraId="2A4A3A4F">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第二十六条 如甲方违反合同关于甲方义务的约定，使乙方未完成规定管理目标，乙方有权要求甲方在一定期限内解决，逾期未解决的，乙方有权解除合同；造成乙方经济损失的，甲方应给予乙方经济赔偿。</w:t>
      </w:r>
    </w:p>
    <w:p w14:paraId="44BA4A61">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第二十七条 如乙方违反本合同约定，未能达到约定的委托管理目标，甲方有权要求乙方限期整改，逾期未整改的，甲方有权解除合同；造成甲方经济损失的，乙方应给予甲方经济赔偿。</w:t>
      </w:r>
    </w:p>
    <w:p w14:paraId="372A8D96">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第二十八条 因以上原因需解除本合同的，提出解除合同的一方应及时通知对方，合同自书面通知到达对方时即行解除，并在 30 日内办理交接。如有异议，可请求人民法院确认解除合同的效力。</w:t>
      </w:r>
    </w:p>
    <w:p w14:paraId="16836C1B">
      <w:pPr>
        <w:snapToGrid w:val="0"/>
        <w:spacing w:line="500" w:lineRule="exact"/>
        <w:ind w:firstLine="562" w:firstLineChars="200"/>
        <w:jc w:val="center"/>
        <w:rPr>
          <w:rFonts w:ascii="仿宋" w:hAnsi="仿宋" w:eastAsia="仿宋"/>
          <w:color w:val="000000"/>
          <w:sz w:val="28"/>
          <w:szCs w:val="28"/>
        </w:rPr>
      </w:pPr>
      <w:r>
        <w:rPr>
          <w:rFonts w:hint="eastAsia" w:ascii="仿宋" w:hAnsi="仿宋" w:eastAsia="仿宋"/>
          <w:b/>
          <w:bCs/>
          <w:color w:val="000000"/>
          <w:sz w:val="28"/>
          <w:szCs w:val="28"/>
        </w:rPr>
        <w:t>第七章 附则</w:t>
      </w:r>
    </w:p>
    <w:p w14:paraId="117C1E26">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第二十九条 双方可对本合同的条款进行补充，以书面形式签订补充协议，补充协议与合同具有同等效力。</w:t>
      </w:r>
    </w:p>
    <w:p w14:paraId="4B0D4454">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第三十条 因房屋建筑质量、设施设备质量或安装技术等原因，达不到使用功能，造成重大事故的，由甲方承担责任并作善后处理。产生质量事故的直接原因，以法定机构的鉴定为准。</w:t>
      </w:r>
    </w:p>
    <w:p w14:paraId="716EB673">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第三十一条 若本合同任何条文因国家或地方法规的变更而无效、非法或不能执行时，将按照新的法律法规的要求执行，但本合同其余条文的有效性、合法性及可执行性并不因此而改变。</w:t>
      </w:r>
    </w:p>
    <w:p w14:paraId="51FC6F1F">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第三十二条 甲、乙双方一致同意在履行本合同时，若发生任何争议应首先进行协商解决，协商不成的，向本项目所在地人民法院提起诉讼。</w:t>
      </w:r>
    </w:p>
    <w:p w14:paraId="664E5EF9">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第三十三条 本合同一式肆份，甲、乙双方各执壹份，政府房管主管部门备案贰份。本合同自甲、乙双方签字盖章之日起生效。</w:t>
      </w:r>
    </w:p>
    <w:p w14:paraId="0C56F5B7">
      <w:pPr>
        <w:spacing w:line="400" w:lineRule="exact"/>
        <w:ind w:right="12" w:firstLine="480"/>
        <w:rPr>
          <w:rFonts w:ascii="仿宋" w:hAnsi="仿宋" w:eastAsia="仿宋"/>
          <w:color w:val="000000"/>
          <w:sz w:val="28"/>
          <w:szCs w:val="28"/>
        </w:rPr>
      </w:pPr>
    </w:p>
    <w:p w14:paraId="6CAB7E9D">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甲方签章：                         乙方签章：</w:t>
      </w:r>
    </w:p>
    <w:p w14:paraId="35C68B17">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法定代表人：                       法定代表人：  </w:t>
      </w:r>
    </w:p>
    <w:p w14:paraId="764DF95C">
      <w:pPr>
        <w:spacing w:line="400" w:lineRule="exact"/>
        <w:ind w:right="12" w:firstLine="1960" w:firstLineChars="700"/>
        <w:rPr>
          <w:rFonts w:ascii="仿宋" w:hAnsi="仿宋" w:eastAsia="仿宋"/>
          <w:color w:val="000000"/>
          <w:sz w:val="28"/>
          <w:szCs w:val="28"/>
        </w:rPr>
      </w:pPr>
      <w:r>
        <w:rPr>
          <w:rFonts w:hint="eastAsia" w:ascii="仿宋" w:hAnsi="仿宋" w:eastAsia="仿宋"/>
          <w:color w:val="000000"/>
          <w:sz w:val="28"/>
          <w:szCs w:val="28"/>
        </w:rPr>
        <w:t>年    月    日              年    月    日</w:t>
      </w:r>
    </w:p>
    <w:p w14:paraId="24EF6566">
      <w:pPr>
        <w:snapToGrid w:val="0"/>
        <w:spacing w:line="500" w:lineRule="exact"/>
        <w:ind w:firstLine="560" w:firstLineChars="200"/>
        <w:rPr>
          <w:rFonts w:ascii="仿宋" w:hAnsi="仿宋" w:eastAsia="仿宋"/>
          <w:color w:val="000000"/>
          <w:sz w:val="28"/>
          <w:szCs w:val="28"/>
        </w:rPr>
      </w:pPr>
    </w:p>
    <w:p w14:paraId="3E785A7B">
      <w:pPr>
        <w:snapToGrid w:val="0"/>
        <w:spacing w:line="500" w:lineRule="exact"/>
        <w:ind w:firstLine="560" w:firstLineChars="200"/>
        <w:rPr>
          <w:rFonts w:ascii="仿宋" w:hAnsi="仿宋" w:eastAsia="仿宋"/>
          <w:color w:val="000000"/>
          <w:sz w:val="28"/>
          <w:szCs w:val="28"/>
        </w:rPr>
      </w:pPr>
    </w:p>
    <w:p w14:paraId="4380F181">
      <w:pPr>
        <w:snapToGrid w:val="0"/>
        <w:spacing w:line="500" w:lineRule="exact"/>
        <w:ind w:firstLine="560" w:firstLineChars="200"/>
        <w:rPr>
          <w:rFonts w:ascii="仿宋" w:hAnsi="仿宋" w:eastAsia="仿宋"/>
          <w:color w:val="000000"/>
          <w:sz w:val="28"/>
          <w:szCs w:val="28"/>
        </w:rPr>
      </w:pPr>
    </w:p>
    <w:p w14:paraId="2BDCA897">
      <w:pPr>
        <w:snapToGrid w:val="0"/>
        <w:spacing w:line="500" w:lineRule="exact"/>
        <w:ind w:firstLine="560" w:firstLineChars="200"/>
        <w:rPr>
          <w:rFonts w:ascii="仿宋" w:hAnsi="仿宋" w:eastAsia="仿宋"/>
          <w:color w:val="000000"/>
          <w:sz w:val="28"/>
          <w:szCs w:val="28"/>
        </w:rPr>
      </w:pPr>
    </w:p>
    <w:p w14:paraId="5494D63D">
      <w:pPr>
        <w:snapToGrid w:val="0"/>
        <w:spacing w:line="500" w:lineRule="exact"/>
        <w:ind w:firstLine="560" w:firstLineChars="200"/>
        <w:rPr>
          <w:rFonts w:ascii="仿宋" w:hAnsi="仿宋" w:eastAsia="仿宋"/>
          <w:color w:val="000000"/>
          <w:sz w:val="28"/>
          <w:szCs w:val="28"/>
        </w:rPr>
      </w:pPr>
    </w:p>
    <w:p w14:paraId="5467F7FD">
      <w:pPr>
        <w:snapToGrid w:val="0"/>
        <w:spacing w:line="500" w:lineRule="exact"/>
        <w:ind w:firstLine="560" w:firstLineChars="200"/>
        <w:rPr>
          <w:rFonts w:ascii="仿宋" w:hAnsi="仿宋" w:eastAsia="仿宋"/>
          <w:color w:val="000000"/>
          <w:sz w:val="28"/>
          <w:szCs w:val="28"/>
        </w:rPr>
      </w:pPr>
    </w:p>
    <w:p w14:paraId="56EED26A">
      <w:pPr>
        <w:snapToGrid w:val="0"/>
        <w:spacing w:line="500" w:lineRule="exact"/>
        <w:ind w:firstLine="560" w:firstLineChars="200"/>
        <w:rPr>
          <w:rFonts w:ascii="仿宋" w:hAnsi="仿宋" w:eastAsia="仿宋"/>
          <w:color w:val="000000"/>
          <w:sz w:val="28"/>
          <w:szCs w:val="28"/>
        </w:rPr>
      </w:pPr>
    </w:p>
    <w:p w14:paraId="6349E391">
      <w:pPr>
        <w:snapToGrid w:val="0"/>
        <w:spacing w:line="500" w:lineRule="exact"/>
        <w:ind w:firstLine="560" w:firstLineChars="200"/>
        <w:rPr>
          <w:rFonts w:ascii="仿宋" w:hAnsi="仿宋" w:eastAsia="仿宋"/>
          <w:color w:val="000000"/>
          <w:sz w:val="28"/>
          <w:szCs w:val="28"/>
        </w:rPr>
      </w:pPr>
    </w:p>
    <w:p w14:paraId="641563A0">
      <w:pPr>
        <w:spacing w:line="500" w:lineRule="exact"/>
        <w:jc w:val="center"/>
        <w:outlineLvl w:val="0"/>
        <w:rPr>
          <w:rFonts w:ascii="仿宋" w:hAnsi="仿宋" w:eastAsia="仿宋"/>
          <w:b/>
          <w:color w:val="000000"/>
          <w:sz w:val="28"/>
          <w:szCs w:val="28"/>
        </w:rPr>
      </w:pPr>
      <w:bookmarkStart w:id="40" w:name="_Toc271791988"/>
      <w:bookmarkEnd w:id="40"/>
      <w:r>
        <w:rPr>
          <w:rFonts w:hint="eastAsia" w:ascii="仿宋" w:hAnsi="仿宋" w:eastAsia="仿宋"/>
          <w:b/>
          <w:color w:val="000000"/>
          <w:sz w:val="28"/>
          <w:szCs w:val="28"/>
        </w:rPr>
        <w:t>第七篇   投标文件部分格式</w:t>
      </w:r>
    </w:p>
    <w:p w14:paraId="30D23192">
      <w:pPr>
        <w:spacing w:line="400" w:lineRule="exact"/>
        <w:ind w:right="12" w:firstLine="480"/>
        <w:rPr>
          <w:rFonts w:ascii="仿宋" w:hAnsi="仿宋" w:eastAsia="仿宋"/>
          <w:color w:val="000000"/>
          <w:sz w:val="28"/>
          <w:szCs w:val="28"/>
        </w:rPr>
      </w:pPr>
      <w:bookmarkStart w:id="41" w:name="_Toc271791990"/>
      <w:bookmarkEnd w:id="41"/>
      <w:bookmarkStart w:id="42" w:name="_Toc311729684"/>
      <w:bookmarkEnd w:id="42"/>
      <w:r>
        <w:rPr>
          <w:rFonts w:hint="eastAsia" w:ascii="仿宋" w:hAnsi="仿宋" w:eastAsia="仿宋"/>
          <w:color w:val="000000"/>
          <w:sz w:val="28"/>
          <w:szCs w:val="28"/>
        </w:rPr>
        <w:t>提供了格式的部分，请投标人按照格式要求进行投标文件的制作，未提供格式的请投标人自行编制格式和内容。</w:t>
      </w:r>
    </w:p>
    <w:p w14:paraId="567A8E34">
      <w:pPr>
        <w:spacing w:line="400" w:lineRule="exact"/>
        <w:ind w:right="12" w:firstLine="480"/>
        <w:rPr>
          <w:rFonts w:ascii="仿宋" w:hAnsi="仿宋" w:eastAsia="仿宋"/>
          <w:color w:val="000000"/>
          <w:sz w:val="28"/>
          <w:szCs w:val="28"/>
        </w:rPr>
      </w:pPr>
    </w:p>
    <w:p w14:paraId="745E7888">
      <w:pPr>
        <w:spacing w:line="400" w:lineRule="exact"/>
        <w:ind w:right="12" w:firstLine="480"/>
        <w:rPr>
          <w:rFonts w:ascii="仿宋" w:hAnsi="仿宋" w:eastAsia="仿宋"/>
          <w:color w:val="000000"/>
          <w:sz w:val="28"/>
          <w:szCs w:val="28"/>
        </w:rPr>
      </w:pPr>
    </w:p>
    <w:p w14:paraId="5970149E">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一、投标函</w:t>
      </w:r>
    </w:p>
    <w:p w14:paraId="0737376D">
      <w:pPr>
        <w:snapToGrid w:val="0"/>
        <w:spacing w:line="500" w:lineRule="exact"/>
        <w:jc w:val="center"/>
        <w:rPr>
          <w:rFonts w:ascii="仿宋" w:hAnsi="仿宋" w:eastAsia="仿宋"/>
          <w:color w:val="000000"/>
          <w:sz w:val="28"/>
          <w:szCs w:val="28"/>
        </w:rPr>
      </w:pPr>
      <w:r>
        <w:rPr>
          <w:rFonts w:hint="eastAsia" w:ascii="仿宋" w:hAnsi="仿宋" w:eastAsia="仿宋"/>
          <w:color w:val="000000"/>
          <w:sz w:val="28"/>
          <w:szCs w:val="28"/>
        </w:rPr>
        <w:t>投标函（格式）</w:t>
      </w:r>
    </w:p>
    <w:p w14:paraId="79040EC4">
      <w:pPr>
        <w:snapToGrid w:val="0"/>
        <w:spacing w:line="500" w:lineRule="exact"/>
        <w:ind w:firstLine="560" w:firstLineChars="200"/>
        <w:rPr>
          <w:rFonts w:ascii="仿宋" w:hAnsi="仿宋" w:eastAsia="仿宋"/>
          <w:color w:val="000000"/>
          <w:sz w:val="28"/>
          <w:szCs w:val="28"/>
        </w:rPr>
      </w:pPr>
    </w:p>
    <w:p w14:paraId="32844C43">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 xml:space="preserve">招标项目名称： </w:t>
      </w:r>
    </w:p>
    <w:p w14:paraId="6B9BE6FF">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致：（招标代理公司名称）：</w:t>
      </w:r>
    </w:p>
    <w:p w14:paraId="272CB24E">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（投标人名称）系中华人民共和国合法企业。我方就参加本次投标有关事项郑重声明如下：</w:t>
      </w:r>
    </w:p>
    <w:p w14:paraId="2CB89E7B">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一、我方完全理解并接受该项目招标文件所有要求。</w:t>
      </w:r>
    </w:p>
    <w:p w14:paraId="2F0DA12F">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二、我方提交的所有投标文件、资料都是准确和真实的，如有虚假或隐瞒，我方愿意承担一切法律责任。</w:t>
      </w:r>
    </w:p>
    <w:p w14:paraId="07957CD2">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三、我方承诺按照招标文件要求，提供服务的供应。</w:t>
      </w:r>
    </w:p>
    <w:p w14:paraId="0C38AA7A">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四、我方按招标文件要求提交的投标文件为： 份。</w:t>
      </w:r>
    </w:p>
    <w:p w14:paraId="753CE0A6">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五、我方投标报价为闭口价。即在投标有效期和合同有效期内，该报价固定不变。</w:t>
      </w:r>
    </w:p>
    <w:p w14:paraId="7C840155">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六、如果我方中标，我方将履行招标文件中规定的各项要求以及我方投标文件的各项承诺，按《合同法》及合同约定条款承担我方责任。</w:t>
      </w:r>
    </w:p>
    <w:p w14:paraId="14D32F45">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七、我方理解，最低报价不是中标的唯一条件。</w:t>
      </w:r>
    </w:p>
    <w:p w14:paraId="4F50FFB9">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八、本投标书包括下述文件在内的投标文件：</w:t>
      </w:r>
    </w:p>
    <w:p w14:paraId="023E6817">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1、 投标函及报价函和法人代表授权书；</w:t>
      </w:r>
    </w:p>
    <w:p w14:paraId="18B83C9B">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2、 公司营业执照复印件；</w:t>
      </w:r>
    </w:p>
    <w:p w14:paraId="4C8CF675">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3、 其他商务文件；</w:t>
      </w:r>
    </w:p>
    <w:p w14:paraId="59445D94">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4、 投标文件技术方案；</w:t>
      </w:r>
    </w:p>
    <w:p w14:paraId="77EFCED2">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5、 物业费用收支测算表；</w:t>
      </w:r>
    </w:p>
    <w:p w14:paraId="12392E58">
      <w:pPr>
        <w:spacing w:line="400" w:lineRule="exact"/>
        <w:ind w:right="12" w:firstLine="5320" w:firstLineChars="1900"/>
        <w:rPr>
          <w:rFonts w:ascii="仿宋" w:hAnsi="仿宋" w:eastAsia="仿宋"/>
          <w:color w:val="000000"/>
          <w:sz w:val="28"/>
          <w:szCs w:val="28"/>
        </w:rPr>
      </w:pPr>
      <w:r>
        <w:rPr>
          <w:rFonts w:hint="eastAsia" w:ascii="仿宋" w:hAnsi="仿宋" w:eastAsia="仿宋"/>
          <w:color w:val="000000"/>
          <w:sz w:val="28"/>
          <w:szCs w:val="28"/>
        </w:rPr>
        <w:t>投标人（公章）</w:t>
      </w:r>
    </w:p>
    <w:p w14:paraId="779E9DF0">
      <w:pPr>
        <w:spacing w:line="400" w:lineRule="exact"/>
        <w:ind w:right="12" w:firstLine="1680" w:firstLineChars="600"/>
        <w:rPr>
          <w:rFonts w:ascii="仿宋" w:hAnsi="仿宋" w:eastAsia="仿宋"/>
          <w:color w:val="000000"/>
          <w:sz w:val="28"/>
          <w:szCs w:val="28"/>
        </w:rPr>
      </w:pPr>
      <w:r>
        <w:rPr>
          <w:rFonts w:hint="eastAsia" w:ascii="仿宋" w:hAnsi="仿宋" w:eastAsia="仿宋"/>
          <w:color w:val="000000"/>
          <w:sz w:val="28"/>
          <w:szCs w:val="28"/>
        </w:rPr>
        <w:t>法定代表人或法定代表人授权委托人（签字）：</w:t>
      </w:r>
    </w:p>
    <w:p w14:paraId="400A29C2">
      <w:pPr>
        <w:spacing w:line="400" w:lineRule="exact"/>
        <w:ind w:right="12" w:firstLine="480"/>
        <w:jc w:val="right"/>
        <w:rPr>
          <w:rFonts w:ascii="仿宋" w:hAnsi="仿宋" w:eastAsia="仿宋"/>
          <w:color w:val="000000"/>
          <w:sz w:val="28"/>
          <w:szCs w:val="28"/>
        </w:rPr>
      </w:pPr>
      <w:r>
        <w:rPr>
          <w:rFonts w:hint="eastAsia" w:ascii="仿宋" w:hAnsi="仿宋" w:eastAsia="仿宋"/>
          <w:color w:val="000000"/>
          <w:sz w:val="28"/>
          <w:szCs w:val="28"/>
        </w:rPr>
        <w:t>年    月   日</w:t>
      </w:r>
    </w:p>
    <w:p w14:paraId="510E6FEB">
      <w:pPr>
        <w:widowControl/>
        <w:jc w:val="right"/>
        <w:rPr>
          <w:rFonts w:ascii="仿宋" w:hAnsi="仿宋" w:eastAsia="仿宋" w:cs="宋体"/>
          <w:color w:val="000000"/>
          <w:sz w:val="28"/>
          <w:szCs w:val="28"/>
        </w:rPr>
        <w:sectPr>
          <w:pgSz w:w="11906" w:h="16838"/>
          <w:pgMar w:top="1134" w:right="1106" w:bottom="1134" w:left="1259" w:header="720" w:footer="720" w:gutter="0"/>
          <w:cols w:space="720" w:num="1"/>
          <w:docGrid w:type="lines" w:linePitch="312" w:charSpace="0"/>
        </w:sectPr>
      </w:pPr>
    </w:p>
    <w:p w14:paraId="5120A2B3">
      <w:pPr>
        <w:snapToGrid w:val="0"/>
        <w:spacing w:line="500" w:lineRule="exact"/>
        <w:jc w:val="left"/>
        <w:rPr>
          <w:rFonts w:ascii="仿宋" w:hAnsi="仿宋" w:eastAsia="仿宋"/>
          <w:color w:val="000000"/>
          <w:sz w:val="28"/>
          <w:szCs w:val="28"/>
        </w:rPr>
      </w:pPr>
      <w:r>
        <w:rPr>
          <w:rFonts w:hint="eastAsia" w:ascii="仿宋" w:hAnsi="仿宋" w:eastAsia="仿宋"/>
          <w:color w:val="000000"/>
          <w:sz w:val="28"/>
          <w:szCs w:val="28"/>
        </w:rPr>
        <w:t>二、法定代表人身份证明书</w:t>
      </w:r>
    </w:p>
    <w:p w14:paraId="1539FD01">
      <w:pPr>
        <w:snapToGrid w:val="0"/>
        <w:spacing w:line="500" w:lineRule="exact"/>
        <w:jc w:val="center"/>
        <w:rPr>
          <w:rFonts w:ascii="仿宋" w:hAnsi="仿宋" w:eastAsia="仿宋"/>
          <w:color w:val="000000"/>
          <w:sz w:val="28"/>
          <w:szCs w:val="28"/>
        </w:rPr>
      </w:pPr>
      <w:r>
        <w:rPr>
          <w:rFonts w:hint="eastAsia" w:ascii="仿宋" w:hAnsi="仿宋" w:eastAsia="仿宋"/>
          <w:color w:val="000000"/>
          <w:sz w:val="28"/>
          <w:szCs w:val="28"/>
        </w:rPr>
        <w:t>法定代表人身份证明书（格式）</w:t>
      </w:r>
    </w:p>
    <w:p w14:paraId="6D78D9FD">
      <w:pPr>
        <w:snapToGrid w:val="0"/>
        <w:spacing w:line="500" w:lineRule="exact"/>
        <w:ind w:firstLine="570"/>
        <w:rPr>
          <w:rFonts w:ascii="仿宋" w:hAnsi="仿宋" w:eastAsia="仿宋"/>
          <w:color w:val="000000"/>
          <w:sz w:val="28"/>
          <w:szCs w:val="28"/>
        </w:rPr>
      </w:pPr>
    </w:p>
    <w:p w14:paraId="5C47234D">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 xml:space="preserve">招标项目名称： </w:t>
      </w:r>
    </w:p>
    <w:p w14:paraId="239FC240">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致：（招标代理公司名称）：</w:t>
      </w:r>
    </w:p>
    <w:p w14:paraId="07F1B20A">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 xml:space="preserve"> （法定代表人姓名）在（投标人名称）任（职务名称）职务，是（投标人名称）的法定代表人。</w:t>
      </w:r>
    </w:p>
    <w:p w14:paraId="0744E5AA">
      <w:pPr>
        <w:spacing w:line="400" w:lineRule="exact"/>
        <w:ind w:right="12" w:firstLine="480"/>
        <w:rPr>
          <w:rFonts w:ascii="仿宋" w:hAnsi="仿宋" w:eastAsia="仿宋"/>
          <w:color w:val="000000"/>
          <w:sz w:val="28"/>
          <w:szCs w:val="28"/>
        </w:rPr>
      </w:pPr>
    </w:p>
    <w:p w14:paraId="7C742921">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特此证明。</w:t>
      </w:r>
    </w:p>
    <w:p w14:paraId="6D11E0C3">
      <w:pPr>
        <w:spacing w:line="400" w:lineRule="exact"/>
        <w:ind w:right="12" w:firstLine="480"/>
        <w:rPr>
          <w:rFonts w:ascii="仿宋" w:hAnsi="仿宋" w:eastAsia="仿宋"/>
          <w:color w:val="000000"/>
          <w:sz w:val="28"/>
          <w:szCs w:val="28"/>
        </w:rPr>
      </w:pPr>
    </w:p>
    <w:p w14:paraId="0232CD0F">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 xml:space="preserve">                                  投标人（公章）</w:t>
      </w:r>
    </w:p>
    <w:p w14:paraId="64436388">
      <w:pPr>
        <w:spacing w:line="400" w:lineRule="exact"/>
        <w:ind w:right="12" w:firstLine="480"/>
        <w:rPr>
          <w:rFonts w:ascii="仿宋" w:hAnsi="仿宋" w:eastAsia="仿宋"/>
          <w:color w:val="000000"/>
          <w:sz w:val="28"/>
          <w:szCs w:val="28"/>
        </w:rPr>
      </w:pPr>
    </w:p>
    <w:p w14:paraId="769A7C7E">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 xml:space="preserve">                                   年   月   日</w:t>
      </w:r>
    </w:p>
    <w:p w14:paraId="1E8E0BB7">
      <w:pPr>
        <w:spacing w:line="400" w:lineRule="exact"/>
        <w:ind w:right="12" w:firstLine="480"/>
        <w:rPr>
          <w:rFonts w:ascii="仿宋" w:hAnsi="仿宋" w:eastAsia="仿宋"/>
          <w:color w:val="000000"/>
          <w:sz w:val="28"/>
          <w:szCs w:val="28"/>
        </w:rPr>
      </w:pPr>
    </w:p>
    <w:p w14:paraId="1BCDE004">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（附：法定代表人身份证复印件）</w:t>
      </w:r>
    </w:p>
    <w:p w14:paraId="08518D6F">
      <w:pPr>
        <w:snapToGrid w:val="0"/>
        <w:spacing w:line="500" w:lineRule="exact"/>
        <w:ind w:firstLine="140" w:firstLineChars="50"/>
        <w:rPr>
          <w:rFonts w:ascii="仿宋" w:hAnsi="仿宋" w:eastAsia="仿宋"/>
          <w:color w:val="000000"/>
          <w:sz w:val="28"/>
          <w:szCs w:val="28"/>
        </w:rPr>
      </w:pPr>
    </w:p>
    <w:p w14:paraId="3B3C048B">
      <w:pPr>
        <w:snapToGrid w:val="0"/>
        <w:spacing w:line="500" w:lineRule="exact"/>
        <w:ind w:firstLine="140" w:firstLineChars="50"/>
        <w:rPr>
          <w:rFonts w:ascii="仿宋" w:hAnsi="仿宋" w:eastAsia="仿宋"/>
          <w:color w:val="000000"/>
          <w:sz w:val="28"/>
          <w:szCs w:val="28"/>
        </w:rPr>
      </w:pPr>
    </w:p>
    <w:p w14:paraId="56231E64">
      <w:pPr>
        <w:snapToGrid w:val="0"/>
        <w:spacing w:line="500" w:lineRule="exact"/>
        <w:ind w:firstLine="140" w:firstLineChars="50"/>
        <w:rPr>
          <w:rFonts w:ascii="仿宋" w:hAnsi="仿宋" w:eastAsia="仿宋"/>
          <w:color w:val="000000"/>
          <w:sz w:val="28"/>
          <w:szCs w:val="28"/>
        </w:rPr>
      </w:pPr>
    </w:p>
    <w:p w14:paraId="7A5DC91E">
      <w:pPr>
        <w:snapToGrid w:val="0"/>
        <w:spacing w:line="500" w:lineRule="exact"/>
        <w:ind w:firstLine="140" w:firstLineChars="50"/>
        <w:rPr>
          <w:rFonts w:ascii="仿宋" w:hAnsi="仿宋" w:eastAsia="仿宋"/>
          <w:color w:val="000000"/>
          <w:sz w:val="28"/>
          <w:szCs w:val="28"/>
        </w:rPr>
      </w:pPr>
    </w:p>
    <w:p w14:paraId="28D8C2B5">
      <w:pPr>
        <w:snapToGrid w:val="0"/>
        <w:spacing w:line="500" w:lineRule="exact"/>
        <w:ind w:firstLine="140" w:firstLineChars="50"/>
        <w:rPr>
          <w:rFonts w:ascii="仿宋" w:hAnsi="仿宋" w:eastAsia="仿宋"/>
          <w:color w:val="000000"/>
          <w:sz w:val="28"/>
          <w:szCs w:val="28"/>
        </w:rPr>
      </w:pPr>
    </w:p>
    <w:p w14:paraId="7F3B59CA">
      <w:pPr>
        <w:snapToGrid w:val="0"/>
        <w:spacing w:line="500" w:lineRule="exact"/>
        <w:ind w:firstLine="140" w:firstLineChars="50"/>
        <w:rPr>
          <w:rFonts w:ascii="仿宋" w:hAnsi="仿宋" w:eastAsia="仿宋"/>
          <w:color w:val="000000"/>
          <w:sz w:val="28"/>
          <w:szCs w:val="28"/>
        </w:rPr>
      </w:pPr>
    </w:p>
    <w:p w14:paraId="1E38450E">
      <w:pPr>
        <w:snapToGrid w:val="0"/>
        <w:spacing w:line="500" w:lineRule="exact"/>
        <w:ind w:firstLine="140" w:firstLineChars="50"/>
        <w:rPr>
          <w:rFonts w:ascii="仿宋" w:hAnsi="仿宋" w:eastAsia="仿宋"/>
          <w:color w:val="000000"/>
          <w:sz w:val="28"/>
          <w:szCs w:val="28"/>
        </w:rPr>
      </w:pPr>
    </w:p>
    <w:p w14:paraId="16BEF70A">
      <w:pPr>
        <w:snapToGrid w:val="0"/>
        <w:spacing w:line="500" w:lineRule="exact"/>
        <w:ind w:firstLine="140" w:firstLineChars="50"/>
        <w:rPr>
          <w:rFonts w:ascii="仿宋" w:hAnsi="仿宋" w:eastAsia="仿宋"/>
          <w:color w:val="000000"/>
          <w:sz w:val="28"/>
          <w:szCs w:val="28"/>
        </w:rPr>
      </w:pPr>
    </w:p>
    <w:p w14:paraId="7DE6F56F">
      <w:pPr>
        <w:snapToGrid w:val="0"/>
        <w:spacing w:line="500" w:lineRule="exact"/>
        <w:ind w:firstLine="140" w:firstLineChars="50"/>
        <w:rPr>
          <w:rFonts w:ascii="仿宋" w:hAnsi="仿宋" w:eastAsia="仿宋"/>
          <w:color w:val="000000"/>
          <w:sz w:val="28"/>
          <w:szCs w:val="28"/>
        </w:rPr>
      </w:pPr>
    </w:p>
    <w:p w14:paraId="6580C3FD">
      <w:pPr>
        <w:snapToGrid w:val="0"/>
        <w:spacing w:line="500" w:lineRule="exact"/>
        <w:ind w:firstLine="140" w:firstLineChars="50"/>
        <w:rPr>
          <w:rFonts w:ascii="仿宋" w:hAnsi="仿宋" w:eastAsia="仿宋"/>
          <w:color w:val="000000"/>
          <w:sz w:val="28"/>
          <w:szCs w:val="28"/>
        </w:rPr>
      </w:pPr>
    </w:p>
    <w:p w14:paraId="3B9B8260">
      <w:pPr>
        <w:snapToGrid w:val="0"/>
        <w:spacing w:line="500" w:lineRule="exact"/>
        <w:ind w:firstLine="140" w:firstLineChars="50"/>
        <w:rPr>
          <w:rFonts w:ascii="仿宋" w:hAnsi="仿宋" w:eastAsia="仿宋"/>
          <w:color w:val="000000"/>
          <w:sz w:val="28"/>
          <w:szCs w:val="28"/>
        </w:rPr>
      </w:pPr>
    </w:p>
    <w:p w14:paraId="177BC5C5">
      <w:pPr>
        <w:snapToGrid w:val="0"/>
        <w:spacing w:line="500" w:lineRule="exact"/>
        <w:ind w:firstLine="140" w:firstLineChars="50"/>
        <w:rPr>
          <w:rFonts w:ascii="仿宋" w:hAnsi="仿宋" w:eastAsia="仿宋"/>
          <w:color w:val="000000"/>
          <w:sz w:val="28"/>
          <w:szCs w:val="28"/>
        </w:rPr>
      </w:pPr>
    </w:p>
    <w:p w14:paraId="2A10279C">
      <w:pPr>
        <w:snapToGrid w:val="0"/>
        <w:spacing w:line="500" w:lineRule="exact"/>
        <w:ind w:firstLine="140" w:firstLineChars="50"/>
        <w:rPr>
          <w:rFonts w:ascii="仿宋" w:hAnsi="仿宋" w:eastAsia="仿宋"/>
          <w:color w:val="000000"/>
          <w:sz w:val="28"/>
          <w:szCs w:val="28"/>
        </w:rPr>
      </w:pPr>
    </w:p>
    <w:p w14:paraId="1759D61C">
      <w:pPr>
        <w:snapToGrid w:val="0"/>
        <w:spacing w:line="500" w:lineRule="exact"/>
        <w:ind w:firstLine="140" w:firstLineChars="50"/>
        <w:rPr>
          <w:rFonts w:ascii="仿宋" w:hAnsi="仿宋" w:eastAsia="仿宋"/>
          <w:color w:val="000000"/>
          <w:sz w:val="28"/>
          <w:szCs w:val="28"/>
        </w:rPr>
      </w:pPr>
    </w:p>
    <w:p w14:paraId="31CDFE32">
      <w:pPr>
        <w:snapToGrid w:val="0"/>
        <w:spacing w:line="500" w:lineRule="exact"/>
        <w:ind w:firstLine="140" w:firstLineChars="50"/>
        <w:rPr>
          <w:rFonts w:ascii="仿宋" w:hAnsi="仿宋" w:eastAsia="仿宋"/>
          <w:color w:val="000000"/>
          <w:sz w:val="28"/>
          <w:szCs w:val="28"/>
        </w:rPr>
      </w:pPr>
    </w:p>
    <w:p w14:paraId="5237B1FC">
      <w:pPr>
        <w:snapToGrid w:val="0"/>
        <w:spacing w:line="500" w:lineRule="exact"/>
        <w:ind w:firstLine="140" w:firstLineChars="50"/>
        <w:rPr>
          <w:rFonts w:ascii="仿宋" w:hAnsi="仿宋" w:eastAsia="仿宋"/>
          <w:color w:val="000000"/>
          <w:sz w:val="28"/>
          <w:szCs w:val="28"/>
        </w:rPr>
      </w:pPr>
      <w:r>
        <w:rPr>
          <w:rFonts w:hint="eastAsia" w:ascii="仿宋" w:hAnsi="仿宋" w:eastAsia="仿宋"/>
          <w:color w:val="000000"/>
          <w:sz w:val="28"/>
          <w:szCs w:val="28"/>
        </w:rPr>
        <w:t>三、法定代表人授权委托书</w:t>
      </w:r>
    </w:p>
    <w:p w14:paraId="66C360DB">
      <w:pPr>
        <w:snapToGrid w:val="0"/>
        <w:spacing w:line="500" w:lineRule="exact"/>
        <w:rPr>
          <w:rFonts w:ascii="仿宋" w:hAnsi="仿宋" w:eastAsia="仿宋"/>
          <w:color w:val="000000"/>
          <w:sz w:val="28"/>
          <w:szCs w:val="28"/>
        </w:rPr>
      </w:pPr>
      <w:r>
        <w:rPr>
          <w:rFonts w:hint="eastAsia" w:ascii="仿宋" w:hAnsi="仿宋" w:eastAsia="仿宋"/>
          <w:color w:val="000000"/>
          <w:sz w:val="28"/>
          <w:szCs w:val="28"/>
        </w:rPr>
        <w:t xml:space="preserve">           法定代表人授权委托书（格式）</w:t>
      </w:r>
    </w:p>
    <w:p w14:paraId="02FB61B9">
      <w:pPr>
        <w:snapToGrid w:val="0"/>
        <w:spacing w:line="500" w:lineRule="exact"/>
        <w:rPr>
          <w:rFonts w:ascii="仿宋" w:hAnsi="仿宋" w:eastAsia="仿宋"/>
          <w:color w:val="000000"/>
          <w:sz w:val="28"/>
          <w:szCs w:val="28"/>
        </w:rPr>
      </w:pPr>
    </w:p>
    <w:p w14:paraId="6242BABE">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 xml:space="preserve">招标项目名称： </w:t>
      </w:r>
    </w:p>
    <w:p w14:paraId="52311E7E">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致：（招标代理公司名称）：</w:t>
      </w:r>
    </w:p>
    <w:p w14:paraId="1C33AE3C">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 xml:space="preserve"> （法定代表人姓名）是（投标人名称）                        的法定代表人，特授权（被授权人姓名及身份证代码）代表我单位全权办理上述项目的投标、谈判、签约等具体工作，并签署全部有关文件、协议及合同。</w:t>
      </w:r>
    </w:p>
    <w:p w14:paraId="7121CCF4">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我单位对被授权人的签名负全部责任。</w:t>
      </w:r>
    </w:p>
    <w:p w14:paraId="6F9B6E6A">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在撤消授权的书面通知以前，本授权书一直有效。被授权人在授权书有效期内签署的所有文件不因授权的撤消而失效。</w:t>
      </w:r>
    </w:p>
    <w:p w14:paraId="30A4161B">
      <w:pPr>
        <w:spacing w:line="400" w:lineRule="exact"/>
        <w:ind w:right="12" w:firstLine="480"/>
        <w:rPr>
          <w:rFonts w:ascii="仿宋" w:hAnsi="仿宋" w:eastAsia="仿宋"/>
          <w:color w:val="000000"/>
          <w:sz w:val="28"/>
          <w:szCs w:val="28"/>
        </w:rPr>
      </w:pPr>
    </w:p>
    <w:p w14:paraId="4DD0693F">
      <w:pPr>
        <w:spacing w:line="400" w:lineRule="exact"/>
        <w:ind w:right="12" w:firstLine="480"/>
        <w:rPr>
          <w:rFonts w:ascii="仿宋" w:hAnsi="仿宋" w:eastAsia="仿宋"/>
          <w:color w:val="000000"/>
          <w:sz w:val="28"/>
          <w:szCs w:val="28"/>
        </w:rPr>
      </w:pPr>
    </w:p>
    <w:p w14:paraId="17EE2C5A">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被授权人签名：               投标人法定代表人签名：</w:t>
      </w:r>
    </w:p>
    <w:p w14:paraId="0F2C413F">
      <w:pPr>
        <w:spacing w:line="400" w:lineRule="exact"/>
        <w:ind w:right="12" w:firstLine="480"/>
        <w:rPr>
          <w:rFonts w:ascii="仿宋" w:hAnsi="仿宋" w:eastAsia="仿宋"/>
          <w:color w:val="000000"/>
          <w:sz w:val="28"/>
          <w:szCs w:val="28"/>
        </w:rPr>
      </w:pPr>
    </w:p>
    <w:p w14:paraId="5507CAF4">
      <w:pPr>
        <w:spacing w:line="400" w:lineRule="exact"/>
        <w:ind w:right="12" w:firstLine="480"/>
        <w:rPr>
          <w:rFonts w:ascii="仿宋" w:hAnsi="仿宋" w:eastAsia="仿宋"/>
          <w:color w:val="000000"/>
          <w:sz w:val="28"/>
          <w:szCs w:val="28"/>
        </w:rPr>
      </w:pPr>
    </w:p>
    <w:p w14:paraId="06F53DC6">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（附：被授权人身份证复印件）</w:t>
      </w:r>
    </w:p>
    <w:p w14:paraId="015AE1AF">
      <w:pPr>
        <w:spacing w:line="400" w:lineRule="exact"/>
        <w:ind w:right="12" w:firstLine="480"/>
        <w:rPr>
          <w:rFonts w:ascii="仿宋" w:hAnsi="仿宋" w:eastAsia="仿宋"/>
          <w:color w:val="000000"/>
          <w:sz w:val="28"/>
          <w:szCs w:val="28"/>
        </w:rPr>
      </w:pPr>
    </w:p>
    <w:p w14:paraId="6F633117">
      <w:pPr>
        <w:spacing w:line="400" w:lineRule="exact"/>
        <w:ind w:right="12" w:firstLine="480"/>
        <w:jc w:val="right"/>
        <w:rPr>
          <w:rFonts w:ascii="仿宋" w:hAnsi="仿宋" w:eastAsia="仿宋"/>
          <w:color w:val="000000"/>
          <w:sz w:val="28"/>
          <w:szCs w:val="28"/>
        </w:rPr>
      </w:pPr>
      <w:r>
        <w:rPr>
          <w:rFonts w:hint="eastAsia" w:ascii="仿宋" w:hAnsi="仿宋" w:eastAsia="仿宋"/>
          <w:color w:val="000000"/>
          <w:sz w:val="28"/>
          <w:szCs w:val="28"/>
        </w:rPr>
        <w:t>投标人（公章）</w:t>
      </w:r>
    </w:p>
    <w:p w14:paraId="3F04F1EA">
      <w:pPr>
        <w:spacing w:line="400" w:lineRule="exact"/>
        <w:ind w:right="12" w:firstLine="480"/>
        <w:jc w:val="right"/>
        <w:rPr>
          <w:rFonts w:ascii="仿宋" w:hAnsi="仿宋" w:eastAsia="仿宋"/>
          <w:color w:val="000000"/>
          <w:sz w:val="28"/>
          <w:szCs w:val="28"/>
        </w:rPr>
      </w:pPr>
      <w:r>
        <w:rPr>
          <w:rFonts w:hint="eastAsia" w:ascii="仿宋" w:hAnsi="仿宋" w:eastAsia="仿宋"/>
          <w:color w:val="000000"/>
          <w:sz w:val="28"/>
          <w:szCs w:val="28"/>
        </w:rPr>
        <w:t>年   月   日</w:t>
      </w:r>
    </w:p>
    <w:p w14:paraId="647AD32E">
      <w:pPr>
        <w:snapToGrid w:val="0"/>
        <w:spacing w:line="500" w:lineRule="exact"/>
        <w:rPr>
          <w:rFonts w:ascii="仿宋" w:hAnsi="仿宋" w:eastAsia="仿宋"/>
          <w:color w:val="000000"/>
          <w:sz w:val="28"/>
          <w:szCs w:val="28"/>
        </w:rPr>
      </w:pPr>
    </w:p>
    <w:p w14:paraId="1121826F">
      <w:pPr>
        <w:snapToGrid w:val="0"/>
        <w:spacing w:line="500" w:lineRule="exact"/>
        <w:rPr>
          <w:rFonts w:ascii="仿宋" w:hAnsi="仿宋" w:eastAsia="仿宋"/>
          <w:color w:val="000000"/>
          <w:sz w:val="28"/>
          <w:szCs w:val="28"/>
        </w:rPr>
      </w:pPr>
    </w:p>
    <w:p w14:paraId="29C74D1B">
      <w:pPr>
        <w:snapToGrid w:val="0"/>
        <w:spacing w:line="500" w:lineRule="exact"/>
        <w:rPr>
          <w:rFonts w:ascii="仿宋" w:hAnsi="仿宋" w:eastAsia="仿宋"/>
          <w:color w:val="000000"/>
          <w:sz w:val="28"/>
          <w:szCs w:val="28"/>
        </w:rPr>
      </w:pPr>
    </w:p>
    <w:p w14:paraId="6F5C1B8A">
      <w:pPr>
        <w:snapToGrid w:val="0"/>
        <w:spacing w:line="500" w:lineRule="exact"/>
        <w:rPr>
          <w:rFonts w:ascii="仿宋" w:hAnsi="仿宋" w:eastAsia="仿宋"/>
          <w:color w:val="000000"/>
          <w:sz w:val="28"/>
          <w:szCs w:val="28"/>
        </w:rPr>
      </w:pPr>
    </w:p>
    <w:p w14:paraId="7E0D8ACB">
      <w:pPr>
        <w:snapToGrid w:val="0"/>
        <w:spacing w:line="500" w:lineRule="exact"/>
        <w:rPr>
          <w:rFonts w:ascii="仿宋" w:hAnsi="仿宋" w:eastAsia="仿宋"/>
          <w:color w:val="000000"/>
          <w:sz w:val="28"/>
          <w:szCs w:val="28"/>
        </w:rPr>
      </w:pPr>
    </w:p>
    <w:p w14:paraId="6B4796C8">
      <w:pPr>
        <w:snapToGrid w:val="0"/>
        <w:spacing w:line="500" w:lineRule="exact"/>
        <w:rPr>
          <w:rFonts w:ascii="仿宋" w:hAnsi="仿宋" w:eastAsia="仿宋"/>
          <w:color w:val="000000"/>
          <w:sz w:val="28"/>
          <w:szCs w:val="28"/>
        </w:rPr>
      </w:pPr>
    </w:p>
    <w:p w14:paraId="7CC0B07D">
      <w:pPr>
        <w:snapToGrid w:val="0"/>
        <w:spacing w:line="500" w:lineRule="exact"/>
        <w:rPr>
          <w:rFonts w:ascii="仿宋" w:hAnsi="仿宋" w:eastAsia="仿宋"/>
          <w:color w:val="000000"/>
          <w:sz w:val="28"/>
          <w:szCs w:val="28"/>
        </w:rPr>
      </w:pPr>
    </w:p>
    <w:p w14:paraId="314FCC99">
      <w:pPr>
        <w:snapToGrid w:val="0"/>
        <w:spacing w:line="500" w:lineRule="exact"/>
        <w:rPr>
          <w:rFonts w:ascii="仿宋" w:hAnsi="仿宋" w:eastAsia="仿宋"/>
          <w:color w:val="000000"/>
          <w:sz w:val="28"/>
          <w:szCs w:val="28"/>
        </w:rPr>
      </w:pPr>
    </w:p>
    <w:p w14:paraId="58ED1FA6">
      <w:pPr>
        <w:snapToGrid w:val="0"/>
        <w:spacing w:line="500" w:lineRule="exact"/>
        <w:rPr>
          <w:rFonts w:ascii="仿宋" w:hAnsi="仿宋" w:eastAsia="仿宋"/>
          <w:color w:val="000000"/>
          <w:sz w:val="28"/>
          <w:szCs w:val="28"/>
        </w:rPr>
      </w:pPr>
    </w:p>
    <w:p w14:paraId="065B6DFD">
      <w:pPr>
        <w:snapToGrid w:val="0"/>
        <w:spacing w:line="500" w:lineRule="exact"/>
        <w:rPr>
          <w:rFonts w:ascii="仿宋" w:hAnsi="仿宋" w:eastAsia="仿宋"/>
          <w:color w:val="000000"/>
          <w:sz w:val="28"/>
          <w:szCs w:val="28"/>
        </w:rPr>
      </w:pPr>
    </w:p>
    <w:p w14:paraId="46CB7B85">
      <w:pPr>
        <w:snapToGrid w:val="0"/>
        <w:spacing w:line="500" w:lineRule="exact"/>
        <w:rPr>
          <w:rFonts w:ascii="仿宋" w:hAnsi="仿宋" w:eastAsia="仿宋"/>
          <w:color w:val="000000"/>
          <w:sz w:val="28"/>
          <w:szCs w:val="28"/>
        </w:rPr>
      </w:pPr>
      <w:r>
        <w:rPr>
          <w:rFonts w:hint="eastAsia" w:ascii="仿宋" w:hAnsi="仿宋" w:eastAsia="仿宋"/>
          <w:color w:val="000000"/>
          <w:sz w:val="28"/>
          <w:szCs w:val="28"/>
        </w:rPr>
        <w:t>四、报价函</w:t>
      </w:r>
    </w:p>
    <w:p w14:paraId="2E3281B1">
      <w:pPr>
        <w:snapToGrid w:val="0"/>
        <w:spacing w:line="500" w:lineRule="exact"/>
        <w:jc w:val="center"/>
        <w:rPr>
          <w:rFonts w:ascii="仿宋" w:hAnsi="仿宋" w:eastAsia="仿宋"/>
          <w:color w:val="000000"/>
          <w:sz w:val="28"/>
          <w:szCs w:val="28"/>
        </w:rPr>
      </w:pPr>
      <w:r>
        <w:rPr>
          <w:rFonts w:hint="eastAsia" w:ascii="仿宋" w:hAnsi="仿宋" w:eastAsia="仿宋"/>
          <w:color w:val="000000"/>
          <w:sz w:val="28"/>
          <w:szCs w:val="28"/>
        </w:rPr>
        <w:t>报价函（格式）</w:t>
      </w:r>
    </w:p>
    <w:p w14:paraId="0FAA5DF9">
      <w:pPr>
        <w:snapToGrid w:val="0"/>
        <w:spacing w:line="500" w:lineRule="exact"/>
        <w:rPr>
          <w:rFonts w:ascii="仿宋" w:hAnsi="仿宋" w:eastAsia="仿宋"/>
          <w:color w:val="000000"/>
          <w:sz w:val="28"/>
          <w:szCs w:val="28"/>
        </w:rPr>
      </w:pPr>
    </w:p>
    <w:p w14:paraId="7EDCAD91">
      <w:pPr>
        <w:snapToGrid w:val="0"/>
        <w:spacing w:line="500" w:lineRule="exact"/>
        <w:rPr>
          <w:rFonts w:ascii="仿宋" w:hAnsi="仿宋" w:eastAsia="仿宋"/>
          <w:color w:val="000000"/>
          <w:sz w:val="28"/>
          <w:szCs w:val="28"/>
          <w:u w:val="single"/>
        </w:rPr>
      </w:pPr>
      <w:r>
        <w:rPr>
          <w:rFonts w:hint="eastAsia" w:ascii="仿宋" w:hAnsi="仿宋" w:eastAsia="仿宋"/>
          <w:color w:val="000000"/>
          <w:sz w:val="28"/>
          <w:szCs w:val="28"/>
        </w:rPr>
        <w:t>招标项目名称：</w:t>
      </w:r>
    </w:p>
    <w:p w14:paraId="248BE469">
      <w:pPr>
        <w:snapToGrid w:val="0"/>
        <w:spacing w:line="500" w:lineRule="exact"/>
        <w:rPr>
          <w:rFonts w:ascii="仿宋" w:hAnsi="仿宋" w:eastAsia="仿宋"/>
          <w:color w:val="000000"/>
          <w:sz w:val="28"/>
          <w:szCs w:val="28"/>
        </w:rPr>
      </w:pPr>
      <w:r>
        <w:rPr>
          <w:rFonts w:hint="eastAsia" w:ascii="仿宋" w:hAnsi="仿宋" w:eastAsia="仿宋"/>
          <w:color w:val="000000"/>
          <w:sz w:val="28"/>
          <w:szCs w:val="28"/>
        </w:rPr>
        <w:t>致：（招标代理公司名称）：</w:t>
      </w:r>
    </w:p>
    <w:p w14:paraId="6E611AED">
      <w:pPr>
        <w:snapToGrid w:val="0"/>
        <w:spacing w:line="500" w:lineRule="exact"/>
        <w:ind w:firstLine="555"/>
        <w:rPr>
          <w:rFonts w:ascii="仿宋" w:hAnsi="仿宋" w:eastAsia="仿宋"/>
          <w:color w:val="000000"/>
          <w:sz w:val="28"/>
          <w:szCs w:val="28"/>
        </w:rPr>
      </w:pPr>
      <w:r>
        <w:rPr>
          <w:rFonts w:hint="eastAsia" w:ascii="仿宋" w:hAnsi="仿宋" w:eastAsia="仿宋"/>
          <w:color w:val="000000"/>
          <w:sz w:val="28"/>
          <w:szCs w:val="28"/>
        </w:rPr>
        <w:t>根据贵方“福江香郡三期”项目的招标文件，遵照《物业管理条例》及《重庆市物业管理招标投标暂行办法》等有关规定，经查勘项目现场和研究贵方招标文件后，我方投标报价如下：（按建筑面积计算物管费）</w:t>
      </w:r>
    </w:p>
    <w:p w14:paraId="1D4EE00D">
      <w:pPr>
        <w:snapToGrid w:val="0"/>
        <w:spacing w:line="500" w:lineRule="exact"/>
        <w:ind w:firstLine="555"/>
        <w:rPr>
          <w:rFonts w:ascii="仿宋" w:hAnsi="仿宋" w:eastAsia="仿宋"/>
          <w:color w:val="000000"/>
          <w:sz w:val="28"/>
          <w:szCs w:val="28"/>
        </w:rPr>
      </w:pPr>
      <w:r>
        <w:rPr>
          <w:rFonts w:hint="eastAsia" w:ascii="仿宋" w:hAnsi="仿宋" w:eastAsia="仿宋"/>
          <w:color w:val="000000"/>
          <w:sz w:val="28"/>
          <w:szCs w:val="28"/>
        </w:rPr>
        <w:t>一、住宅物业管理收费标准为：     元/平方米/月</w:t>
      </w:r>
    </w:p>
    <w:p w14:paraId="07541B45">
      <w:pPr>
        <w:snapToGrid w:val="0"/>
        <w:spacing w:line="500" w:lineRule="exact"/>
        <w:ind w:firstLine="555"/>
        <w:rPr>
          <w:rFonts w:ascii="仿宋" w:hAnsi="仿宋" w:eastAsia="仿宋"/>
          <w:color w:val="000000"/>
          <w:sz w:val="28"/>
          <w:szCs w:val="28"/>
        </w:rPr>
      </w:pPr>
      <w:r>
        <w:rPr>
          <w:rFonts w:hint="eastAsia" w:ascii="仿宋" w:hAnsi="仿宋" w:eastAsia="仿宋"/>
          <w:color w:val="000000"/>
          <w:sz w:val="28"/>
          <w:szCs w:val="28"/>
        </w:rPr>
        <w:t>二、商业物业管理收费标准为：     元/平方米/月</w:t>
      </w:r>
    </w:p>
    <w:p w14:paraId="580933D3">
      <w:pPr>
        <w:snapToGrid w:val="0"/>
        <w:spacing w:line="500" w:lineRule="exact"/>
        <w:ind w:firstLine="555"/>
        <w:rPr>
          <w:rFonts w:ascii="仿宋" w:hAnsi="仿宋" w:eastAsia="仿宋"/>
          <w:color w:val="000000"/>
          <w:sz w:val="28"/>
          <w:szCs w:val="28"/>
        </w:rPr>
      </w:pPr>
      <w:r>
        <w:rPr>
          <w:rFonts w:hint="eastAsia" w:ascii="仿宋" w:hAnsi="仿宋" w:eastAsia="仿宋"/>
          <w:color w:val="000000"/>
          <w:sz w:val="28"/>
          <w:szCs w:val="28"/>
        </w:rPr>
        <w:t>三、车位物业管理收费标准为：     元/个/月</w:t>
      </w:r>
    </w:p>
    <w:p w14:paraId="04418E46">
      <w:pPr>
        <w:snapToGrid w:val="0"/>
        <w:spacing w:line="500" w:lineRule="exact"/>
        <w:ind w:firstLine="555"/>
        <w:rPr>
          <w:rFonts w:ascii="仿宋" w:hAnsi="仿宋" w:eastAsia="仿宋"/>
          <w:color w:val="000000"/>
          <w:sz w:val="28"/>
          <w:szCs w:val="28"/>
        </w:rPr>
      </w:pPr>
      <w:r>
        <w:rPr>
          <w:rFonts w:hint="eastAsia" w:ascii="仿宋" w:hAnsi="仿宋" w:eastAsia="仿宋"/>
          <w:color w:val="000000"/>
          <w:sz w:val="28"/>
          <w:szCs w:val="28"/>
        </w:rPr>
        <w:t>四、报价说明：</w:t>
      </w:r>
    </w:p>
    <w:p w14:paraId="090F812A">
      <w:pPr>
        <w:snapToGrid w:val="0"/>
        <w:spacing w:line="500" w:lineRule="exact"/>
        <w:ind w:firstLine="555"/>
        <w:rPr>
          <w:rFonts w:ascii="仿宋" w:hAnsi="仿宋" w:eastAsia="仿宋"/>
          <w:color w:val="000000"/>
          <w:sz w:val="28"/>
          <w:szCs w:val="28"/>
        </w:rPr>
      </w:pPr>
      <w:r>
        <w:rPr>
          <w:rFonts w:hint="eastAsia" w:ascii="仿宋" w:hAnsi="仿宋" w:eastAsia="仿宋"/>
          <w:color w:val="000000"/>
          <w:sz w:val="28"/>
          <w:szCs w:val="28"/>
        </w:rPr>
        <w:t>1、以上收费为一费制，</w:t>
      </w:r>
      <w:r>
        <w:rPr>
          <w:rFonts w:ascii="仿宋" w:hAnsi="仿宋" w:eastAsia="仿宋"/>
          <w:color w:val="000000"/>
          <w:sz w:val="28"/>
          <w:szCs w:val="28"/>
        </w:rPr>
        <w:t>含</w:t>
      </w:r>
      <w:r>
        <w:rPr>
          <w:rFonts w:hint="eastAsia" w:ascii="仿宋" w:hAnsi="仿宋" w:eastAsia="仿宋"/>
          <w:color w:val="000000"/>
          <w:sz w:val="28"/>
          <w:szCs w:val="28"/>
        </w:rPr>
        <w:t>公共区域水电分摊费和电梯费等；</w:t>
      </w:r>
    </w:p>
    <w:p w14:paraId="73ADB276">
      <w:pPr>
        <w:snapToGrid w:val="0"/>
        <w:spacing w:line="500" w:lineRule="exact"/>
        <w:ind w:firstLine="555"/>
        <w:rPr>
          <w:rFonts w:ascii="仿宋" w:hAnsi="仿宋" w:eastAsia="仿宋"/>
          <w:color w:val="000000"/>
          <w:sz w:val="28"/>
          <w:szCs w:val="28"/>
        </w:rPr>
      </w:pPr>
      <w:r>
        <w:rPr>
          <w:rFonts w:hint="eastAsia" w:ascii="仿宋" w:hAnsi="仿宋" w:eastAsia="仿宋"/>
          <w:color w:val="000000"/>
          <w:sz w:val="28"/>
          <w:szCs w:val="28"/>
        </w:rPr>
        <w:t>2、业主空置房、开发商未出售房屋按国家物业管理相关法规规定收取费用；</w:t>
      </w:r>
    </w:p>
    <w:p w14:paraId="617D225E">
      <w:pPr>
        <w:snapToGrid w:val="0"/>
        <w:spacing w:line="500" w:lineRule="exact"/>
        <w:ind w:firstLine="555"/>
        <w:rPr>
          <w:rFonts w:ascii="仿宋" w:hAnsi="仿宋" w:eastAsia="仿宋"/>
          <w:color w:val="000000"/>
          <w:sz w:val="28"/>
          <w:szCs w:val="28"/>
        </w:rPr>
      </w:pPr>
      <w:r>
        <w:rPr>
          <w:rFonts w:hint="eastAsia" w:ascii="仿宋" w:hAnsi="仿宋" w:eastAsia="仿宋"/>
          <w:color w:val="000000"/>
          <w:sz w:val="28"/>
          <w:szCs w:val="28"/>
        </w:rPr>
        <w:t>3、报价为物业成本含企业合理利润。</w:t>
      </w:r>
    </w:p>
    <w:p w14:paraId="37956D1D">
      <w:pPr>
        <w:snapToGrid w:val="0"/>
        <w:spacing w:line="500" w:lineRule="exact"/>
        <w:ind w:firstLine="555"/>
        <w:rPr>
          <w:rFonts w:ascii="仿宋" w:hAnsi="仿宋" w:eastAsia="仿宋"/>
          <w:color w:val="000000"/>
          <w:sz w:val="28"/>
          <w:szCs w:val="28"/>
        </w:rPr>
      </w:pPr>
    </w:p>
    <w:p w14:paraId="6EB89D12">
      <w:pPr>
        <w:snapToGrid w:val="0"/>
        <w:spacing w:line="500" w:lineRule="exact"/>
        <w:ind w:firstLine="555"/>
        <w:rPr>
          <w:rFonts w:ascii="仿宋" w:hAnsi="仿宋" w:eastAsia="仿宋"/>
          <w:color w:val="000000"/>
          <w:sz w:val="28"/>
          <w:szCs w:val="28"/>
        </w:rPr>
      </w:pPr>
    </w:p>
    <w:p w14:paraId="6C62AD16">
      <w:pPr>
        <w:snapToGrid w:val="0"/>
        <w:spacing w:line="500" w:lineRule="exact"/>
        <w:jc w:val="right"/>
        <w:rPr>
          <w:rFonts w:ascii="仿宋" w:hAnsi="仿宋" w:eastAsia="仿宋"/>
          <w:color w:val="000000"/>
          <w:sz w:val="28"/>
          <w:szCs w:val="28"/>
        </w:rPr>
      </w:pPr>
      <w:r>
        <w:rPr>
          <w:rFonts w:hint="eastAsia" w:ascii="仿宋" w:hAnsi="仿宋" w:eastAsia="仿宋"/>
          <w:color w:val="000000"/>
          <w:sz w:val="28"/>
          <w:szCs w:val="28"/>
        </w:rPr>
        <w:t>投标人（公章）</w:t>
      </w:r>
    </w:p>
    <w:p w14:paraId="3FF33D65">
      <w:pPr>
        <w:snapToGrid w:val="0"/>
        <w:spacing w:line="500" w:lineRule="exact"/>
        <w:jc w:val="right"/>
        <w:rPr>
          <w:rFonts w:ascii="仿宋" w:hAnsi="仿宋" w:eastAsia="仿宋"/>
          <w:color w:val="000000"/>
          <w:sz w:val="28"/>
          <w:szCs w:val="28"/>
        </w:rPr>
      </w:pPr>
      <w:r>
        <w:rPr>
          <w:rFonts w:hint="eastAsia" w:ascii="仿宋" w:hAnsi="仿宋" w:eastAsia="仿宋"/>
          <w:color w:val="000000"/>
          <w:sz w:val="28"/>
          <w:szCs w:val="28"/>
        </w:rPr>
        <w:t>年   月   日</w:t>
      </w:r>
    </w:p>
    <w:p w14:paraId="52673D99">
      <w:pPr>
        <w:snapToGrid w:val="0"/>
        <w:spacing w:line="500" w:lineRule="exact"/>
        <w:jc w:val="right"/>
        <w:rPr>
          <w:rFonts w:ascii="仿宋" w:hAnsi="仿宋" w:eastAsia="仿宋"/>
          <w:color w:val="000000"/>
          <w:sz w:val="28"/>
          <w:szCs w:val="28"/>
        </w:rPr>
      </w:pPr>
    </w:p>
    <w:p w14:paraId="458A7ABA">
      <w:pPr>
        <w:snapToGrid w:val="0"/>
        <w:spacing w:line="500" w:lineRule="exact"/>
        <w:jc w:val="right"/>
        <w:rPr>
          <w:rFonts w:ascii="仿宋" w:hAnsi="仿宋" w:eastAsia="仿宋"/>
          <w:color w:val="000000"/>
          <w:sz w:val="28"/>
          <w:szCs w:val="28"/>
        </w:rPr>
      </w:pPr>
    </w:p>
    <w:p w14:paraId="0AD0527A">
      <w:pPr>
        <w:snapToGrid w:val="0"/>
        <w:spacing w:line="500" w:lineRule="exact"/>
        <w:jc w:val="right"/>
        <w:rPr>
          <w:rFonts w:ascii="仿宋" w:hAnsi="仿宋" w:eastAsia="仿宋"/>
          <w:color w:val="000000"/>
          <w:sz w:val="28"/>
          <w:szCs w:val="28"/>
        </w:rPr>
      </w:pPr>
    </w:p>
    <w:p w14:paraId="4CE6DD2C">
      <w:pPr>
        <w:snapToGrid w:val="0"/>
        <w:spacing w:line="500" w:lineRule="exact"/>
        <w:jc w:val="right"/>
        <w:rPr>
          <w:rFonts w:ascii="仿宋" w:hAnsi="仿宋" w:eastAsia="仿宋"/>
          <w:color w:val="000000"/>
          <w:sz w:val="28"/>
          <w:szCs w:val="28"/>
        </w:rPr>
      </w:pPr>
    </w:p>
    <w:p w14:paraId="0C38C53F">
      <w:pPr>
        <w:snapToGrid w:val="0"/>
        <w:spacing w:line="500" w:lineRule="exact"/>
        <w:jc w:val="right"/>
        <w:rPr>
          <w:rFonts w:ascii="仿宋" w:hAnsi="仿宋" w:eastAsia="仿宋"/>
          <w:color w:val="000000"/>
          <w:sz w:val="28"/>
          <w:szCs w:val="28"/>
        </w:rPr>
      </w:pPr>
    </w:p>
    <w:p w14:paraId="3CC692EA">
      <w:pPr>
        <w:snapToGrid w:val="0"/>
        <w:spacing w:line="500" w:lineRule="exact"/>
        <w:jc w:val="right"/>
        <w:rPr>
          <w:rFonts w:ascii="仿宋" w:hAnsi="仿宋" w:eastAsia="仿宋"/>
          <w:color w:val="000000"/>
          <w:sz w:val="28"/>
          <w:szCs w:val="28"/>
        </w:rPr>
      </w:pPr>
    </w:p>
    <w:p w14:paraId="3E1C6A2A">
      <w:pPr>
        <w:snapToGrid w:val="0"/>
        <w:spacing w:line="500" w:lineRule="exact"/>
        <w:rPr>
          <w:rFonts w:ascii="仿宋" w:hAnsi="仿宋" w:eastAsia="仿宋"/>
          <w:color w:val="000000"/>
          <w:sz w:val="28"/>
          <w:szCs w:val="28"/>
        </w:rPr>
      </w:pPr>
      <w:r>
        <w:rPr>
          <w:rFonts w:hint="eastAsia" w:ascii="仿宋" w:hAnsi="仿宋" w:eastAsia="仿宋"/>
          <w:color w:val="000000"/>
          <w:sz w:val="28"/>
          <w:szCs w:val="28"/>
        </w:rPr>
        <w:t>五、诚信声明</w:t>
      </w:r>
    </w:p>
    <w:p w14:paraId="3FC45665">
      <w:pPr>
        <w:snapToGrid w:val="0"/>
        <w:spacing w:line="500" w:lineRule="exact"/>
        <w:ind w:firstLine="570"/>
        <w:jc w:val="center"/>
        <w:rPr>
          <w:rFonts w:ascii="仿宋" w:hAnsi="仿宋" w:eastAsia="仿宋"/>
          <w:color w:val="000000"/>
          <w:sz w:val="28"/>
          <w:szCs w:val="28"/>
        </w:rPr>
      </w:pPr>
      <w:r>
        <w:rPr>
          <w:rFonts w:hint="eastAsia" w:ascii="仿宋" w:hAnsi="仿宋" w:eastAsia="仿宋"/>
          <w:color w:val="000000"/>
          <w:sz w:val="28"/>
          <w:szCs w:val="28"/>
        </w:rPr>
        <w:t>诚信声明（格式）</w:t>
      </w:r>
    </w:p>
    <w:p w14:paraId="5B8D073D">
      <w:pPr>
        <w:snapToGrid w:val="0"/>
        <w:spacing w:line="500" w:lineRule="exact"/>
        <w:ind w:firstLine="570"/>
        <w:rPr>
          <w:rFonts w:ascii="仿宋" w:hAnsi="仿宋" w:eastAsia="仿宋"/>
          <w:color w:val="000000"/>
          <w:sz w:val="28"/>
          <w:szCs w:val="28"/>
        </w:rPr>
      </w:pPr>
    </w:p>
    <w:p w14:paraId="670AEB94">
      <w:pPr>
        <w:snapToGrid w:val="0"/>
        <w:spacing w:line="500" w:lineRule="exact"/>
        <w:rPr>
          <w:rFonts w:ascii="仿宋" w:hAnsi="仿宋" w:eastAsia="仿宋"/>
          <w:color w:val="000000"/>
          <w:sz w:val="28"/>
          <w:szCs w:val="28"/>
          <w:u w:val="single"/>
        </w:rPr>
      </w:pPr>
      <w:r>
        <w:rPr>
          <w:rFonts w:hint="eastAsia" w:ascii="仿宋" w:hAnsi="仿宋" w:eastAsia="仿宋"/>
          <w:color w:val="000000"/>
          <w:sz w:val="28"/>
          <w:szCs w:val="28"/>
        </w:rPr>
        <w:t>招标项目名称：</w:t>
      </w:r>
    </w:p>
    <w:p w14:paraId="1FAE14EC">
      <w:pPr>
        <w:snapToGrid w:val="0"/>
        <w:spacing w:line="500" w:lineRule="exact"/>
        <w:rPr>
          <w:rFonts w:ascii="仿宋" w:hAnsi="仿宋" w:eastAsia="仿宋"/>
          <w:color w:val="000000"/>
          <w:sz w:val="28"/>
          <w:szCs w:val="28"/>
        </w:rPr>
      </w:pPr>
      <w:r>
        <w:rPr>
          <w:rFonts w:hint="eastAsia" w:ascii="仿宋" w:hAnsi="仿宋" w:eastAsia="仿宋"/>
          <w:color w:val="000000"/>
          <w:sz w:val="28"/>
          <w:szCs w:val="28"/>
        </w:rPr>
        <w:t>致：（招标代理公司名称）：</w:t>
      </w:r>
    </w:p>
    <w:p w14:paraId="59DEE9C5">
      <w:pPr>
        <w:snapToGrid w:val="0"/>
        <w:spacing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投标人名称）郑重声明，我公司具有良好的商业信誉和健全的财务会计制度，具有履行合同所必需的设备和专业技术能力，有依法缴纳税收的良好记录，在合同签订前后随时愿意提供相关证明材料。我方对以上声明负全部法律责任。</w:t>
      </w:r>
    </w:p>
    <w:p w14:paraId="2A949A38">
      <w:pPr>
        <w:snapToGrid w:val="0"/>
        <w:spacing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特此声明。</w:t>
      </w:r>
    </w:p>
    <w:p w14:paraId="5AF6B51C">
      <w:pPr>
        <w:snapToGrid w:val="0"/>
        <w:spacing w:line="500" w:lineRule="exact"/>
        <w:ind w:firstLine="570"/>
        <w:rPr>
          <w:rFonts w:ascii="仿宋" w:hAnsi="仿宋" w:eastAsia="仿宋"/>
          <w:color w:val="000000"/>
          <w:sz w:val="28"/>
          <w:szCs w:val="28"/>
        </w:rPr>
      </w:pPr>
    </w:p>
    <w:p w14:paraId="0FA52F3D">
      <w:pPr>
        <w:snapToGrid w:val="0"/>
        <w:spacing w:line="500" w:lineRule="exact"/>
        <w:ind w:right="424" w:firstLine="570"/>
        <w:jc w:val="right"/>
        <w:rPr>
          <w:rFonts w:ascii="仿宋" w:hAnsi="仿宋" w:eastAsia="仿宋"/>
          <w:color w:val="000000"/>
          <w:sz w:val="28"/>
          <w:szCs w:val="28"/>
        </w:rPr>
      </w:pPr>
      <w:r>
        <w:rPr>
          <w:rFonts w:hint="eastAsia" w:ascii="仿宋" w:hAnsi="仿宋" w:eastAsia="仿宋"/>
          <w:color w:val="000000"/>
          <w:sz w:val="28"/>
          <w:szCs w:val="28"/>
        </w:rPr>
        <w:t>（投标人公章）</w:t>
      </w:r>
    </w:p>
    <w:p w14:paraId="0115306E">
      <w:pPr>
        <w:snapToGrid w:val="0"/>
        <w:spacing w:line="500" w:lineRule="exact"/>
        <w:ind w:right="480" w:firstLine="570"/>
        <w:jc w:val="right"/>
        <w:rPr>
          <w:rFonts w:ascii="仿宋" w:hAnsi="仿宋" w:eastAsia="仿宋"/>
          <w:color w:val="000000"/>
          <w:sz w:val="28"/>
          <w:szCs w:val="28"/>
        </w:rPr>
      </w:pPr>
      <w:r>
        <w:rPr>
          <w:rFonts w:hint="eastAsia" w:ascii="仿宋" w:hAnsi="仿宋" w:eastAsia="仿宋"/>
          <w:color w:val="000000"/>
          <w:sz w:val="28"/>
          <w:szCs w:val="28"/>
        </w:rPr>
        <w:t>年   月   日</w:t>
      </w:r>
    </w:p>
    <w:p w14:paraId="394F761B">
      <w:pPr>
        <w:snapToGrid w:val="0"/>
        <w:spacing w:line="500" w:lineRule="exact"/>
        <w:rPr>
          <w:rFonts w:ascii="仿宋" w:hAnsi="仿宋" w:eastAsia="仿宋"/>
          <w:color w:val="000000"/>
          <w:sz w:val="28"/>
          <w:szCs w:val="28"/>
        </w:rPr>
      </w:pPr>
      <w:r>
        <w:rPr>
          <w:rFonts w:ascii="仿宋" w:hAnsi="仿宋" w:eastAsia="仿宋"/>
          <w:color w:val="000000"/>
          <w:sz w:val="28"/>
          <w:szCs w:val="28"/>
        </w:rPr>
        <w:t>六</w:t>
      </w:r>
      <w:r>
        <w:rPr>
          <w:rFonts w:hint="eastAsia" w:ascii="仿宋" w:hAnsi="仿宋" w:eastAsia="仿宋"/>
          <w:color w:val="000000"/>
          <w:sz w:val="28"/>
          <w:szCs w:val="28"/>
        </w:rPr>
        <w:t>、</w:t>
      </w:r>
      <w:r>
        <w:rPr>
          <w:rFonts w:ascii="仿宋" w:hAnsi="仿宋" w:eastAsia="仿宋"/>
          <w:color w:val="000000"/>
          <w:sz w:val="28"/>
          <w:szCs w:val="28"/>
        </w:rPr>
        <w:t>营业执照副本复印件</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37867">
    <w:pPr>
      <w:pStyle w:val="7"/>
      <w:framePr w:wrap="around" w:vAnchor="text" w:hAnchor="margin" w:xAlign="center" w:y="1"/>
      <w:rPr>
        <w:rStyle w:val="14"/>
      </w:rPr>
    </w:pPr>
    <w:r>
      <w:fldChar w:fldCharType="begin"/>
    </w:r>
    <w:r>
      <w:rPr>
        <w:rStyle w:val="14"/>
      </w:rPr>
      <w:instrText xml:space="preserve">PAGE  </w:instrText>
    </w:r>
    <w:r>
      <w:fldChar w:fldCharType="separate"/>
    </w:r>
    <w:r>
      <w:rPr>
        <w:rStyle w:val="14"/>
      </w:rPr>
      <w:t>9</w:t>
    </w:r>
    <w:r>
      <w:fldChar w:fldCharType="end"/>
    </w:r>
  </w:p>
  <w:p w14:paraId="04BD4701">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CC211">
    <w:pPr>
      <w:pStyle w:val="7"/>
      <w:framePr w:wrap="around" w:vAnchor="text" w:hAnchor="margin" w:xAlign="center" w:y="1"/>
      <w:rPr>
        <w:rStyle w:val="14"/>
      </w:rPr>
    </w:pPr>
    <w:r>
      <w:fldChar w:fldCharType="begin"/>
    </w:r>
    <w:r>
      <w:rPr>
        <w:rStyle w:val="14"/>
      </w:rPr>
      <w:instrText xml:space="preserve">PAGE  </w:instrText>
    </w:r>
    <w:r>
      <w:fldChar w:fldCharType="end"/>
    </w:r>
  </w:p>
  <w:p w14:paraId="08FDB9BA">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04EE8">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7B7C67"/>
    <w:multiLevelType w:val="singleLevel"/>
    <w:tmpl w:val="D27B7C6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EzYWJiYjQ3ZTQ4MDExZmEzNDUxMTkwNzQwNGQyNTgifQ=="/>
  </w:docVars>
  <w:rsids>
    <w:rsidRoot w:val="007B45B3"/>
    <w:rsid w:val="00002EFC"/>
    <w:rsid w:val="000040CC"/>
    <w:rsid w:val="0000523C"/>
    <w:rsid w:val="0001026A"/>
    <w:rsid w:val="0001195F"/>
    <w:rsid w:val="00023501"/>
    <w:rsid w:val="0002582E"/>
    <w:rsid w:val="0003615B"/>
    <w:rsid w:val="00040A23"/>
    <w:rsid w:val="0004339E"/>
    <w:rsid w:val="00045008"/>
    <w:rsid w:val="00050665"/>
    <w:rsid w:val="00055083"/>
    <w:rsid w:val="00056BBB"/>
    <w:rsid w:val="00056EB5"/>
    <w:rsid w:val="0005739A"/>
    <w:rsid w:val="00061A54"/>
    <w:rsid w:val="00063808"/>
    <w:rsid w:val="000641A1"/>
    <w:rsid w:val="000718A3"/>
    <w:rsid w:val="00071A8F"/>
    <w:rsid w:val="00083347"/>
    <w:rsid w:val="000A7C08"/>
    <w:rsid w:val="000B67CA"/>
    <w:rsid w:val="000B6B5E"/>
    <w:rsid w:val="000B7314"/>
    <w:rsid w:val="000C17B4"/>
    <w:rsid w:val="000C677D"/>
    <w:rsid w:val="000D14C0"/>
    <w:rsid w:val="000D3932"/>
    <w:rsid w:val="000D3C45"/>
    <w:rsid w:val="000D6CD0"/>
    <w:rsid w:val="000E18C8"/>
    <w:rsid w:val="000E4E9E"/>
    <w:rsid w:val="000F29CE"/>
    <w:rsid w:val="000F3856"/>
    <w:rsid w:val="000F77EA"/>
    <w:rsid w:val="0010060C"/>
    <w:rsid w:val="001044EC"/>
    <w:rsid w:val="00112BDE"/>
    <w:rsid w:val="0011362C"/>
    <w:rsid w:val="0011519F"/>
    <w:rsid w:val="00115240"/>
    <w:rsid w:val="001240EF"/>
    <w:rsid w:val="00127ECE"/>
    <w:rsid w:val="0013533F"/>
    <w:rsid w:val="00136E9A"/>
    <w:rsid w:val="001436AE"/>
    <w:rsid w:val="00151A37"/>
    <w:rsid w:val="00152482"/>
    <w:rsid w:val="001545CB"/>
    <w:rsid w:val="001563B1"/>
    <w:rsid w:val="00156EBC"/>
    <w:rsid w:val="0016519B"/>
    <w:rsid w:val="00166ABC"/>
    <w:rsid w:val="00174770"/>
    <w:rsid w:val="00175C74"/>
    <w:rsid w:val="00180082"/>
    <w:rsid w:val="00184A90"/>
    <w:rsid w:val="0019159A"/>
    <w:rsid w:val="00191C42"/>
    <w:rsid w:val="00193C3B"/>
    <w:rsid w:val="001949C1"/>
    <w:rsid w:val="001A3136"/>
    <w:rsid w:val="001A340C"/>
    <w:rsid w:val="001A5EC4"/>
    <w:rsid w:val="001B0B48"/>
    <w:rsid w:val="001B5FC4"/>
    <w:rsid w:val="001B7843"/>
    <w:rsid w:val="001C08AC"/>
    <w:rsid w:val="001C48BF"/>
    <w:rsid w:val="001D5E20"/>
    <w:rsid w:val="001E36C4"/>
    <w:rsid w:val="001E471D"/>
    <w:rsid w:val="001E59D2"/>
    <w:rsid w:val="001E5ECC"/>
    <w:rsid w:val="001F051D"/>
    <w:rsid w:val="001F17CF"/>
    <w:rsid w:val="001F36F8"/>
    <w:rsid w:val="001F40D8"/>
    <w:rsid w:val="001F467A"/>
    <w:rsid w:val="001F5BA2"/>
    <w:rsid w:val="001F6D4B"/>
    <w:rsid w:val="002045B0"/>
    <w:rsid w:val="0020635B"/>
    <w:rsid w:val="002129A5"/>
    <w:rsid w:val="00213F10"/>
    <w:rsid w:val="00215BC3"/>
    <w:rsid w:val="00223964"/>
    <w:rsid w:val="00224B36"/>
    <w:rsid w:val="0022520F"/>
    <w:rsid w:val="00225B0E"/>
    <w:rsid w:val="00231D83"/>
    <w:rsid w:val="002333FF"/>
    <w:rsid w:val="00241997"/>
    <w:rsid w:val="00250E29"/>
    <w:rsid w:val="00253914"/>
    <w:rsid w:val="002604A2"/>
    <w:rsid w:val="00261F90"/>
    <w:rsid w:val="00262653"/>
    <w:rsid w:val="002634E0"/>
    <w:rsid w:val="00272A88"/>
    <w:rsid w:val="00274CCF"/>
    <w:rsid w:val="002813FC"/>
    <w:rsid w:val="00282630"/>
    <w:rsid w:val="00282DF5"/>
    <w:rsid w:val="00291887"/>
    <w:rsid w:val="00293B9F"/>
    <w:rsid w:val="002953F9"/>
    <w:rsid w:val="002968E6"/>
    <w:rsid w:val="002B217D"/>
    <w:rsid w:val="002C4F10"/>
    <w:rsid w:val="002C5C3F"/>
    <w:rsid w:val="002D1EBB"/>
    <w:rsid w:val="002D2115"/>
    <w:rsid w:val="002D3697"/>
    <w:rsid w:val="002D4746"/>
    <w:rsid w:val="002D4DC7"/>
    <w:rsid w:val="002E0E00"/>
    <w:rsid w:val="002E16E7"/>
    <w:rsid w:val="002E1824"/>
    <w:rsid w:val="002E23A6"/>
    <w:rsid w:val="0030408C"/>
    <w:rsid w:val="00304C02"/>
    <w:rsid w:val="003063A5"/>
    <w:rsid w:val="00306725"/>
    <w:rsid w:val="00321BB2"/>
    <w:rsid w:val="003222AE"/>
    <w:rsid w:val="003241A4"/>
    <w:rsid w:val="00327982"/>
    <w:rsid w:val="00331CA5"/>
    <w:rsid w:val="00332D27"/>
    <w:rsid w:val="003406FE"/>
    <w:rsid w:val="00341AFA"/>
    <w:rsid w:val="003432CB"/>
    <w:rsid w:val="00345FA2"/>
    <w:rsid w:val="003524F0"/>
    <w:rsid w:val="00353377"/>
    <w:rsid w:val="0035601D"/>
    <w:rsid w:val="003603A9"/>
    <w:rsid w:val="00360585"/>
    <w:rsid w:val="0036086E"/>
    <w:rsid w:val="003612C2"/>
    <w:rsid w:val="00366B55"/>
    <w:rsid w:val="00367D07"/>
    <w:rsid w:val="00370307"/>
    <w:rsid w:val="00371AD0"/>
    <w:rsid w:val="003737D9"/>
    <w:rsid w:val="003739A6"/>
    <w:rsid w:val="00376671"/>
    <w:rsid w:val="00384259"/>
    <w:rsid w:val="003855A3"/>
    <w:rsid w:val="003905D8"/>
    <w:rsid w:val="00396F67"/>
    <w:rsid w:val="003A1C8E"/>
    <w:rsid w:val="003A77DA"/>
    <w:rsid w:val="003A793D"/>
    <w:rsid w:val="003B397A"/>
    <w:rsid w:val="003B6B01"/>
    <w:rsid w:val="003C069B"/>
    <w:rsid w:val="003C1555"/>
    <w:rsid w:val="003C2C9B"/>
    <w:rsid w:val="003C3EB5"/>
    <w:rsid w:val="003C67C1"/>
    <w:rsid w:val="003C6CE0"/>
    <w:rsid w:val="003C7E88"/>
    <w:rsid w:val="003D1173"/>
    <w:rsid w:val="003D31AC"/>
    <w:rsid w:val="003D3248"/>
    <w:rsid w:val="003E1C3B"/>
    <w:rsid w:val="003E1C43"/>
    <w:rsid w:val="003E64BD"/>
    <w:rsid w:val="003F4F81"/>
    <w:rsid w:val="003F6B87"/>
    <w:rsid w:val="004004E0"/>
    <w:rsid w:val="004043EE"/>
    <w:rsid w:val="004059B4"/>
    <w:rsid w:val="00410333"/>
    <w:rsid w:val="0042012B"/>
    <w:rsid w:val="00422CAF"/>
    <w:rsid w:val="00422EB5"/>
    <w:rsid w:val="004342D5"/>
    <w:rsid w:val="00436557"/>
    <w:rsid w:val="0043708E"/>
    <w:rsid w:val="0044056D"/>
    <w:rsid w:val="00442C96"/>
    <w:rsid w:val="00443A59"/>
    <w:rsid w:val="00454677"/>
    <w:rsid w:val="004652C9"/>
    <w:rsid w:val="00465E0D"/>
    <w:rsid w:val="00466E57"/>
    <w:rsid w:val="00466EFF"/>
    <w:rsid w:val="00477641"/>
    <w:rsid w:val="00477EF5"/>
    <w:rsid w:val="0048006D"/>
    <w:rsid w:val="00483067"/>
    <w:rsid w:val="00484196"/>
    <w:rsid w:val="004959C3"/>
    <w:rsid w:val="004A261F"/>
    <w:rsid w:val="004A4406"/>
    <w:rsid w:val="004A65AD"/>
    <w:rsid w:val="004A705C"/>
    <w:rsid w:val="004B17C6"/>
    <w:rsid w:val="004B18A5"/>
    <w:rsid w:val="004B35BC"/>
    <w:rsid w:val="004C1997"/>
    <w:rsid w:val="004C444A"/>
    <w:rsid w:val="004C4D01"/>
    <w:rsid w:val="004D4A83"/>
    <w:rsid w:val="004D522D"/>
    <w:rsid w:val="004E0182"/>
    <w:rsid w:val="004E15E5"/>
    <w:rsid w:val="004E4440"/>
    <w:rsid w:val="004E4AA6"/>
    <w:rsid w:val="004E5B81"/>
    <w:rsid w:val="004E6A69"/>
    <w:rsid w:val="004E7C7E"/>
    <w:rsid w:val="004F1B33"/>
    <w:rsid w:val="005072E7"/>
    <w:rsid w:val="00511795"/>
    <w:rsid w:val="005130D6"/>
    <w:rsid w:val="00513A8E"/>
    <w:rsid w:val="005206FE"/>
    <w:rsid w:val="005235A9"/>
    <w:rsid w:val="0052431D"/>
    <w:rsid w:val="0052443F"/>
    <w:rsid w:val="005254A0"/>
    <w:rsid w:val="005257D4"/>
    <w:rsid w:val="0053161A"/>
    <w:rsid w:val="005429D2"/>
    <w:rsid w:val="00543C8E"/>
    <w:rsid w:val="005501A2"/>
    <w:rsid w:val="00551A54"/>
    <w:rsid w:val="0056650A"/>
    <w:rsid w:val="00572534"/>
    <w:rsid w:val="00573A10"/>
    <w:rsid w:val="00576B06"/>
    <w:rsid w:val="005774C4"/>
    <w:rsid w:val="00585431"/>
    <w:rsid w:val="005924AC"/>
    <w:rsid w:val="00593F92"/>
    <w:rsid w:val="005950F0"/>
    <w:rsid w:val="00596C37"/>
    <w:rsid w:val="005A13F4"/>
    <w:rsid w:val="005A15BA"/>
    <w:rsid w:val="005A4B55"/>
    <w:rsid w:val="005A4FA3"/>
    <w:rsid w:val="005B244D"/>
    <w:rsid w:val="005B78CF"/>
    <w:rsid w:val="005C0117"/>
    <w:rsid w:val="005E169F"/>
    <w:rsid w:val="005E5E17"/>
    <w:rsid w:val="005F08B8"/>
    <w:rsid w:val="005F4DA1"/>
    <w:rsid w:val="005F76C7"/>
    <w:rsid w:val="005F7F84"/>
    <w:rsid w:val="00604C23"/>
    <w:rsid w:val="00605B0B"/>
    <w:rsid w:val="00613C3C"/>
    <w:rsid w:val="006143CC"/>
    <w:rsid w:val="006154F4"/>
    <w:rsid w:val="00615612"/>
    <w:rsid w:val="00622200"/>
    <w:rsid w:val="00622C77"/>
    <w:rsid w:val="00623EC6"/>
    <w:rsid w:val="006250DC"/>
    <w:rsid w:val="00630038"/>
    <w:rsid w:val="00636EB3"/>
    <w:rsid w:val="006558F4"/>
    <w:rsid w:val="00663FFC"/>
    <w:rsid w:val="00665216"/>
    <w:rsid w:val="00673F34"/>
    <w:rsid w:val="006836FF"/>
    <w:rsid w:val="006842E9"/>
    <w:rsid w:val="00684C70"/>
    <w:rsid w:val="006868B6"/>
    <w:rsid w:val="00686C27"/>
    <w:rsid w:val="00693D3F"/>
    <w:rsid w:val="0069526A"/>
    <w:rsid w:val="006956C3"/>
    <w:rsid w:val="006958CE"/>
    <w:rsid w:val="006A3177"/>
    <w:rsid w:val="006A4024"/>
    <w:rsid w:val="006A76DA"/>
    <w:rsid w:val="006C3012"/>
    <w:rsid w:val="006C516A"/>
    <w:rsid w:val="006C59D9"/>
    <w:rsid w:val="006C6FEB"/>
    <w:rsid w:val="006D07C6"/>
    <w:rsid w:val="006D1FE1"/>
    <w:rsid w:val="006E498F"/>
    <w:rsid w:val="006E564F"/>
    <w:rsid w:val="006E658E"/>
    <w:rsid w:val="006F18A9"/>
    <w:rsid w:val="007013DA"/>
    <w:rsid w:val="0070628E"/>
    <w:rsid w:val="00706FDB"/>
    <w:rsid w:val="00710367"/>
    <w:rsid w:val="007109F4"/>
    <w:rsid w:val="007144B6"/>
    <w:rsid w:val="00724B33"/>
    <w:rsid w:val="00726EA6"/>
    <w:rsid w:val="007356B3"/>
    <w:rsid w:val="0074221E"/>
    <w:rsid w:val="0074755F"/>
    <w:rsid w:val="00751B40"/>
    <w:rsid w:val="0075213E"/>
    <w:rsid w:val="00752444"/>
    <w:rsid w:val="007554B0"/>
    <w:rsid w:val="00756BD2"/>
    <w:rsid w:val="007577AA"/>
    <w:rsid w:val="0077716C"/>
    <w:rsid w:val="00780A82"/>
    <w:rsid w:val="00782A09"/>
    <w:rsid w:val="00782E9B"/>
    <w:rsid w:val="00793B86"/>
    <w:rsid w:val="007A4831"/>
    <w:rsid w:val="007A6406"/>
    <w:rsid w:val="007A7E44"/>
    <w:rsid w:val="007B0E95"/>
    <w:rsid w:val="007B2FB7"/>
    <w:rsid w:val="007B45B3"/>
    <w:rsid w:val="007B6F7C"/>
    <w:rsid w:val="007C1888"/>
    <w:rsid w:val="007C39B9"/>
    <w:rsid w:val="007C3F4B"/>
    <w:rsid w:val="007D2D52"/>
    <w:rsid w:val="007D4070"/>
    <w:rsid w:val="007D4811"/>
    <w:rsid w:val="007D7ED3"/>
    <w:rsid w:val="007E26C5"/>
    <w:rsid w:val="007E3727"/>
    <w:rsid w:val="007E6AB4"/>
    <w:rsid w:val="007F0F86"/>
    <w:rsid w:val="007F17C0"/>
    <w:rsid w:val="007F6F9B"/>
    <w:rsid w:val="008003D0"/>
    <w:rsid w:val="0080248B"/>
    <w:rsid w:val="00804732"/>
    <w:rsid w:val="00806165"/>
    <w:rsid w:val="008063DB"/>
    <w:rsid w:val="00810AFF"/>
    <w:rsid w:val="00811B61"/>
    <w:rsid w:val="0082096B"/>
    <w:rsid w:val="0082103D"/>
    <w:rsid w:val="0082353C"/>
    <w:rsid w:val="00826150"/>
    <w:rsid w:val="00827AF3"/>
    <w:rsid w:val="0084600A"/>
    <w:rsid w:val="00846B24"/>
    <w:rsid w:val="008515BC"/>
    <w:rsid w:val="008532FC"/>
    <w:rsid w:val="0085462D"/>
    <w:rsid w:val="00855A06"/>
    <w:rsid w:val="00856DD4"/>
    <w:rsid w:val="00870A40"/>
    <w:rsid w:val="00872E8F"/>
    <w:rsid w:val="0087477E"/>
    <w:rsid w:val="00876E3B"/>
    <w:rsid w:val="00877CD4"/>
    <w:rsid w:val="00881D96"/>
    <w:rsid w:val="00882868"/>
    <w:rsid w:val="00893A8D"/>
    <w:rsid w:val="0089609F"/>
    <w:rsid w:val="00896B62"/>
    <w:rsid w:val="008A054D"/>
    <w:rsid w:val="008A29C4"/>
    <w:rsid w:val="008A45A1"/>
    <w:rsid w:val="008A6FC0"/>
    <w:rsid w:val="008A7FC5"/>
    <w:rsid w:val="008C02B4"/>
    <w:rsid w:val="008C3055"/>
    <w:rsid w:val="008C440A"/>
    <w:rsid w:val="008D2F07"/>
    <w:rsid w:val="008D4054"/>
    <w:rsid w:val="008E770A"/>
    <w:rsid w:val="009025DB"/>
    <w:rsid w:val="00902E17"/>
    <w:rsid w:val="00906134"/>
    <w:rsid w:val="0091773B"/>
    <w:rsid w:val="00927ACB"/>
    <w:rsid w:val="00931C74"/>
    <w:rsid w:val="00934FA4"/>
    <w:rsid w:val="009372EA"/>
    <w:rsid w:val="00944809"/>
    <w:rsid w:val="00945FA8"/>
    <w:rsid w:val="0095335F"/>
    <w:rsid w:val="00953A86"/>
    <w:rsid w:val="00957BAD"/>
    <w:rsid w:val="0096542F"/>
    <w:rsid w:val="0096722A"/>
    <w:rsid w:val="00971FE2"/>
    <w:rsid w:val="00973A80"/>
    <w:rsid w:val="00981D91"/>
    <w:rsid w:val="00990603"/>
    <w:rsid w:val="009917C1"/>
    <w:rsid w:val="00991B41"/>
    <w:rsid w:val="00993A05"/>
    <w:rsid w:val="009956A6"/>
    <w:rsid w:val="009967EE"/>
    <w:rsid w:val="009976C8"/>
    <w:rsid w:val="009A2107"/>
    <w:rsid w:val="009A384A"/>
    <w:rsid w:val="009A563A"/>
    <w:rsid w:val="009A65A8"/>
    <w:rsid w:val="009B22B9"/>
    <w:rsid w:val="009C6087"/>
    <w:rsid w:val="009D020A"/>
    <w:rsid w:val="009D4215"/>
    <w:rsid w:val="009D5AE1"/>
    <w:rsid w:val="009E4D17"/>
    <w:rsid w:val="009E5447"/>
    <w:rsid w:val="009F0536"/>
    <w:rsid w:val="009F69FF"/>
    <w:rsid w:val="00A00850"/>
    <w:rsid w:val="00A00E3B"/>
    <w:rsid w:val="00A102D8"/>
    <w:rsid w:val="00A12B62"/>
    <w:rsid w:val="00A13150"/>
    <w:rsid w:val="00A14B72"/>
    <w:rsid w:val="00A15B26"/>
    <w:rsid w:val="00A33398"/>
    <w:rsid w:val="00A3358A"/>
    <w:rsid w:val="00A3485A"/>
    <w:rsid w:val="00A36A10"/>
    <w:rsid w:val="00A41A23"/>
    <w:rsid w:val="00A43BA8"/>
    <w:rsid w:val="00A461D9"/>
    <w:rsid w:val="00A60894"/>
    <w:rsid w:val="00A60CEB"/>
    <w:rsid w:val="00A613BB"/>
    <w:rsid w:val="00A6497B"/>
    <w:rsid w:val="00A65065"/>
    <w:rsid w:val="00A66EB2"/>
    <w:rsid w:val="00A74D42"/>
    <w:rsid w:val="00A7718C"/>
    <w:rsid w:val="00A81ED5"/>
    <w:rsid w:val="00A83852"/>
    <w:rsid w:val="00A83F14"/>
    <w:rsid w:val="00A87EB2"/>
    <w:rsid w:val="00A902C5"/>
    <w:rsid w:val="00A90EAE"/>
    <w:rsid w:val="00A91418"/>
    <w:rsid w:val="00A93C42"/>
    <w:rsid w:val="00AA218F"/>
    <w:rsid w:val="00AA6221"/>
    <w:rsid w:val="00AB0633"/>
    <w:rsid w:val="00AB1C2F"/>
    <w:rsid w:val="00AB2919"/>
    <w:rsid w:val="00AC00E5"/>
    <w:rsid w:val="00AC3362"/>
    <w:rsid w:val="00AC3BDE"/>
    <w:rsid w:val="00AC4131"/>
    <w:rsid w:val="00AC53BB"/>
    <w:rsid w:val="00AC5EF3"/>
    <w:rsid w:val="00AD507C"/>
    <w:rsid w:val="00AD5CAC"/>
    <w:rsid w:val="00AD6D29"/>
    <w:rsid w:val="00AF5108"/>
    <w:rsid w:val="00AF67B6"/>
    <w:rsid w:val="00B03DD4"/>
    <w:rsid w:val="00B0687A"/>
    <w:rsid w:val="00B072B6"/>
    <w:rsid w:val="00B10704"/>
    <w:rsid w:val="00B1396A"/>
    <w:rsid w:val="00B1584A"/>
    <w:rsid w:val="00B169B3"/>
    <w:rsid w:val="00B24D97"/>
    <w:rsid w:val="00B26F1B"/>
    <w:rsid w:val="00B547BA"/>
    <w:rsid w:val="00B5533E"/>
    <w:rsid w:val="00B574C0"/>
    <w:rsid w:val="00B61F26"/>
    <w:rsid w:val="00B64CFB"/>
    <w:rsid w:val="00B75766"/>
    <w:rsid w:val="00B76546"/>
    <w:rsid w:val="00B77E3B"/>
    <w:rsid w:val="00B82B8C"/>
    <w:rsid w:val="00B82DA7"/>
    <w:rsid w:val="00B837AA"/>
    <w:rsid w:val="00B83E45"/>
    <w:rsid w:val="00B8498E"/>
    <w:rsid w:val="00B91ED7"/>
    <w:rsid w:val="00B930A6"/>
    <w:rsid w:val="00BA4BC2"/>
    <w:rsid w:val="00BC1CCE"/>
    <w:rsid w:val="00BC4744"/>
    <w:rsid w:val="00BE11AA"/>
    <w:rsid w:val="00BE7AD7"/>
    <w:rsid w:val="00BF3171"/>
    <w:rsid w:val="00BF5542"/>
    <w:rsid w:val="00C007BB"/>
    <w:rsid w:val="00C049E6"/>
    <w:rsid w:val="00C06208"/>
    <w:rsid w:val="00C06558"/>
    <w:rsid w:val="00C067BD"/>
    <w:rsid w:val="00C1152C"/>
    <w:rsid w:val="00C13042"/>
    <w:rsid w:val="00C22938"/>
    <w:rsid w:val="00C335D0"/>
    <w:rsid w:val="00C36CF3"/>
    <w:rsid w:val="00C36D61"/>
    <w:rsid w:val="00C43B37"/>
    <w:rsid w:val="00C43FA7"/>
    <w:rsid w:val="00C46A68"/>
    <w:rsid w:val="00C5011F"/>
    <w:rsid w:val="00C56BA4"/>
    <w:rsid w:val="00C617F5"/>
    <w:rsid w:val="00C6619F"/>
    <w:rsid w:val="00C70A7E"/>
    <w:rsid w:val="00C72A11"/>
    <w:rsid w:val="00C76F0E"/>
    <w:rsid w:val="00C82E58"/>
    <w:rsid w:val="00C92C23"/>
    <w:rsid w:val="00CA30D3"/>
    <w:rsid w:val="00CC0D0F"/>
    <w:rsid w:val="00CC7962"/>
    <w:rsid w:val="00CD1437"/>
    <w:rsid w:val="00CD2964"/>
    <w:rsid w:val="00CD4E0B"/>
    <w:rsid w:val="00CD62DC"/>
    <w:rsid w:val="00CE554E"/>
    <w:rsid w:val="00CF04BD"/>
    <w:rsid w:val="00D0111D"/>
    <w:rsid w:val="00D02A77"/>
    <w:rsid w:val="00D04748"/>
    <w:rsid w:val="00D220B3"/>
    <w:rsid w:val="00D25F6A"/>
    <w:rsid w:val="00D27DA0"/>
    <w:rsid w:val="00D3115A"/>
    <w:rsid w:val="00D32762"/>
    <w:rsid w:val="00D355D9"/>
    <w:rsid w:val="00D41BD8"/>
    <w:rsid w:val="00D42EAF"/>
    <w:rsid w:val="00D52A91"/>
    <w:rsid w:val="00D55129"/>
    <w:rsid w:val="00D55B3E"/>
    <w:rsid w:val="00D57C9E"/>
    <w:rsid w:val="00D629D2"/>
    <w:rsid w:val="00D64E62"/>
    <w:rsid w:val="00D77042"/>
    <w:rsid w:val="00D849EA"/>
    <w:rsid w:val="00DB6D8D"/>
    <w:rsid w:val="00DC2D9C"/>
    <w:rsid w:val="00DD0171"/>
    <w:rsid w:val="00DD3F6A"/>
    <w:rsid w:val="00DD4A97"/>
    <w:rsid w:val="00DD53DA"/>
    <w:rsid w:val="00DD5B29"/>
    <w:rsid w:val="00DF697D"/>
    <w:rsid w:val="00DF7088"/>
    <w:rsid w:val="00E00BF0"/>
    <w:rsid w:val="00E01118"/>
    <w:rsid w:val="00E114E3"/>
    <w:rsid w:val="00E11C5C"/>
    <w:rsid w:val="00E140FC"/>
    <w:rsid w:val="00E151AE"/>
    <w:rsid w:val="00E15936"/>
    <w:rsid w:val="00E15AF5"/>
    <w:rsid w:val="00E15BAF"/>
    <w:rsid w:val="00E206F3"/>
    <w:rsid w:val="00E23380"/>
    <w:rsid w:val="00E24F37"/>
    <w:rsid w:val="00E2531A"/>
    <w:rsid w:val="00E2589E"/>
    <w:rsid w:val="00E32FFA"/>
    <w:rsid w:val="00E37CF0"/>
    <w:rsid w:val="00E4099A"/>
    <w:rsid w:val="00E41D8C"/>
    <w:rsid w:val="00E5438E"/>
    <w:rsid w:val="00E66901"/>
    <w:rsid w:val="00E74440"/>
    <w:rsid w:val="00E7486F"/>
    <w:rsid w:val="00E75AFF"/>
    <w:rsid w:val="00E76A33"/>
    <w:rsid w:val="00E8185D"/>
    <w:rsid w:val="00E85429"/>
    <w:rsid w:val="00E85AC5"/>
    <w:rsid w:val="00E873DB"/>
    <w:rsid w:val="00EA21CC"/>
    <w:rsid w:val="00EA3CD4"/>
    <w:rsid w:val="00EA629F"/>
    <w:rsid w:val="00EA744D"/>
    <w:rsid w:val="00EB18A7"/>
    <w:rsid w:val="00EC226E"/>
    <w:rsid w:val="00EC5E10"/>
    <w:rsid w:val="00EC6ADD"/>
    <w:rsid w:val="00EC7190"/>
    <w:rsid w:val="00ED3532"/>
    <w:rsid w:val="00ED3A3E"/>
    <w:rsid w:val="00ED43FB"/>
    <w:rsid w:val="00ED6B46"/>
    <w:rsid w:val="00EE0DF0"/>
    <w:rsid w:val="00EE6620"/>
    <w:rsid w:val="00EF2FCB"/>
    <w:rsid w:val="00EF3186"/>
    <w:rsid w:val="00EF4B61"/>
    <w:rsid w:val="00F035C2"/>
    <w:rsid w:val="00F05530"/>
    <w:rsid w:val="00F1777F"/>
    <w:rsid w:val="00F226BA"/>
    <w:rsid w:val="00F227D2"/>
    <w:rsid w:val="00F42A36"/>
    <w:rsid w:val="00F50A5E"/>
    <w:rsid w:val="00F70CE4"/>
    <w:rsid w:val="00F77F57"/>
    <w:rsid w:val="00F84D73"/>
    <w:rsid w:val="00F8583A"/>
    <w:rsid w:val="00F95E0E"/>
    <w:rsid w:val="00FA3DA7"/>
    <w:rsid w:val="00FA53E0"/>
    <w:rsid w:val="00FA7020"/>
    <w:rsid w:val="00FB46DE"/>
    <w:rsid w:val="00FB66FB"/>
    <w:rsid w:val="00FB6CD5"/>
    <w:rsid w:val="00FB754D"/>
    <w:rsid w:val="00FB7D05"/>
    <w:rsid w:val="00FC066A"/>
    <w:rsid w:val="00FC12C3"/>
    <w:rsid w:val="00FC2157"/>
    <w:rsid w:val="00FC4E13"/>
    <w:rsid w:val="00FD1EA2"/>
    <w:rsid w:val="00FD4D2E"/>
    <w:rsid w:val="00FE1CE1"/>
    <w:rsid w:val="00FE33E0"/>
    <w:rsid w:val="00FE70CF"/>
    <w:rsid w:val="00FE768A"/>
    <w:rsid w:val="00FF0CF0"/>
    <w:rsid w:val="00FF1555"/>
    <w:rsid w:val="00FF682D"/>
    <w:rsid w:val="00FF6AF4"/>
    <w:rsid w:val="03D74C99"/>
    <w:rsid w:val="03F25127"/>
    <w:rsid w:val="04867F58"/>
    <w:rsid w:val="063C0F7B"/>
    <w:rsid w:val="0AD46352"/>
    <w:rsid w:val="106B129B"/>
    <w:rsid w:val="19A11867"/>
    <w:rsid w:val="1C2D1A85"/>
    <w:rsid w:val="1D857F7C"/>
    <w:rsid w:val="1FCA6FDD"/>
    <w:rsid w:val="2164050B"/>
    <w:rsid w:val="22181964"/>
    <w:rsid w:val="25F17CCE"/>
    <w:rsid w:val="2C3D4920"/>
    <w:rsid w:val="34C9402B"/>
    <w:rsid w:val="34F266A5"/>
    <w:rsid w:val="365A2503"/>
    <w:rsid w:val="3AC41D77"/>
    <w:rsid w:val="41AA3E63"/>
    <w:rsid w:val="4C8A5837"/>
    <w:rsid w:val="53D537AB"/>
    <w:rsid w:val="57723A6D"/>
    <w:rsid w:val="59166814"/>
    <w:rsid w:val="591A2C0E"/>
    <w:rsid w:val="5B185506"/>
    <w:rsid w:val="5B2E0D0C"/>
    <w:rsid w:val="5D2A05E8"/>
    <w:rsid w:val="61A55953"/>
    <w:rsid w:val="633249F7"/>
    <w:rsid w:val="66DD014F"/>
    <w:rsid w:val="679A1396"/>
    <w:rsid w:val="69C9051D"/>
    <w:rsid w:val="6A0F7EA6"/>
    <w:rsid w:val="6A713A2E"/>
    <w:rsid w:val="6CA756BD"/>
    <w:rsid w:val="73C80EB0"/>
    <w:rsid w:val="74520FC7"/>
    <w:rsid w:val="76325C4C"/>
    <w:rsid w:val="775200D2"/>
    <w:rsid w:val="7BCA2F07"/>
    <w:rsid w:val="7FD939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9"/>
    <w:qFormat/>
    <w:uiPriority w:val="0"/>
    <w:pPr>
      <w:keepNext/>
      <w:keepLines/>
      <w:adjustRightInd w:val="0"/>
      <w:snapToGrid w:val="0"/>
      <w:spacing w:line="360" w:lineRule="auto"/>
      <w:outlineLvl w:val="1"/>
    </w:pPr>
    <w:rPr>
      <w:rFonts w:ascii="宋体" w:hAnsi="宋体"/>
      <w:sz w:val="28"/>
      <w:szCs w:val="20"/>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qFormat/>
    <w:uiPriority w:val="0"/>
    <w:pPr>
      <w:jc w:val="left"/>
    </w:pPr>
  </w:style>
  <w:style w:type="paragraph" w:styleId="4">
    <w:name w:val="Body Text Indent"/>
    <w:basedOn w:val="1"/>
    <w:link w:val="21"/>
    <w:qFormat/>
    <w:uiPriority w:val="0"/>
    <w:pPr>
      <w:spacing w:after="120"/>
      <w:ind w:left="420" w:leftChars="200"/>
    </w:pPr>
    <w:rPr>
      <w:sz w:val="28"/>
      <w:szCs w:val="20"/>
    </w:rPr>
  </w:style>
  <w:style w:type="paragraph" w:styleId="5">
    <w:name w:val="Date"/>
    <w:basedOn w:val="1"/>
    <w:next w:val="1"/>
    <w:link w:val="22"/>
    <w:qFormat/>
    <w:uiPriority w:val="0"/>
    <w:rPr>
      <w:kern w:val="0"/>
      <w:sz w:val="28"/>
      <w:szCs w:val="20"/>
    </w:rPr>
  </w:style>
  <w:style w:type="paragraph" w:styleId="6">
    <w:name w:val="Balloon Text"/>
    <w:basedOn w:val="1"/>
    <w:link w:val="30"/>
    <w:semiHidden/>
    <w:unhideWhenUsed/>
    <w:qFormat/>
    <w:uiPriority w:val="99"/>
    <w:rPr>
      <w:sz w:val="18"/>
      <w:szCs w:val="18"/>
    </w:rPr>
  </w:style>
  <w:style w:type="paragraph" w:styleId="7">
    <w:name w:val="footer"/>
    <w:basedOn w:val="1"/>
    <w:link w:val="23"/>
    <w:qFormat/>
    <w:uiPriority w:val="0"/>
    <w:pPr>
      <w:tabs>
        <w:tab w:val="center" w:pos="4153"/>
        <w:tab w:val="right" w:pos="8306"/>
      </w:tabs>
      <w:snapToGrid w:val="0"/>
      <w:jc w:val="left"/>
    </w:pPr>
    <w:rPr>
      <w:sz w:val="18"/>
      <w:szCs w:val="18"/>
    </w:rPr>
  </w:style>
  <w:style w:type="paragraph" w:styleId="8">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link w:val="2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0">
    <w:name w:val="Normal (Web)"/>
    <w:basedOn w:val="1"/>
    <w:qFormat/>
    <w:uiPriority w:val="0"/>
    <w:pPr>
      <w:spacing w:before="100" w:beforeAutospacing="1" w:after="100" w:afterAutospacing="1"/>
      <w:jc w:val="left"/>
    </w:pPr>
    <w:rPr>
      <w:kern w:val="0"/>
      <w:sz w:val="24"/>
    </w:rPr>
  </w:style>
  <w:style w:type="character" w:styleId="13">
    <w:name w:val="Strong"/>
    <w:basedOn w:val="12"/>
    <w:qFormat/>
    <w:uiPriority w:val="0"/>
    <w:rPr>
      <w:b/>
      <w:bCs/>
    </w:rPr>
  </w:style>
  <w:style w:type="character" w:styleId="14">
    <w:name w:val="page number"/>
    <w:basedOn w:val="12"/>
    <w:qFormat/>
    <w:uiPriority w:val="0"/>
  </w:style>
  <w:style w:type="character" w:styleId="15">
    <w:name w:val="Hyperlink"/>
    <w:basedOn w:val="12"/>
    <w:unhideWhenUsed/>
    <w:qFormat/>
    <w:uiPriority w:val="99"/>
    <w:rPr>
      <w:color w:val="0000FF" w:themeColor="hyperlink"/>
      <w:u w:val="single"/>
    </w:rPr>
  </w:style>
  <w:style w:type="paragraph" w:customStyle="1" w:styleId="16">
    <w:name w:val="列出段落1"/>
    <w:basedOn w:val="1"/>
    <w:qFormat/>
    <w:uiPriority w:val="34"/>
    <w:pPr>
      <w:ind w:firstLine="420" w:firstLineChars="200"/>
    </w:pPr>
  </w:style>
  <w:style w:type="paragraph" w:customStyle="1" w:styleId="17">
    <w:name w:val="列出段落11"/>
    <w:basedOn w:val="1"/>
    <w:qFormat/>
    <w:uiPriority w:val="0"/>
    <w:pPr>
      <w:ind w:firstLine="420" w:firstLineChars="200"/>
    </w:pPr>
  </w:style>
  <w:style w:type="paragraph" w:customStyle="1" w:styleId="18">
    <w:name w:val="_Style 3"/>
    <w:basedOn w:val="1"/>
    <w:qFormat/>
    <w:uiPriority w:val="99"/>
    <w:pPr>
      <w:ind w:firstLine="200" w:firstLineChars="200"/>
    </w:pPr>
    <w:rPr>
      <w:rFonts w:ascii="Calibri" w:hAnsi="Calibri"/>
      <w:szCs w:val="22"/>
    </w:rPr>
  </w:style>
  <w:style w:type="character" w:customStyle="1" w:styleId="19">
    <w:name w:val="标题 2 Char"/>
    <w:basedOn w:val="12"/>
    <w:link w:val="2"/>
    <w:qFormat/>
    <w:uiPriority w:val="0"/>
    <w:rPr>
      <w:rFonts w:ascii="宋体" w:hAnsi="宋体" w:eastAsia="宋体" w:cs="Times New Roman"/>
      <w:sz w:val="28"/>
      <w:szCs w:val="20"/>
    </w:rPr>
  </w:style>
  <w:style w:type="character" w:customStyle="1" w:styleId="20">
    <w:name w:val="批注文字 Char"/>
    <w:basedOn w:val="12"/>
    <w:link w:val="3"/>
    <w:qFormat/>
    <w:uiPriority w:val="0"/>
    <w:rPr>
      <w:rFonts w:ascii="Times New Roman" w:hAnsi="Times New Roman" w:eastAsia="宋体" w:cs="Times New Roman"/>
      <w:szCs w:val="24"/>
    </w:rPr>
  </w:style>
  <w:style w:type="character" w:customStyle="1" w:styleId="21">
    <w:name w:val="正文文本缩进 Char"/>
    <w:basedOn w:val="12"/>
    <w:link w:val="4"/>
    <w:qFormat/>
    <w:uiPriority w:val="0"/>
    <w:rPr>
      <w:rFonts w:ascii="Times New Roman" w:hAnsi="Times New Roman" w:eastAsia="宋体" w:cs="Times New Roman"/>
      <w:sz w:val="28"/>
      <w:szCs w:val="20"/>
    </w:rPr>
  </w:style>
  <w:style w:type="character" w:customStyle="1" w:styleId="22">
    <w:name w:val="日期 Char"/>
    <w:basedOn w:val="12"/>
    <w:link w:val="5"/>
    <w:qFormat/>
    <w:uiPriority w:val="0"/>
    <w:rPr>
      <w:rFonts w:ascii="Times New Roman" w:hAnsi="Times New Roman" w:eastAsia="宋体" w:cs="Times New Roman"/>
      <w:kern w:val="0"/>
      <w:sz w:val="28"/>
      <w:szCs w:val="20"/>
    </w:rPr>
  </w:style>
  <w:style w:type="character" w:customStyle="1" w:styleId="23">
    <w:name w:val="页脚 Char"/>
    <w:basedOn w:val="12"/>
    <w:link w:val="7"/>
    <w:qFormat/>
    <w:uiPriority w:val="0"/>
    <w:rPr>
      <w:rFonts w:ascii="Times New Roman" w:hAnsi="Times New Roman" w:eastAsia="宋体" w:cs="Times New Roman"/>
      <w:sz w:val="18"/>
      <w:szCs w:val="18"/>
    </w:rPr>
  </w:style>
  <w:style w:type="character" w:customStyle="1" w:styleId="24">
    <w:name w:val="页眉 Char"/>
    <w:basedOn w:val="12"/>
    <w:link w:val="8"/>
    <w:qFormat/>
    <w:uiPriority w:val="0"/>
    <w:rPr>
      <w:rFonts w:ascii="Times New Roman" w:hAnsi="Times New Roman" w:eastAsia="宋体" w:cs="Times New Roman"/>
      <w:sz w:val="18"/>
      <w:szCs w:val="18"/>
    </w:rPr>
  </w:style>
  <w:style w:type="character" w:customStyle="1" w:styleId="25">
    <w:name w:val="日期 Char1"/>
    <w:basedOn w:val="12"/>
    <w:semiHidden/>
    <w:qFormat/>
    <w:uiPriority w:val="99"/>
    <w:rPr>
      <w:rFonts w:ascii="Times New Roman" w:hAnsi="Times New Roman" w:eastAsia="宋体" w:cs="Times New Roman"/>
      <w:szCs w:val="24"/>
    </w:rPr>
  </w:style>
  <w:style w:type="character" w:customStyle="1" w:styleId="26">
    <w:name w:val="txt1"/>
    <w:basedOn w:val="12"/>
    <w:qFormat/>
    <w:uiPriority w:val="0"/>
    <w:rPr>
      <w:rFonts w:hint="eastAsia" w:ascii="宋体" w:hAnsi="宋体" w:eastAsia="宋体"/>
      <w:sz w:val="22"/>
      <w:szCs w:val="22"/>
    </w:rPr>
  </w:style>
  <w:style w:type="character" w:customStyle="1" w:styleId="27">
    <w:name w:val="HTML 预设格式 Char"/>
    <w:basedOn w:val="12"/>
    <w:link w:val="9"/>
    <w:qFormat/>
    <w:uiPriority w:val="0"/>
    <w:rPr>
      <w:rFonts w:ascii="宋体" w:hAnsi="宋体" w:cs="宋体"/>
      <w:sz w:val="24"/>
      <w:szCs w:val="24"/>
    </w:rPr>
  </w:style>
  <w:style w:type="paragraph" w:customStyle="1" w:styleId="28">
    <w:name w:val="p15"/>
    <w:basedOn w:val="1"/>
    <w:qFormat/>
    <w:uiPriority w:val="0"/>
    <w:pPr>
      <w:widowControl/>
    </w:pPr>
    <w:rPr>
      <w:kern w:val="0"/>
      <w:szCs w:val="21"/>
    </w:rPr>
  </w:style>
  <w:style w:type="paragraph" w:styleId="29">
    <w:name w:val="List Paragraph"/>
    <w:basedOn w:val="1"/>
    <w:unhideWhenUsed/>
    <w:qFormat/>
    <w:uiPriority w:val="99"/>
    <w:pPr>
      <w:ind w:firstLine="420" w:firstLineChars="200"/>
    </w:pPr>
  </w:style>
  <w:style w:type="character" w:customStyle="1" w:styleId="30">
    <w:name w:val="批注框文本 Char"/>
    <w:basedOn w:val="12"/>
    <w:link w:val="6"/>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Hewlett-Packard Company</Company>
  <Pages>26</Pages>
  <Words>15844</Words>
  <Characters>16375</Characters>
  <Lines>24</Lines>
  <Paragraphs>35</Paragraphs>
  <TotalTime>20</TotalTime>
  <ScaleCrop>false</ScaleCrop>
  <LinksUpToDate>false</LinksUpToDate>
  <CharactersWithSpaces>16970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2020-06-28T05:05:00Z</dcterms:created>
  <dc:creator>gfreyt</dc:creator>
  <cp:lastModifiedBy>萧萧夜月风</cp:lastModifiedBy>
  <cp:lastPrinted>2021-01-25T07:45:00Z</cp:lastPrinted>
  <dcterms:modified xsi:type="dcterms:W3CDTF">2024-12-24T03:48:44Z</dcterms:modified>
  <dc:title>政府采购</dc:title>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72368D0BD5E4405F824D4C16D6465D64_12</vt:lpwstr>
  </property>
</Properties>
</file>