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89" w:rsidRDefault="00663E85">
      <w:pPr>
        <w:pStyle w:val="Bodytext1"/>
        <w:spacing w:after="6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宝瑞•时代丽都</w:t>
      </w:r>
      <w:r>
        <w:rPr>
          <w:sz w:val="24"/>
          <w:szCs w:val="24"/>
        </w:rPr>
        <w:t>前期物业管理服务</w:t>
      </w:r>
    </w:p>
    <w:p w:rsidR="00404389" w:rsidRDefault="00663E85">
      <w:pPr>
        <w:pStyle w:val="Bodytext1"/>
        <w:spacing w:after="60" w:line="360" w:lineRule="auto"/>
        <w:ind w:left="1260" w:firstLineChars="1200" w:firstLine="2880"/>
        <w:jc w:val="both"/>
        <w:rPr>
          <w:sz w:val="24"/>
          <w:szCs w:val="24"/>
        </w:rPr>
      </w:pPr>
      <w:r>
        <w:rPr>
          <w:sz w:val="24"/>
          <w:szCs w:val="24"/>
        </w:rPr>
        <w:t>公开招标结果公告表</w:t>
      </w:r>
    </w:p>
    <w:p w:rsidR="00404389" w:rsidRDefault="00663E85">
      <w:pPr>
        <w:pStyle w:val="Bodytext2"/>
        <w:spacing w:after="60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（公告期：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 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eastAsia="宋体" w:hint="eastAsia"/>
          <w:sz w:val="20"/>
          <w:szCs w:val="20"/>
          <w:lang w:val="en-US" w:eastAsia="zh-CN"/>
        </w:rPr>
        <w:t xml:space="preserve">  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color w:val="414642"/>
          <w:sz w:val="21"/>
          <w:szCs w:val="21"/>
        </w:rPr>
        <w:t>——</w:t>
      </w:r>
      <w:r>
        <w:rPr>
          <w:rFonts w:ascii="宋体" w:eastAsia="宋体" w:hAnsi="宋体" w:cs="宋体" w:hint="eastAsia"/>
          <w:color w:val="414642"/>
          <w:sz w:val="21"/>
          <w:szCs w:val="21"/>
          <w:lang w:val="en-US" w:eastAsia="zh-CN"/>
        </w:rPr>
        <w:t xml:space="preserve">    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</w:t>
      </w:r>
      <w:r>
        <w:rPr>
          <w:rFonts w:ascii="宋体" w:eastAsia="宋体" w:hAnsi="宋体" w:cs="宋体"/>
          <w:sz w:val="21"/>
          <w:szCs w:val="21"/>
        </w:rPr>
        <w:t>日）</w:t>
      </w:r>
    </w:p>
    <w:tbl>
      <w:tblPr>
        <w:tblStyle w:val="a3"/>
        <w:tblpPr w:leftFromText="180" w:rightFromText="180" w:vertAnchor="text" w:horzAnchor="page" w:tblpX="1620" w:tblpY="624"/>
        <w:tblOverlap w:val="never"/>
        <w:tblW w:w="9520" w:type="dxa"/>
        <w:tblLayout w:type="fixed"/>
        <w:tblLook w:val="04A0"/>
      </w:tblPr>
      <w:tblGrid>
        <w:gridCol w:w="1719"/>
        <w:gridCol w:w="1816"/>
        <w:gridCol w:w="809"/>
        <w:gridCol w:w="2160"/>
        <w:gridCol w:w="646"/>
        <w:gridCol w:w="855"/>
        <w:gridCol w:w="1515"/>
      </w:tblGrid>
      <w:tr w:rsidR="00404389">
        <w:trPr>
          <w:trHeight w:val="452"/>
        </w:trPr>
        <w:tc>
          <w:tcPr>
            <w:tcW w:w="1719" w:type="dxa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801" w:type="dxa"/>
            <w:gridSpan w:val="6"/>
          </w:tcPr>
          <w:p w:rsidR="00404389" w:rsidRDefault="00663E85">
            <w:pPr>
              <w:pStyle w:val="Bodytext1"/>
              <w:spacing w:after="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宝瑞•时代丽都</w:t>
            </w:r>
            <w:r>
              <w:rPr>
                <w:sz w:val="24"/>
                <w:szCs w:val="24"/>
              </w:rPr>
              <w:t>前期物业管理服务</w:t>
            </w:r>
          </w:p>
        </w:tc>
      </w:tr>
      <w:tr w:rsidR="00404389">
        <w:trPr>
          <w:trHeight w:val="587"/>
        </w:trPr>
        <w:tc>
          <w:tcPr>
            <w:tcW w:w="1719" w:type="dxa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7801" w:type="dxa"/>
            <w:gridSpan w:val="6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:rsidR="00404389">
        <w:trPr>
          <w:trHeight w:val="532"/>
        </w:trPr>
        <w:tc>
          <w:tcPr>
            <w:tcW w:w="1719" w:type="dxa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招标人</w:t>
            </w:r>
          </w:p>
        </w:tc>
        <w:tc>
          <w:tcPr>
            <w:tcW w:w="2625" w:type="dxa"/>
            <w:gridSpan w:val="2"/>
          </w:tcPr>
          <w:p w:rsidR="00404389" w:rsidRDefault="00663E85">
            <w:pPr>
              <w:pStyle w:val="Bodytext2"/>
              <w:spacing w:after="60"/>
              <w:jc w:val="both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重庆宝瑞地产开发有限公司</w:t>
            </w:r>
          </w:p>
        </w:tc>
        <w:tc>
          <w:tcPr>
            <w:tcW w:w="2160" w:type="dxa"/>
            <w:vMerge w:val="restart"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16" w:type="dxa"/>
            <w:gridSpan w:val="3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val="en-US" w:eastAsia="zh-CN"/>
              </w:rPr>
              <w:t>44213888</w:t>
            </w:r>
          </w:p>
        </w:tc>
      </w:tr>
      <w:tr w:rsidR="00404389">
        <w:trPr>
          <w:trHeight w:val="512"/>
        </w:trPr>
        <w:tc>
          <w:tcPr>
            <w:tcW w:w="1719" w:type="dxa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采购代理机构</w:t>
            </w:r>
          </w:p>
        </w:tc>
        <w:tc>
          <w:tcPr>
            <w:tcW w:w="2625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60" w:type="dxa"/>
            <w:vMerge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16" w:type="dxa"/>
            <w:gridSpan w:val="3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:rsidR="00404389">
        <w:tc>
          <w:tcPr>
            <w:tcW w:w="1719" w:type="dxa"/>
            <w:vMerge w:val="restart"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  <w:p w:rsidR="00404389" w:rsidRDefault="00404389">
            <w:pPr>
              <w:pStyle w:val="Bodytext2"/>
              <w:spacing w:after="60"/>
              <w:jc w:val="both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中标候选人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16" w:type="dxa"/>
          </w:tcPr>
          <w:p w:rsidR="00404389" w:rsidRDefault="00404389">
            <w:pPr>
              <w:pStyle w:val="Bodytext1"/>
              <w:rPr>
                <w:sz w:val="24"/>
                <w:szCs w:val="24"/>
              </w:rPr>
            </w:pPr>
          </w:p>
          <w:p w:rsidR="00404389" w:rsidRDefault="00663E85">
            <w:pPr>
              <w:pStyle w:val="Bodytext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中标候选人</w:t>
            </w:r>
          </w:p>
        </w:tc>
        <w:tc>
          <w:tcPr>
            <w:tcW w:w="2969" w:type="dxa"/>
            <w:gridSpan w:val="2"/>
          </w:tcPr>
          <w:p w:rsidR="00404389" w:rsidRDefault="00404389">
            <w:pPr>
              <w:pStyle w:val="Bodytext2"/>
              <w:spacing w:after="60"/>
              <w:ind w:firstLineChars="300" w:firstLine="72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501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经济标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1515" w:type="dxa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综合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得分</w:t>
            </w:r>
          </w:p>
        </w:tc>
      </w:tr>
      <w:tr w:rsidR="00404389">
        <w:tc>
          <w:tcPr>
            <w:tcW w:w="1719" w:type="dxa"/>
            <w:vMerge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 w:rsidR="00404389" w:rsidRDefault="00663E85">
            <w:pPr>
              <w:pStyle w:val="Bodytext1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中标候选人</w:t>
            </w:r>
          </w:p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重庆世高云物业管理有限公司</w:t>
            </w:r>
          </w:p>
        </w:tc>
        <w:tc>
          <w:tcPr>
            <w:tcW w:w="1501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住宅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1.8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商业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3.0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车位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515" w:type="dxa"/>
            <w:vAlign w:val="center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87.1</w:t>
            </w:r>
          </w:p>
        </w:tc>
      </w:tr>
      <w:tr w:rsidR="00404389">
        <w:tc>
          <w:tcPr>
            <w:tcW w:w="1719" w:type="dxa"/>
            <w:vMerge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 w:rsidR="00404389" w:rsidRDefault="00663E85">
            <w:pPr>
              <w:pStyle w:val="Bodytext1"/>
              <w:spacing w:line="3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中标候选人</w:t>
            </w:r>
          </w:p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重庆联军亿鑫物业管理有限公司</w:t>
            </w:r>
          </w:p>
        </w:tc>
        <w:tc>
          <w:tcPr>
            <w:tcW w:w="1501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住宅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1.8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商业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3.5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车位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515" w:type="dxa"/>
            <w:vAlign w:val="center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79.6</w:t>
            </w:r>
          </w:p>
        </w:tc>
      </w:tr>
      <w:tr w:rsidR="00404389">
        <w:tc>
          <w:tcPr>
            <w:tcW w:w="1719" w:type="dxa"/>
            <w:vMerge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 w:rsidR="00404389" w:rsidRDefault="00663E85">
            <w:pPr>
              <w:pStyle w:val="Bodytext1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第三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中标候选人</w:t>
            </w:r>
          </w:p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重庆爱瑞物业服务有限公司</w:t>
            </w:r>
          </w:p>
        </w:tc>
        <w:tc>
          <w:tcPr>
            <w:tcW w:w="1501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住宅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1.9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商业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2.5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车位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515" w:type="dxa"/>
            <w:vAlign w:val="center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77.6</w:t>
            </w:r>
          </w:p>
        </w:tc>
      </w:tr>
      <w:tr w:rsidR="00404389">
        <w:tc>
          <w:tcPr>
            <w:tcW w:w="1719" w:type="dxa"/>
            <w:vMerge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拟中标人</w:t>
            </w:r>
          </w:p>
        </w:tc>
        <w:tc>
          <w:tcPr>
            <w:tcW w:w="5176" w:type="dxa"/>
            <w:gridSpan w:val="4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重庆世高云物业管理有限公司</w:t>
            </w:r>
          </w:p>
        </w:tc>
      </w:tr>
      <w:tr w:rsidR="00404389">
        <w:tc>
          <w:tcPr>
            <w:tcW w:w="1719" w:type="dxa"/>
            <w:vMerge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拟中标人地址</w:t>
            </w:r>
          </w:p>
        </w:tc>
        <w:tc>
          <w:tcPr>
            <w:tcW w:w="5176" w:type="dxa"/>
            <w:gridSpan w:val="4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潼南区梓潼街道办事处正兴街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256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号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层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号</w:t>
            </w:r>
          </w:p>
        </w:tc>
      </w:tr>
      <w:tr w:rsidR="00404389">
        <w:trPr>
          <w:trHeight w:val="374"/>
        </w:trPr>
        <w:tc>
          <w:tcPr>
            <w:tcW w:w="1719" w:type="dxa"/>
          </w:tcPr>
          <w:p w:rsidR="00404389" w:rsidRDefault="00663E85">
            <w:pPr>
              <w:pStyle w:val="Bodytext1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评标委员会</w:t>
            </w:r>
          </w:p>
        </w:tc>
        <w:tc>
          <w:tcPr>
            <w:tcW w:w="7801" w:type="dxa"/>
            <w:gridSpan w:val="6"/>
            <w:vAlign w:val="center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李爱勤、何宴宾、沈中友、杜建波、舒建华</w:t>
            </w:r>
          </w:p>
        </w:tc>
      </w:tr>
      <w:tr w:rsidR="00404389">
        <w:tc>
          <w:tcPr>
            <w:tcW w:w="1719" w:type="dxa"/>
            <w:vMerge w:val="restart"/>
          </w:tcPr>
          <w:p w:rsidR="00404389" w:rsidRDefault="00663E85">
            <w:pPr>
              <w:pStyle w:val="Bodytext1"/>
              <w:spacing w:line="3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无效投标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及理由</w:t>
            </w:r>
          </w:p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val="en-US" w:eastAsia="zh-CN"/>
              </w:rPr>
              <w:t>投标人</w:t>
            </w:r>
          </w:p>
        </w:tc>
        <w:tc>
          <w:tcPr>
            <w:tcW w:w="2806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2370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处理结果</w:t>
            </w:r>
          </w:p>
        </w:tc>
      </w:tr>
      <w:tr w:rsidR="00404389">
        <w:tc>
          <w:tcPr>
            <w:tcW w:w="1719" w:type="dxa"/>
            <w:vMerge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2"/>
          </w:tcPr>
          <w:p w:rsidR="00404389" w:rsidRDefault="00404389">
            <w:pPr>
              <w:pStyle w:val="Bodytext2"/>
              <w:spacing w:after="60"/>
              <w:jc w:val="center"/>
              <w:rPr>
                <w:rFonts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06" w:type="dxa"/>
            <w:gridSpan w:val="2"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gridSpan w:val="2"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4389">
        <w:tc>
          <w:tcPr>
            <w:tcW w:w="1719" w:type="dxa"/>
            <w:vMerge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2"/>
          </w:tcPr>
          <w:p w:rsidR="00404389" w:rsidRDefault="00404389">
            <w:pPr>
              <w:pStyle w:val="Bodytext2"/>
              <w:spacing w:after="60"/>
              <w:jc w:val="center"/>
              <w:rPr>
                <w:rFonts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06" w:type="dxa"/>
            <w:gridSpan w:val="2"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gridSpan w:val="2"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4389">
        <w:tc>
          <w:tcPr>
            <w:tcW w:w="1719" w:type="dxa"/>
          </w:tcPr>
          <w:p w:rsidR="00404389" w:rsidRDefault="00663E85">
            <w:pPr>
              <w:pStyle w:val="Bodytext1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投诉受理部门</w:t>
            </w:r>
          </w:p>
        </w:tc>
        <w:tc>
          <w:tcPr>
            <w:tcW w:w="2625" w:type="dxa"/>
            <w:gridSpan w:val="2"/>
          </w:tcPr>
          <w:p w:rsidR="00404389" w:rsidRDefault="00663E85">
            <w:pPr>
              <w:pStyle w:val="Bodytext1"/>
              <w:spacing w:line="307" w:lineRule="exact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重庆市潼南区住房和城乡建设委员会</w:t>
            </w:r>
          </w:p>
        </w:tc>
        <w:tc>
          <w:tcPr>
            <w:tcW w:w="2806" w:type="dxa"/>
            <w:gridSpan w:val="2"/>
            <w:vMerge w:val="restart"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70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44226727</w:t>
            </w:r>
          </w:p>
        </w:tc>
      </w:tr>
      <w:tr w:rsidR="00404389">
        <w:trPr>
          <w:trHeight w:val="692"/>
        </w:trPr>
        <w:tc>
          <w:tcPr>
            <w:tcW w:w="1719" w:type="dxa"/>
            <w:vMerge w:val="restart"/>
          </w:tcPr>
          <w:p w:rsidR="00404389" w:rsidRDefault="00663E85">
            <w:pPr>
              <w:pStyle w:val="Picturecaption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质疑受理部门</w:t>
            </w:r>
          </w:p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val="en-US" w:eastAsia="zh-CN"/>
              </w:rPr>
              <w:t>重庆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宝瑞地产开发有限公司</w:t>
            </w:r>
          </w:p>
        </w:tc>
        <w:tc>
          <w:tcPr>
            <w:tcW w:w="2806" w:type="dxa"/>
            <w:gridSpan w:val="2"/>
            <w:vMerge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44213888</w:t>
            </w:r>
          </w:p>
        </w:tc>
      </w:tr>
      <w:tr w:rsidR="00404389">
        <w:trPr>
          <w:trHeight w:val="737"/>
        </w:trPr>
        <w:tc>
          <w:tcPr>
            <w:tcW w:w="1719" w:type="dxa"/>
            <w:vMerge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06" w:type="dxa"/>
            <w:gridSpan w:val="2"/>
            <w:vMerge/>
          </w:tcPr>
          <w:p w:rsidR="00404389" w:rsidRDefault="00404389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gridSpan w:val="2"/>
          </w:tcPr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:rsidR="00404389">
        <w:tc>
          <w:tcPr>
            <w:tcW w:w="4344" w:type="dxa"/>
            <w:gridSpan w:val="3"/>
          </w:tcPr>
          <w:p w:rsidR="00404389" w:rsidRDefault="00663E85">
            <w:pPr>
              <w:pStyle w:val="Bodytext2"/>
              <w:spacing w:after="60"/>
              <w:jc w:val="both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采购人：</w:t>
            </w:r>
            <w:r>
              <w:rPr>
                <w:rFonts w:eastAsia="宋体" w:hint="eastAsia"/>
                <w:color w:val="000000"/>
                <w:sz w:val="24"/>
                <w:szCs w:val="24"/>
                <w:lang w:val="en-US" w:eastAsia="zh-CN"/>
              </w:rPr>
              <w:t>重庆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宝瑞地产开发有限公司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 xml:space="preserve">                     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 xml:space="preserve">           2021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5176" w:type="dxa"/>
            <w:gridSpan w:val="4"/>
          </w:tcPr>
          <w:p w:rsidR="00404389" w:rsidRDefault="00663E85">
            <w:pPr>
              <w:pStyle w:val="Bodytext2"/>
              <w:spacing w:after="60"/>
              <w:jc w:val="both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采购代理机构：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/</w:t>
            </w:r>
          </w:p>
          <w:p w:rsidR="00404389" w:rsidRDefault="00663E85">
            <w:pPr>
              <w:pStyle w:val="Bodytext2"/>
              <w:spacing w:after="60"/>
              <w:jc w:val="center"/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日</w:t>
            </w:r>
          </w:p>
        </w:tc>
      </w:tr>
    </w:tbl>
    <w:p w:rsidR="00404389" w:rsidRDefault="00404389">
      <w:pPr>
        <w:pStyle w:val="Bodytext2"/>
        <w:spacing w:after="60"/>
        <w:jc w:val="both"/>
        <w:rPr>
          <w:rFonts w:ascii="宋体" w:eastAsia="宋体" w:hAnsi="宋体" w:cs="宋体"/>
          <w:sz w:val="21"/>
          <w:szCs w:val="21"/>
        </w:rPr>
      </w:pPr>
    </w:p>
    <w:p w:rsidR="00404389" w:rsidRDefault="00404389"/>
    <w:p w:rsidR="00404389" w:rsidRDefault="00404389">
      <w:pPr>
        <w:rPr>
          <w:b/>
          <w:bCs/>
          <w:sz w:val="28"/>
          <w:szCs w:val="28"/>
          <w:lang w:eastAsia="zh-CN"/>
        </w:rPr>
      </w:pPr>
    </w:p>
    <w:sectPr w:rsidR="00404389" w:rsidSect="0040438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3681EEF"/>
    <w:rsid w:val="0006401F"/>
    <w:rsid w:val="00404389"/>
    <w:rsid w:val="005A36F6"/>
    <w:rsid w:val="00663E85"/>
    <w:rsid w:val="00733CD8"/>
    <w:rsid w:val="00D80E73"/>
    <w:rsid w:val="06797225"/>
    <w:rsid w:val="07154D1C"/>
    <w:rsid w:val="0732489B"/>
    <w:rsid w:val="08F5115E"/>
    <w:rsid w:val="14336854"/>
    <w:rsid w:val="145527AB"/>
    <w:rsid w:val="1F9B39A9"/>
    <w:rsid w:val="29933846"/>
    <w:rsid w:val="2B240149"/>
    <w:rsid w:val="59CA2E27"/>
    <w:rsid w:val="62420A92"/>
    <w:rsid w:val="67A0781D"/>
    <w:rsid w:val="72AE10B2"/>
    <w:rsid w:val="73681EEF"/>
    <w:rsid w:val="761C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389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rsid w:val="00404389"/>
    <w:pPr>
      <w:keepNext/>
      <w:keepLines/>
      <w:spacing w:line="576" w:lineRule="auto"/>
      <w:jc w:val="center"/>
      <w:outlineLvl w:val="0"/>
    </w:pPr>
    <w:rPr>
      <w:rFonts w:eastAsia="宋体"/>
      <w:b/>
      <w:kern w:val="44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043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404389"/>
    <w:pPr>
      <w:jc w:val="center"/>
    </w:pPr>
    <w:rPr>
      <w:rFonts w:ascii="MingLiU" w:eastAsia="MingLiU" w:hAnsi="MingLiU" w:cs="MingLiU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rsid w:val="00404389"/>
    <w:rPr>
      <w:rFonts w:ascii="MingLiU" w:eastAsia="MingLiU" w:hAnsi="MingLiU" w:cs="MingLiU"/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rsid w:val="00404389"/>
    <w:rPr>
      <w:color w:val="1D1D1E"/>
      <w:sz w:val="19"/>
      <w:szCs w:val="19"/>
      <w:lang w:val="zh-TW" w:eastAsia="zh-TW" w:bidi="zh-TW"/>
    </w:rPr>
  </w:style>
  <w:style w:type="paragraph" w:customStyle="1" w:styleId="Picturecaption1">
    <w:name w:val="Picture caption|1"/>
    <w:basedOn w:val="a"/>
    <w:qFormat/>
    <w:rsid w:val="00404389"/>
    <w:rPr>
      <w:rFonts w:ascii="宋体" w:eastAsia="宋体" w:hAnsi="宋体" w:cs="宋体"/>
      <w:color w:val="1D1D1E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fish摆摆</dc:creator>
  <cp:lastModifiedBy>Administrator</cp:lastModifiedBy>
  <cp:revision>5</cp:revision>
  <cp:lastPrinted>2021-01-25T04:46:00Z</cp:lastPrinted>
  <dcterms:created xsi:type="dcterms:W3CDTF">2021-01-22T01:56:00Z</dcterms:created>
  <dcterms:modified xsi:type="dcterms:W3CDTF">2021-01-26T09:44:00Z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