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spacing w:line="600" w:lineRule="exact"/>
        <w:jc w:val="center"/>
        <w:outlineLvl w:val="0"/>
        <w:rPr>
          <w:rFonts w:hint="default" w:ascii="Times New Roman" w:hAnsi="Times New Roman" w:eastAsia="方正小标宋_GBK"/>
          <w:sz w:val="44"/>
          <w:szCs w:val="44"/>
          <w:lang w:val="en-US" w:eastAsia="zh-CN"/>
        </w:rPr>
      </w:pPr>
      <w:r>
        <w:rPr>
          <w:rFonts w:ascii="Times New Roman" w:hAnsi="Times New Roman" w:eastAsia="方正小标宋_GBK"/>
          <w:sz w:val="44"/>
          <w:szCs w:val="44"/>
        </w:rPr>
        <w:t>重庆市潼南区</w:t>
      </w:r>
      <w:r>
        <w:rPr>
          <w:rFonts w:hint="eastAsia" w:ascii="Times New Roman" w:hAnsi="Times New Roman" w:eastAsia="方正小标宋_GBK"/>
          <w:sz w:val="44"/>
          <w:szCs w:val="44"/>
          <w:lang w:val="en-US" w:eastAsia="zh-CN"/>
        </w:rPr>
        <w:t>司法局</w:t>
      </w:r>
    </w:p>
    <w:p>
      <w:pPr>
        <w:autoSpaceDE w:val="0"/>
        <w:spacing w:line="600" w:lineRule="exact"/>
        <w:jc w:val="center"/>
        <w:rPr>
          <w:rFonts w:ascii="Times New Roman" w:hAnsi="Times New Roman" w:eastAsia="方正小标宋_GBK"/>
          <w:sz w:val="44"/>
          <w:szCs w:val="44"/>
        </w:rPr>
      </w:pPr>
      <w:r>
        <w:rPr>
          <w:rFonts w:ascii="Times New Roman" w:hAnsi="Times New Roman" w:eastAsia="方正小标宋_GBK"/>
          <w:sz w:val="44"/>
          <w:szCs w:val="44"/>
        </w:rPr>
        <w:t>202</w:t>
      </w:r>
      <w:r>
        <w:rPr>
          <w:rFonts w:hint="eastAsia" w:ascii="Times New Roman" w:hAnsi="Times New Roman" w:eastAsia="方正小标宋_GBK"/>
          <w:sz w:val="44"/>
          <w:szCs w:val="44"/>
          <w:lang w:val="en-US" w:eastAsia="zh-CN"/>
        </w:rPr>
        <w:t>6</w:t>
      </w:r>
      <w:r>
        <w:rPr>
          <w:rFonts w:ascii="Times New Roman" w:hAnsi="Times New Roman" w:eastAsia="方正小标宋_GBK"/>
          <w:sz w:val="44"/>
          <w:szCs w:val="44"/>
        </w:rPr>
        <w:t>年部门预算情况说明</w:t>
      </w:r>
    </w:p>
    <w:p>
      <w:pPr>
        <w:spacing w:line="600" w:lineRule="exact"/>
        <w:ind w:firstLine="707" w:firstLineChars="221"/>
        <w:jc w:val="center"/>
        <w:rPr>
          <w:rFonts w:ascii="Times New Roman" w:hAnsi="Times New Roman" w:eastAsia="方正仿宋_GBK"/>
          <w:sz w:val="32"/>
          <w:szCs w:val="32"/>
        </w:rPr>
      </w:pPr>
      <w:r>
        <w:rPr>
          <w:rFonts w:ascii="Times New Roman" w:hAnsi="Times New Roman" w:eastAsia="仿宋_GB2312"/>
          <w:sz w:val="32"/>
          <w:szCs w:val="32"/>
        </w:rPr>
        <w:t xml:space="preserve"> </w:t>
      </w:r>
    </w:p>
    <w:p>
      <w:pPr>
        <w:keepNext w:val="0"/>
        <w:keepLines w:val="0"/>
        <w:pageBreakBefore w:val="0"/>
        <w:kinsoku/>
        <w:wordWrap/>
        <w:topLinePunct w:val="0"/>
        <w:autoSpaceDE/>
        <w:autoSpaceDN/>
        <w:bidi w:val="0"/>
        <w:adjustRightInd w:val="0"/>
        <w:spacing w:line="594"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一、单位基本情况</w:t>
      </w:r>
    </w:p>
    <w:p>
      <w:pPr>
        <w:keepNext w:val="0"/>
        <w:keepLines w:val="0"/>
        <w:pageBreakBefore w:val="0"/>
        <w:kinsoku/>
        <w:wordWrap/>
        <w:topLinePunct w:val="0"/>
        <w:autoSpaceDE/>
        <w:autoSpaceDN/>
        <w:bidi w:val="0"/>
        <w:adjustRightInd w:val="0"/>
        <w:spacing w:line="594" w:lineRule="exact"/>
        <w:ind w:firstLine="640" w:firstLineChars="200"/>
        <w:rPr>
          <w:rFonts w:hint="eastAsia" w:ascii="Times New Roman" w:hAnsi="Times New Roman" w:eastAsia="方正楷体_GBK" w:cs="方正楷体_GBK"/>
          <w:b w:val="0"/>
          <w:bCs w:val="0"/>
          <w:sz w:val="32"/>
          <w:szCs w:val="32"/>
        </w:rPr>
      </w:pPr>
      <w:r>
        <w:rPr>
          <w:rFonts w:hint="eastAsia" w:ascii="Times New Roman" w:hAnsi="Times New Roman" w:eastAsia="方正楷体_GBK" w:cs="方正楷体_GBK"/>
          <w:b w:val="0"/>
          <w:bCs w:val="0"/>
          <w:sz w:val="32"/>
          <w:szCs w:val="32"/>
        </w:rPr>
        <w:t>（一）职能职责</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ascii="Times New Roman" w:hAnsi="Times New Roman"/>
          <w:sz w:val="32"/>
          <w:szCs w:val="32"/>
        </w:rPr>
      </w:pPr>
      <w:r>
        <w:rPr>
          <w:rFonts w:ascii="Times New Roman" w:hAnsi="Times New Roman" w:eastAsia="方正仿宋_GBK"/>
          <w:sz w:val="32"/>
          <w:szCs w:val="32"/>
        </w:rPr>
        <w:t>1．</w:t>
      </w:r>
      <w:r>
        <w:rPr>
          <w:rFonts w:ascii="Times New Roman" w:hAnsi="Times New Roman" w:eastAsia="方正仿宋_GBK" w:cs="方正仿宋_GBK"/>
          <w:i w:val="0"/>
          <w:iCs w:val="0"/>
          <w:caps w:val="0"/>
          <w:color w:val="000000"/>
          <w:spacing w:val="0"/>
          <w:sz w:val="32"/>
          <w:szCs w:val="32"/>
          <w:shd w:val="clear" w:fill="FFFFFF"/>
        </w:rPr>
        <w:t>承担全面依法治区重大问题的政策研究，协调有关方面提出全面依法治区中长期规划建议，负责有关重大决策部署督查工作。</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ascii="Times New Roman" w:hAnsi="Times New Roman"/>
          <w:sz w:val="32"/>
          <w:szCs w:val="32"/>
        </w:rPr>
      </w:pPr>
      <w:r>
        <w:rPr>
          <w:rFonts w:hint="eastAsia" w:ascii="Times New Roman" w:hAnsi="Times New Roman" w:eastAsia="方正仿宋_GBK"/>
          <w:sz w:val="32"/>
          <w:szCs w:val="32"/>
          <w:lang w:val="en-US" w:eastAsia="zh-CN"/>
        </w:rPr>
        <w:t>2</w:t>
      </w:r>
      <w:r>
        <w:rPr>
          <w:rFonts w:ascii="Times New Roman" w:hAnsi="Times New Roman" w:eastAsia="方正仿宋_GBK"/>
          <w:sz w:val="32"/>
          <w:szCs w:val="32"/>
        </w:rPr>
        <w:t>．</w:t>
      </w:r>
      <w:r>
        <w:rPr>
          <w:rFonts w:hint="eastAsia" w:ascii="Times New Roman" w:hAnsi="Times New Roman" w:eastAsia="方正仿宋_GBK" w:cs="方正仿宋_GBK"/>
          <w:i w:val="0"/>
          <w:iCs w:val="0"/>
          <w:caps w:val="0"/>
          <w:color w:val="000000"/>
          <w:spacing w:val="0"/>
          <w:sz w:val="32"/>
          <w:szCs w:val="32"/>
          <w:shd w:val="clear" w:fill="FFFFFF"/>
        </w:rPr>
        <w:t>承担统筹推进法治政府建设的责任。为区政府领导依法行政和科学决策提供法律参谋服务。负责对区政府对外签订的重大项目合同进行法律审核。承担区政府规范性文件的法制审查工作。会同有关部门办理地方性法规、政府规章草案征求意见工作。负责全区政府法律顾问工作的指导和协调，承担区政府法律顾问联系工作。负责对全区行政执法工作进行指导、监督和综合协调，负责相关法律、法规、规章执行情况的监督检查，承担全区行政执法主体和行政执法人员资格管理工作。负责承办区政府管辖的派出机关、政府工作部门及其派出机构、镇人民政府以及有关法律、法规授权的组织为被申请人的行政复议案件立案审查、案件审理、数据统计等有关工作。负责具体承办行政复议后区政府为被告的行政应诉案件，指导全区行政应诉工作。</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ascii="Times New Roman" w:hAnsi="Times New Roman"/>
          <w:sz w:val="32"/>
          <w:szCs w:val="32"/>
        </w:rPr>
      </w:pP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w:t>
      </w:r>
      <w:r>
        <w:rPr>
          <w:rFonts w:hint="eastAsia" w:ascii="Times New Roman" w:hAnsi="Times New Roman" w:eastAsia="方正仿宋_GBK" w:cs="方正仿宋_GBK"/>
          <w:i w:val="0"/>
          <w:iCs w:val="0"/>
          <w:caps w:val="0"/>
          <w:color w:val="000000"/>
          <w:spacing w:val="0"/>
          <w:sz w:val="32"/>
          <w:szCs w:val="32"/>
          <w:shd w:val="clear" w:fill="FFFFFF"/>
        </w:rPr>
        <w:t>承担统筹规划法治社会建设的责任。负责拟订法治宣传教育规划，组织实施普法宣传工作。指导各街镇、各部门（行业）法治宣传、依法治理、普法和法治创建工作。推动人民参与和促进法治建设。指导调解工作，承担人民陪审员、人民监督员选任管理工作，推进司法所建设。</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ascii="Times New Roman" w:hAnsi="Times New Roman"/>
          <w:sz w:val="32"/>
          <w:szCs w:val="32"/>
        </w:rPr>
      </w:pPr>
      <w:r>
        <w:rPr>
          <w:rFonts w:hint="eastAsia" w:ascii="Times New Roman" w:hAnsi="Times New Roman" w:eastAsia="方正仿宋_GBK"/>
          <w:sz w:val="32"/>
          <w:szCs w:val="32"/>
          <w:lang w:val="en-US" w:eastAsia="zh-CN"/>
        </w:rPr>
        <w:t>4</w:t>
      </w:r>
      <w:r>
        <w:rPr>
          <w:rFonts w:ascii="Times New Roman" w:hAnsi="Times New Roman" w:eastAsia="方正仿宋_GBK"/>
          <w:sz w:val="32"/>
          <w:szCs w:val="32"/>
        </w:rPr>
        <w:t>．</w:t>
      </w:r>
      <w:r>
        <w:rPr>
          <w:rFonts w:hint="eastAsia" w:ascii="Times New Roman" w:hAnsi="Times New Roman" w:eastAsia="方正仿宋_GBK" w:cs="方正仿宋_GBK"/>
          <w:i w:val="0"/>
          <w:iCs w:val="0"/>
          <w:caps w:val="0"/>
          <w:color w:val="000000"/>
          <w:spacing w:val="0"/>
          <w:sz w:val="32"/>
          <w:szCs w:val="32"/>
          <w:shd w:val="clear" w:fill="FFFFFF"/>
        </w:rPr>
        <w:t>指导、管理社区矫正工作。指导帮教安置工作。</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ascii="Times New Roman" w:hAnsi="Times New Roman"/>
          <w:sz w:val="32"/>
          <w:szCs w:val="32"/>
        </w:rPr>
      </w:pP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w:t>
      </w:r>
      <w:r>
        <w:rPr>
          <w:rFonts w:hint="eastAsia" w:ascii="Times New Roman" w:hAnsi="Times New Roman" w:eastAsia="方正仿宋_GBK" w:cs="方正仿宋_GBK"/>
          <w:i w:val="0"/>
          <w:iCs w:val="0"/>
          <w:caps w:val="0"/>
          <w:color w:val="000000"/>
          <w:spacing w:val="0"/>
          <w:sz w:val="32"/>
          <w:szCs w:val="32"/>
          <w:shd w:val="clear" w:fill="FFFFFF"/>
        </w:rPr>
        <w:t>负责拟订全区公共法律服务体系建设规划并指导实施，统筹和布局城乡、区域法律服务资源。指导、监督律师、法律援助、司法鉴定、公证和基层法律服务管理和监督工作。受理、审查法律援助申请。</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ascii="Times New Roman" w:hAnsi="Times New Roman"/>
          <w:sz w:val="32"/>
          <w:szCs w:val="32"/>
        </w:rPr>
      </w:pP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w:t>
      </w:r>
      <w:r>
        <w:rPr>
          <w:rFonts w:hint="eastAsia" w:ascii="Times New Roman" w:hAnsi="Times New Roman" w:eastAsia="方正仿宋_GBK" w:cs="方正仿宋_GBK"/>
          <w:i w:val="0"/>
          <w:iCs w:val="0"/>
          <w:caps w:val="0"/>
          <w:color w:val="000000"/>
          <w:spacing w:val="0"/>
          <w:sz w:val="32"/>
          <w:szCs w:val="32"/>
          <w:shd w:val="clear" w:fill="FFFFFF"/>
        </w:rPr>
        <w:t>规划、协调、指导全区法治人才队伍建设相关工作，指导、监督本系统队伍建设和思想政治工作。负责机关、所属事业单位和律师行业党建工作。</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ascii="Times New Roman" w:hAnsi="Times New Roman"/>
          <w:sz w:val="32"/>
          <w:szCs w:val="32"/>
        </w:rPr>
      </w:pPr>
      <w:r>
        <w:rPr>
          <w:rFonts w:hint="eastAsia" w:ascii="Times New Roman" w:hAnsi="Times New Roman" w:eastAsia="方正仿宋_GBK"/>
          <w:sz w:val="32"/>
          <w:szCs w:val="32"/>
          <w:lang w:val="en-US" w:eastAsia="zh-CN"/>
        </w:rPr>
        <w:t>7</w:t>
      </w:r>
      <w:r>
        <w:rPr>
          <w:rFonts w:ascii="Times New Roman" w:hAnsi="Times New Roman" w:eastAsia="方正仿宋_GBK"/>
          <w:sz w:val="32"/>
          <w:szCs w:val="32"/>
        </w:rPr>
        <w:t>．</w:t>
      </w:r>
      <w:r>
        <w:rPr>
          <w:rFonts w:hint="eastAsia" w:ascii="Times New Roman" w:hAnsi="Times New Roman" w:eastAsia="方正仿宋_GBK" w:cs="方正仿宋_GBK"/>
          <w:i w:val="0"/>
          <w:iCs w:val="0"/>
          <w:caps w:val="0"/>
          <w:color w:val="000000"/>
          <w:spacing w:val="0"/>
          <w:sz w:val="32"/>
          <w:szCs w:val="32"/>
          <w:shd w:val="clear" w:fill="FFFFFF"/>
        </w:rPr>
        <w:t>负责本系统信息化建设和应急处突指挥工作。</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ascii="Times New Roman" w:hAnsi="Times New Roman" w:eastAsia="方正仿宋_GBK"/>
          <w:sz w:val="32"/>
          <w:szCs w:val="32"/>
        </w:rPr>
      </w:pPr>
      <w:r>
        <w:rPr>
          <w:rFonts w:hint="eastAsia" w:ascii="Times New Roman" w:hAnsi="Times New Roman" w:eastAsia="方正仿宋_GBK"/>
          <w:sz w:val="32"/>
          <w:szCs w:val="32"/>
          <w:lang w:val="en-US" w:eastAsia="zh-CN"/>
        </w:rPr>
        <w:t>8</w:t>
      </w:r>
      <w:r>
        <w:rPr>
          <w:rFonts w:ascii="Times New Roman" w:hAnsi="Times New Roman" w:eastAsia="方正仿宋_GBK"/>
          <w:sz w:val="32"/>
          <w:szCs w:val="32"/>
        </w:rPr>
        <w:t>．</w:t>
      </w:r>
      <w:r>
        <w:rPr>
          <w:rFonts w:hint="eastAsia" w:ascii="Times New Roman" w:hAnsi="Times New Roman" w:eastAsia="方正仿宋_GBK" w:cs="方正仿宋_GBK"/>
          <w:i w:val="0"/>
          <w:iCs w:val="0"/>
          <w:caps w:val="0"/>
          <w:color w:val="000000"/>
          <w:spacing w:val="0"/>
          <w:sz w:val="32"/>
          <w:szCs w:val="32"/>
          <w:shd w:val="clear" w:fill="FFFFFF"/>
        </w:rPr>
        <w:t>完成区委和区政府交办的其他任务。</w:t>
      </w:r>
    </w:p>
    <w:p>
      <w:pPr>
        <w:keepNext w:val="0"/>
        <w:keepLines w:val="0"/>
        <w:pageBreakBefore w:val="0"/>
        <w:kinsoku/>
        <w:wordWrap/>
        <w:topLinePunct w:val="0"/>
        <w:autoSpaceDE/>
        <w:autoSpaceDN/>
        <w:bidi w:val="0"/>
        <w:adjustRightInd w:val="0"/>
        <w:spacing w:line="594" w:lineRule="exact"/>
        <w:ind w:firstLine="640" w:firstLineChars="200"/>
        <w:rPr>
          <w:rFonts w:hint="eastAsia" w:ascii="Times New Roman" w:hAnsi="Times New Roman" w:eastAsia="方正楷体_GBK" w:cs="方正楷体_GBK"/>
          <w:b w:val="0"/>
          <w:bCs w:val="0"/>
          <w:sz w:val="32"/>
          <w:szCs w:val="32"/>
        </w:rPr>
      </w:pPr>
      <w:r>
        <w:rPr>
          <w:rFonts w:hint="eastAsia" w:ascii="Times New Roman" w:hAnsi="Times New Roman" w:eastAsia="方正楷体_GBK" w:cs="方正楷体_GBK"/>
          <w:b w:val="0"/>
          <w:bCs w:val="0"/>
          <w:sz w:val="32"/>
          <w:szCs w:val="32"/>
        </w:rPr>
        <w:t>（二）单位构成</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ascii="Times New Roman" w:hAnsi="Times New Roman" w:eastAsia="方正仿宋_GBK"/>
          <w:sz w:val="32"/>
          <w:szCs w:val="32"/>
        </w:rPr>
        <w:t>1．</w:t>
      </w:r>
      <w:r>
        <w:rPr>
          <w:rFonts w:hint="eastAsia" w:ascii="Times New Roman" w:hAnsi="Times New Roman" w:eastAsia="方正仿宋_GBK" w:cs="方正仿宋_GBK"/>
          <w:i w:val="0"/>
          <w:iCs w:val="0"/>
          <w:caps w:val="0"/>
          <w:color w:val="000000"/>
          <w:spacing w:val="0"/>
          <w:sz w:val="32"/>
          <w:szCs w:val="32"/>
          <w:shd w:val="clear" w:fill="FFFFFF"/>
        </w:rPr>
        <w:t>办公室</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hint="eastAsia" w:ascii="Times New Roman" w:hAnsi="Times New Roman" w:eastAsia="方正仿宋_GBK" w:cs="方正仿宋_GBK"/>
          <w:i w:val="0"/>
          <w:iCs w:val="0"/>
          <w:caps w:val="0"/>
          <w:color w:val="000000"/>
          <w:spacing w:val="0"/>
          <w:sz w:val="32"/>
          <w:szCs w:val="32"/>
          <w:shd w:val="clear" w:fill="FFFFFF"/>
        </w:rPr>
        <w:t>负责文电、会务、机要、档案等机关日常运转和后勤保障工作，负责对内设科室及局属事业单位日常工作的协调和督查，负责本系统综合性文件、报告的起草，研究制定工作规划及年度计划。承担调研、信息、统计、安全、保密、信访、政务公开、政务值班、外事和外宣工作。负责机关信息化建设工作。管理本系统国有资产，负责财务、装备、服装、车辆等工作。负责本系统应急处突指挥工作、组织开展应急演练和应急培训。</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hint="eastAsia" w:ascii="Times New Roman" w:hAnsi="Times New Roman" w:eastAsia="方正仿宋_GBK"/>
          <w:sz w:val="32"/>
          <w:szCs w:val="32"/>
          <w:lang w:val="en-US" w:eastAsia="zh-CN"/>
        </w:rPr>
        <w:t>2</w:t>
      </w:r>
      <w:r>
        <w:rPr>
          <w:rFonts w:ascii="Times New Roman" w:hAnsi="Times New Roman" w:eastAsia="方正仿宋_GBK"/>
          <w:sz w:val="32"/>
          <w:szCs w:val="32"/>
        </w:rPr>
        <w:t>．</w:t>
      </w:r>
      <w:r>
        <w:rPr>
          <w:rFonts w:hint="eastAsia" w:ascii="Times New Roman" w:hAnsi="Times New Roman" w:eastAsia="方正仿宋_GBK" w:cs="方正仿宋_GBK"/>
          <w:i w:val="0"/>
          <w:iCs w:val="0"/>
          <w:caps w:val="0"/>
          <w:color w:val="000000"/>
          <w:spacing w:val="0"/>
          <w:sz w:val="32"/>
          <w:szCs w:val="32"/>
          <w:shd w:val="clear" w:fill="FFFFFF"/>
        </w:rPr>
        <w:t>政治处</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hint="eastAsia" w:ascii="Times New Roman" w:hAnsi="Times New Roman" w:eastAsia="方正仿宋_GBK" w:cs="方正仿宋_GBK"/>
          <w:i w:val="0"/>
          <w:iCs w:val="0"/>
          <w:caps w:val="0"/>
          <w:color w:val="000000"/>
          <w:spacing w:val="0"/>
          <w:sz w:val="32"/>
          <w:szCs w:val="32"/>
          <w:shd w:val="clear" w:fill="FFFFFF"/>
        </w:rPr>
        <w:t>协助局党组抓好党的路线、方针、政策和局党组决策及工作部署的贯彻落实。负责全区司法行政系统队伍建设和作风建设。负责本系统党风廉政建设、意识形态、思想政治、精神文明和党建工作。负责局党组会的会务、记录整理工作。负责司法行政系统机构编制、干部人事、劳动工资工作。负责本系统专业技术职称的评审、聘任相关工作。负责退休干部的管理服务工作。</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w:t>
      </w:r>
      <w:r>
        <w:rPr>
          <w:rFonts w:hint="eastAsia" w:ascii="Times New Roman" w:hAnsi="Times New Roman" w:eastAsia="方正仿宋_GBK" w:cs="方正仿宋_GBK"/>
          <w:i w:val="0"/>
          <w:iCs w:val="0"/>
          <w:caps w:val="0"/>
          <w:color w:val="000000"/>
          <w:spacing w:val="0"/>
          <w:sz w:val="32"/>
          <w:szCs w:val="32"/>
          <w:shd w:val="clear" w:fill="FFFFFF"/>
        </w:rPr>
        <w:t>法治调研督查科</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hint="eastAsia" w:ascii="Times New Roman" w:hAnsi="Times New Roman" w:eastAsia="方正仿宋_GBK" w:cs="方正仿宋_GBK"/>
          <w:i w:val="0"/>
          <w:iCs w:val="0"/>
          <w:caps w:val="0"/>
          <w:color w:val="000000"/>
          <w:spacing w:val="0"/>
          <w:sz w:val="32"/>
          <w:szCs w:val="32"/>
          <w:shd w:val="clear" w:fill="FFFFFF"/>
        </w:rPr>
        <w:t>具体承担区委全面依法治区委员会办公室职能职责，负责处理区委全面依法治区委员会日常事务，组织开展全面依法治区重大问题政策研究，起草相关材料。</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hint="eastAsia" w:ascii="Times New Roman" w:hAnsi="Times New Roman" w:eastAsia="方正仿宋_GBK"/>
          <w:sz w:val="32"/>
          <w:szCs w:val="32"/>
          <w:lang w:val="en-US" w:eastAsia="zh-CN"/>
        </w:rPr>
        <w:t>4</w:t>
      </w:r>
      <w:r>
        <w:rPr>
          <w:rFonts w:ascii="Times New Roman" w:hAnsi="Times New Roman" w:eastAsia="方正仿宋_GBK"/>
          <w:sz w:val="32"/>
          <w:szCs w:val="32"/>
        </w:rPr>
        <w:t>．</w:t>
      </w:r>
      <w:r>
        <w:rPr>
          <w:rFonts w:hint="eastAsia" w:ascii="Times New Roman" w:hAnsi="Times New Roman" w:eastAsia="方正仿宋_GBK" w:cs="方正仿宋_GBK"/>
          <w:i w:val="0"/>
          <w:iCs w:val="0"/>
          <w:caps w:val="0"/>
          <w:color w:val="000000"/>
          <w:spacing w:val="0"/>
          <w:sz w:val="32"/>
          <w:szCs w:val="32"/>
          <w:shd w:val="clear" w:fill="FFFFFF"/>
        </w:rPr>
        <w:t>行政执法监督指导科</w:t>
      </w:r>
      <w:r>
        <w:rPr>
          <w:rFonts w:hint="eastAsia" w:ascii="Times New Roman" w:hAnsi="Times New Roman" w:eastAsia="方正仿宋_GBK" w:cs="方正仿宋_GBK"/>
          <w:i w:val="0"/>
          <w:iCs w:val="0"/>
          <w:caps w:val="0"/>
          <w:color w:val="000000"/>
          <w:spacing w:val="0"/>
          <w:sz w:val="32"/>
          <w:szCs w:val="32"/>
          <w:shd w:val="clear" w:fill="FFFFFF"/>
          <w:lang w:eastAsia="zh-CN"/>
        </w:rPr>
        <w:t>（</w:t>
      </w:r>
      <w:r>
        <w:rPr>
          <w:rFonts w:hint="eastAsia" w:ascii="Times New Roman" w:hAnsi="Times New Roman" w:eastAsia="方正仿宋_GBK" w:cs="方正仿宋_GBK"/>
          <w:i w:val="0"/>
          <w:iCs w:val="0"/>
          <w:caps w:val="0"/>
          <w:color w:val="000000"/>
          <w:spacing w:val="0"/>
          <w:sz w:val="32"/>
          <w:szCs w:val="32"/>
          <w:shd w:val="clear" w:fill="FFFFFF"/>
        </w:rPr>
        <w:t>挂“重庆市潼南区综合行政执法指导办公室”牌子</w:t>
      </w:r>
      <w:r>
        <w:rPr>
          <w:rFonts w:hint="eastAsia" w:ascii="Times New Roman" w:hAnsi="Times New Roman" w:eastAsia="方正仿宋_GBK" w:cs="方正仿宋_GBK"/>
          <w:i w:val="0"/>
          <w:iCs w:val="0"/>
          <w:caps w:val="0"/>
          <w:color w:val="000000"/>
          <w:spacing w:val="0"/>
          <w:sz w:val="32"/>
          <w:szCs w:val="32"/>
          <w:shd w:val="clear" w:fill="FFFFFF"/>
          <w:lang w:eastAsia="zh-CN"/>
        </w:rPr>
        <w:t>）</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hint="eastAsia" w:ascii="Times New Roman" w:hAnsi="Times New Roman" w:eastAsia="方正仿宋_GBK" w:cs="方正仿宋_GBK"/>
          <w:i w:val="0"/>
          <w:iCs w:val="0"/>
          <w:caps w:val="0"/>
          <w:color w:val="000000"/>
          <w:spacing w:val="0"/>
          <w:sz w:val="32"/>
          <w:szCs w:val="32"/>
          <w:shd w:val="clear" w:fill="FFFFFF"/>
        </w:rPr>
        <w:t>承担统筹深化全区行政执法体制改革工作。监督指导全区行政执法工作。统筹推进行政执法制度化、规范化建设和镇（街道）综合行政执法工作。督促落实行政执法责任制工作，开展行政执法工作考核评价。统筹推进“执法+监督”数字应用建设及推广工作。承担行政主体及人员资格管理、执法人员培训工作。牵头梳理行政执法事项。完成上级交办的其他工作。</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w:t>
      </w:r>
      <w:r>
        <w:rPr>
          <w:rFonts w:hint="eastAsia" w:ascii="Times New Roman" w:hAnsi="Times New Roman" w:eastAsia="方正仿宋_GBK" w:cs="方正仿宋_GBK"/>
          <w:i w:val="0"/>
          <w:iCs w:val="0"/>
          <w:caps w:val="0"/>
          <w:color w:val="000000"/>
          <w:spacing w:val="0"/>
          <w:sz w:val="32"/>
          <w:szCs w:val="32"/>
          <w:shd w:val="clear" w:fill="FFFFFF"/>
        </w:rPr>
        <w:t>行政执法协调推进科</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hint="eastAsia" w:ascii="Times New Roman" w:hAnsi="Times New Roman" w:eastAsia="方正仿宋_GBK" w:cs="方正仿宋_GBK"/>
          <w:i w:val="0"/>
          <w:iCs w:val="0"/>
          <w:caps w:val="0"/>
          <w:color w:val="000000"/>
          <w:spacing w:val="0"/>
          <w:sz w:val="32"/>
          <w:szCs w:val="32"/>
          <w:shd w:val="clear" w:fill="FFFFFF"/>
        </w:rPr>
        <w:t>负责行政执法综合协调工作，协调解决行政执法职权争议和普遍性重要性问题。承办相关法律、法规、规章执行情况的监督检查。组织开展执法领域突出问题专项整治。为区委</w:t>
      </w:r>
      <w:r>
        <w:rPr>
          <w:rFonts w:hint="eastAsia" w:ascii="Times New Roman" w:hAnsi="Times New Roman" w:eastAsia="方正仿宋_GBK" w:cs="方正仿宋_GBK"/>
          <w:i w:val="0"/>
          <w:iCs w:val="0"/>
          <w:caps w:val="0"/>
          <w:color w:val="000000"/>
          <w:spacing w:val="0"/>
          <w:sz w:val="32"/>
          <w:szCs w:val="32"/>
          <w:shd w:val="clear" w:fill="FFFFFF"/>
          <w:lang w:eastAsia="zh-CN"/>
        </w:rPr>
        <w:t>、</w:t>
      </w:r>
      <w:r>
        <w:rPr>
          <w:rFonts w:hint="eastAsia" w:ascii="Times New Roman" w:hAnsi="Times New Roman" w:eastAsia="方正仿宋_GBK" w:cs="方正仿宋_GBK"/>
          <w:i w:val="0"/>
          <w:iCs w:val="0"/>
          <w:caps w:val="0"/>
          <w:color w:val="000000"/>
          <w:spacing w:val="0"/>
          <w:sz w:val="32"/>
          <w:szCs w:val="32"/>
          <w:shd w:val="clear" w:fill="FFFFFF"/>
        </w:rPr>
        <w:t>区政府重大决策提供法治参谋。指导推进行政裁决工作。承办地方性法规、政府规章草案征求意见工作。</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w:t>
      </w:r>
      <w:r>
        <w:rPr>
          <w:rFonts w:hint="eastAsia" w:ascii="Times New Roman" w:hAnsi="Times New Roman" w:eastAsia="方正仿宋_GBK" w:cs="方正仿宋_GBK"/>
          <w:i w:val="0"/>
          <w:iCs w:val="0"/>
          <w:caps w:val="0"/>
          <w:color w:val="000000"/>
          <w:spacing w:val="0"/>
          <w:sz w:val="32"/>
          <w:szCs w:val="32"/>
          <w:shd w:val="clear" w:fill="FFFFFF"/>
        </w:rPr>
        <w:t>规范性文件审查科</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hint="eastAsia" w:ascii="Times New Roman" w:hAnsi="Times New Roman" w:eastAsia="方正仿宋_GBK" w:cs="方正仿宋_GBK"/>
          <w:i w:val="0"/>
          <w:iCs w:val="0"/>
          <w:caps w:val="0"/>
          <w:color w:val="000000"/>
          <w:spacing w:val="0"/>
          <w:sz w:val="32"/>
          <w:szCs w:val="32"/>
          <w:shd w:val="clear" w:fill="FFFFFF"/>
        </w:rPr>
        <w:t>承担区政府及区政府各部门、各镇人民政府、街道办事处规范性文件的审查备案工作，负责组织全区规范性文件清理工作，负责对区政府对外签订的重大民商事合同进行法律审核，负责联系区政府法律顾问。</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hint="eastAsia" w:ascii="Times New Roman" w:hAnsi="Times New Roman" w:eastAsia="方正仿宋_GBK"/>
          <w:sz w:val="32"/>
          <w:szCs w:val="32"/>
          <w:lang w:val="en-US" w:eastAsia="zh-CN"/>
        </w:rPr>
        <w:t>7</w:t>
      </w:r>
      <w:r>
        <w:rPr>
          <w:rFonts w:ascii="Times New Roman" w:hAnsi="Times New Roman" w:eastAsia="方正仿宋_GBK"/>
          <w:sz w:val="32"/>
          <w:szCs w:val="32"/>
        </w:rPr>
        <w:t>．</w:t>
      </w:r>
      <w:r>
        <w:rPr>
          <w:rFonts w:hint="eastAsia" w:ascii="Times New Roman" w:hAnsi="Times New Roman" w:eastAsia="方正仿宋_GBK" w:cs="方正仿宋_GBK"/>
          <w:i w:val="0"/>
          <w:iCs w:val="0"/>
          <w:caps w:val="0"/>
          <w:color w:val="000000"/>
          <w:spacing w:val="0"/>
          <w:sz w:val="32"/>
          <w:szCs w:val="32"/>
          <w:shd w:val="clear" w:fill="FFFFFF"/>
        </w:rPr>
        <w:t>行政复议应诉科</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hint="eastAsia" w:ascii="Times New Roman" w:hAnsi="Times New Roman" w:eastAsia="方正仿宋_GBK" w:cs="方正仿宋_GBK"/>
          <w:i w:val="0"/>
          <w:iCs w:val="0"/>
          <w:caps w:val="0"/>
          <w:color w:val="000000"/>
          <w:spacing w:val="0"/>
          <w:sz w:val="32"/>
          <w:szCs w:val="32"/>
          <w:shd w:val="clear" w:fill="FFFFFF"/>
        </w:rPr>
        <w:t>负责承办区政府管辖的派出机关、政府工作部门及其派出机构、镇人民政府以及有关法律、法规授权的组织为被申请人的行政复议案件。负责具体承办经区政府行政复议后，区政府作为被告的行政应诉案件，指导全区行政应诉工作。统计分析全区行政复议、行政应诉案件，对全区依法行政工作中存在的普遍性重要性问题提出合理化的意见建议。</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hint="eastAsia" w:ascii="Times New Roman" w:hAnsi="Times New Roman" w:eastAsia="方正仿宋_GBK"/>
          <w:sz w:val="32"/>
          <w:szCs w:val="32"/>
          <w:lang w:val="en-US" w:eastAsia="zh-CN"/>
        </w:rPr>
        <w:t>8</w:t>
      </w:r>
      <w:r>
        <w:rPr>
          <w:rFonts w:ascii="Times New Roman" w:hAnsi="Times New Roman" w:eastAsia="方正仿宋_GBK"/>
          <w:sz w:val="32"/>
          <w:szCs w:val="32"/>
        </w:rPr>
        <w:t>．</w:t>
      </w:r>
      <w:r>
        <w:rPr>
          <w:rFonts w:hint="eastAsia" w:ascii="Times New Roman" w:hAnsi="Times New Roman" w:eastAsia="方正仿宋_GBK" w:cs="方正仿宋_GBK"/>
          <w:i w:val="0"/>
          <w:iCs w:val="0"/>
          <w:caps w:val="0"/>
          <w:color w:val="000000"/>
          <w:spacing w:val="0"/>
          <w:sz w:val="32"/>
          <w:szCs w:val="32"/>
          <w:shd w:val="clear" w:fill="FFFFFF"/>
        </w:rPr>
        <w:t>普法与依法治理科</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hint="eastAsia" w:ascii="Times New Roman" w:hAnsi="Times New Roman" w:eastAsia="方正仿宋_GBK" w:cs="方正仿宋_GBK"/>
          <w:i w:val="0"/>
          <w:iCs w:val="0"/>
          <w:caps w:val="0"/>
          <w:color w:val="000000"/>
          <w:spacing w:val="0"/>
          <w:sz w:val="32"/>
          <w:szCs w:val="32"/>
          <w:shd w:val="clear" w:fill="FFFFFF"/>
        </w:rPr>
        <w:t>负责拟订全区法治宣传教育规划并组织实施。负责法治宣传教育。负责法治建设和依法治区的对外宣传、交流工作。组织实施区级部门普法责任制工作，指导、监督区级各部门“谁执法谁普法”的普法责任制落实工作，推进全民普法。组织实施区级层面大型普法活动。编制全区普法五年工作规划和年度工作计划并组织实施。负责指导、检查、监督、考核全区普法守法日常工作。指导、监督、组织国家工作人员学法用法工作。指导各部门、各街镇、各行业依法治理和法治创建工作。指导社会主义法治文化建设工作。</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hint="eastAsia" w:ascii="Times New Roman" w:hAnsi="Times New Roman" w:eastAsia="方正仿宋_GBK"/>
          <w:sz w:val="32"/>
          <w:szCs w:val="32"/>
          <w:lang w:val="en-US" w:eastAsia="zh-CN"/>
        </w:rPr>
        <w:t>9</w:t>
      </w:r>
      <w:r>
        <w:rPr>
          <w:rFonts w:ascii="Times New Roman" w:hAnsi="Times New Roman" w:eastAsia="方正仿宋_GBK"/>
          <w:sz w:val="32"/>
          <w:szCs w:val="32"/>
        </w:rPr>
        <w:t>．</w:t>
      </w:r>
      <w:r>
        <w:rPr>
          <w:rFonts w:hint="eastAsia" w:ascii="Times New Roman" w:hAnsi="Times New Roman" w:eastAsia="方正仿宋_GBK" w:cs="方正仿宋_GBK"/>
          <w:i w:val="0"/>
          <w:iCs w:val="0"/>
          <w:caps w:val="0"/>
          <w:color w:val="000000"/>
          <w:spacing w:val="0"/>
          <w:sz w:val="32"/>
          <w:szCs w:val="32"/>
          <w:shd w:val="clear" w:fill="FFFFFF"/>
        </w:rPr>
        <w:t>人民参与和促进法治科</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hint="eastAsia" w:ascii="Times New Roman" w:hAnsi="Times New Roman" w:eastAsia="方正仿宋_GBK" w:cs="方正仿宋_GBK"/>
          <w:i w:val="0"/>
          <w:iCs w:val="0"/>
          <w:caps w:val="0"/>
          <w:color w:val="000000"/>
          <w:spacing w:val="0"/>
          <w:sz w:val="32"/>
          <w:szCs w:val="32"/>
          <w:shd w:val="clear" w:fill="FFFFFF"/>
        </w:rPr>
        <w:t>负责人民群众参与、促进、监督法治建设工作。指导人民团体、群众自治组织和社会组织参与、支持法治社会建设工作。指导人民调解、行政调解工作。指导司法所工作。负责人民陪审员、人民监督员选任管理工作。</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ascii="Times New Roman" w:hAnsi="Times New Roman" w:eastAsia="方正仿宋_GBK"/>
          <w:sz w:val="32"/>
          <w:szCs w:val="32"/>
        </w:rPr>
        <w:t>1</w:t>
      </w:r>
      <w:r>
        <w:rPr>
          <w:rFonts w:hint="eastAsia" w:ascii="Times New Roman" w:hAnsi="Times New Roman" w:eastAsia="方正仿宋_GBK"/>
          <w:sz w:val="32"/>
          <w:szCs w:val="32"/>
          <w:lang w:val="en-US" w:eastAsia="zh-CN"/>
        </w:rPr>
        <w:t>0</w:t>
      </w:r>
      <w:r>
        <w:rPr>
          <w:rFonts w:ascii="Times New Roman" w:hAnsi="Times New Roman" w:eastAsia="方正仿宋_GBK"/>
          <w:sz w:val="32"/>
          <w:szCs w:val="32"/>
        </w:rPr>
        <w:t>．</w:t>
      </w:r>
      <w:r>
        <w:rPr>
          <w:rFonts w:hint="eastAsia" w:ascii="Times New Roman" w:hAnsi="Times New Roman" w:eastAsia="方正仿宋_GBK" w:cs="方正仿宋_GBK"/>
          <w:i w:val="0"/>
          <w:iCs w:val="0"/>
          <w:caps w:val="0"/>
          <w:color w:val="000000"/>
          <w:spacing w:val="0"/>
          <w:sz w:val="32"/>
          <w:szCs w:val="32"/>
          <w:shd w:val="clear" w:fill="FFFFFF"/>
        </w:rPr>
        <w:t>公共法律服务管理科</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hint="eastAsia" w:ascii="Times New Roman" w:hAnsi="Times New Roman" w:eastAsia="方正仿宋_GBK" w:cs="方正仿宋_GBK"/>
          <w:i w:val="0"/>
          <w:iCs w:val="0"/>
          <w:caps w:val="0"/>
          <w:color w:val="000000"/>
          <w:spacing w:val="0"/>
          <w:sz w:val="32"/>
          <w:szCs w:val="32"/>
          <w:shd w:val="clear" w:fill="FFFFFF"/>
        </w:rPr>
        <w:t>负责规划和推进公共法律服务体系和平台建设工作。负责受理、审查法律援助申请，指导、监督接受指派的法律援助服务机构、法律援助人员办理法律援助案件和其他事项。组织法律援助业务培训。指导、监督公证、司法鉴定工作。负责对公证处、司法鉴定所、公证员、司法鉴定人违法违纪执业行为的调查处理。指导社会组织和志愿者开展法律服务工作。</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ascii="Times New Roman" w:hAnsi="Times New Roman" w:eastAsia="方正仿宋_GBK"/>
          <w:sz w:val="32"/>
          <w:szCs w:val="32"/>
        </w:rPr>
        <w:t>1</w:t>
      </w:r>
      <w:r>
        <w:rPr>
          <w:rFonts w:hint="eastAsia" w:ascii="Times New Roman" w:hAnsi="Times New Roman" w:eastAsia="方正仿宋_GBK"/>
          <w:sz w:val="32"/>
          <w:szCs w:val="32"/>
          <w:lang w:val="en-US" w:eastAsia="zh-CN"/>
        </w:rPr>
        <w:t>1</w:t>
      </w:r>
      <w:r>
        <w:rPr>
          <w:rFonts w:ascii="Times New Roman" w:hAnsi="Times New Roman" w:eastAsia="方正仿宋_GBK"/>
          <w:sz w:val="32"/>
          <w:szCs w:val="32"/>
        </w:rPr>
        <w:t>．</w:t>
      </w:r>
      <w:r>
        <w:rPr>
          <w:rFonts w:hint="eastAsia" w:ascii="Times New Roman" w:hAnsi="Times New Roman" w:eastAsia="方正仿宋_GBK" w:cs="方正仿宋_GBK"/>
          <w:i w:val="0"/>
          <w:iCs w:val="0"/>
          <w:caps w:val="0"/>
          <w:color w:val="000000"/>
          <w:spacing w:val="0"/>
          <w:sz w:val="32"/>
          <w:szCs w:val="32"/>
          <w:shd w:val="clear" w:fill="FFFFFF"/>
        </w:rPr>
        <w:t>律师行业管理科（行政审批科）</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hint="eastAsia" w:ascii="Times New Roman" w:hAnsi="Times New Roman" w:eastAsia="方正仿宋_GBK" w:cs="方正仿宋_GBK"/>
          <w:i w:val="0"/>
          <w:iCs w:val="0"/>
          <w:caps w:val="0"/>
          <w:color w:val="000000"/>
          <w:spacing w:val="0"/>
          <w:sz w:val="32"/>
          <w:szCs w:val="32"/>
          <w:shd w:val="clear" w:fill="FFFFFF"/>
        </w:rPr>
        <w:t>指导、监督律师和基层法律服务工作者工作。负责基层法律服务工作者执业核准登记，律师事务所、律师执业许可的初审。负责律师事务所、基层法律服务所、律师、基层法律服务工作者执业证年检。负责对律师事务所、基层法律服务所和律师、基层法律服务工作者违法违纪行为的调查处理。指导、管理和监督全区律师、基层法律服务工作者参与政府、企事业单位法律顾问工作。指导公职律师、公司律师工作。</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ascii="Times New Roman" w:hAnsi="Times New Roman" w:eastAsia="方正仿宋_GBK"/>
          <w:sz w:val="32"/>
          <w:szCs w:val="32"/>
        </w:rPr>
        <w:t>1</w:t>
      </w:r>
      <w:r>
        <w:rPr>
          <w:rFonts w:hint="eastAsia" w:ascii="Times New Roman" w:hAnsi="Times New Roman" w:eastAsia="方正仿宋_GBK"/>
          <w:sz w:val="32"/>
          <w:szCs w:val="32"/>
          <w:lang w:val="en-US" w:eastAsia="zh-CN"/>
        </w:rPr>
        <w:t>2</w:t>
      </w:r>
      <w:r>
        <w:rPr>
          <w:rFonts w:ascii="Times New Roman" w:hAnsi="Times New Roman" w:eastAsia="方正仿宋_GBK"/>
          <w:sz w:val="32"/>
          <w:szCs w:val="32"/>
        </w:rPr>
        <w:t>．</w:t>
      </w:r>
      <w:r>
        <w:rPr>
          <w:rFonts w:hint="eastAsia" w:ascii="Times New Roman" w:hAnsi="Times New Roman" w:eastAsia="方正仿宋_GBK" w:cs="方正仿宋_GBK"/>
          <w:i w:val="0"/>
          <w:iCs w:val="0"/>
          <w:caps w:val="0"/>
          <w:color w:val="000000"/>
          <w:spacing w:val="0"/>
          <w:sz w:val="32"/>
          <w:szCs w:val="32"/>
          <w:shd w:val="clear" w:fill="FFFFFF"/>
        </w:rPr>
        <w:t>社区矫正管理科（重庆市潼南区社区矫正管理局）</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94" w:lineRule="exact"/>
        <w:ind w:right="0" w:firstLine="640" w:firstLineChars="200"/>
        <w:jc w:val="left"/>
        <w:textAlignment w:val="auto"/>
        <w:rPr>
          <w:rFonts w:hint="eastAsia" w:ascii="Times New Roman" w:hAnsi="Times New Roman" w:eastAsia="方正仿宋_GBK" w:cs="方正仿宋_GBK"/>
          <w:i w:val="0"/>
          <w:iCs w:val="0"/>
          <w:caps w:val="0"/>
          <w:color w:val="000000"/>
          <w:spacing w:val="0"/>
          <w:sz w:val="32"/>
          <w:szCs w:val="32"/>
          <w:shd w:val="clear" w:fill="FFFFFF"/>
        </w:rPr>
      </w:pPr>
      <w:r>
        <w:rPr>
          <w:rFonts w:hint="eastAsia" w:ascii="Times New Roman" w:hAnsi="Times New Roman" w:eastAsia="方正仿宋_GBK" w:cs="方正仿宋_GBK"/>
          <w:i w:val="0"/>
          <w:iCs w:val="0"/>
          <w:caps w:val="0"/>
          <w:color w:val="000000"/>
          <w:spacing w:val="0"/>
          <w:sz w:val="32"/>
          <w:szCs w:val="32"/>
          <w:shd w:val="clear" w:fill="FFFFFF"/>
        </w:rPr>
        <w:t>负责贯彻执行社区矫正、帮教安置工作法律法规及政策，拟订本区社区矫正和帮教安置工作规划和计划并组织实施。指导、监督对社区矫正对象的刑罚执行、管理教育和帮扶工作，承担部分刑罚执行工作。组织协调相关部门解决社区矫正和帮教安置工作中的重大问题。</w:t>
      </w:r>
    </w:p>
    <w:p>
      <w:pPr>
        <w:keepNext w:val="0"/>
        <w:keepLines w:val="0"/>
        <w:pageBreakBefore w:val="0"/>
        <w:widowControl w:val="0"/>
        <w:numPr>
          <w:ilvl w:val="0"/>
          <w:numId w:val="0"/>
        </w:numPr>
        <w:suppressLineNumbers w:val="0"/>
        <w:kinsoku/>
        <w:wordWrap/>
        <w:overflowPunct/>
        <w:topLinePunct w:val="0"/>
        <w:autoSpaceDE/>
        <w:autoSpaceDN/>
        <w:bidi w:val="0"/>
        <w:adjustRightInd w:val="0"/>
        <w:spacing w:line="594" w:lineRule="exact"/>
        <w:ind w:left="0" w:leftChars="0" w:firstLine="640" w:firstLineChars="200"/>
        <w:jc w:val="left"/>
        <w:rPr>
          <w:rFonts w:hint="eastAsia" w:ascii="Times New Roman" w:hAnsi="Times New Roman" w:eastAsia="方正仿宋_GBK" w:cs="方正仿宋_GBK"/>
          <w:b w:val="0"/>
          <w:bCs w:val="0"/>
          <w:i w:val="0"/>
          <w:iCs w:val="0"/>
          <w:caps w:val="0"/>
          <w:color w:val="000000"/>
          <w:spacing w:val="0"/>
          <w:sz w:val="32"/>
          <w:szCs w:val="32"/>
          <w:shd w:val="clear" w:fill="FFFFFF"/>
          <w:lang w:val="en-US" w:eastAsia="zh-CN"/>
        </w:rPr>
      </w:pPr>
      <w:r>
        <w:rPr>
          <w:rFonts w:ascii="Times New Roman" w:hAnsi="Times New Roman" w:eastAsia="方正仿宋_GBK"/>
          <w:sz w:val="32"/>
          <w:szCs w:val="32"/>
        </w:rPr>
        <w:t>1</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w:t>
      </w:r>
      <w:r>
        <w:rPr>
          <w:rFonts w:hint="eastAsia" w:ascii="Times New Roman" w:hAnsi="Times New Roman" w:eastAsia="方正仿宋_GBK" w:cs="方正仿宋_GBK"/>
          <w:b w:val="0"/>
          <w:bCs w:val="0"/>
          <w:i w:val="0"/>
          <w:iCs w:val="0"/>
          <w:caps w:val="0"/>
          <w:color w:val="000000"/>
          <w:spacing w:val="0"/>
          <w:sz w:val="32"/>
          <w:szCs w:val="32"/>
          <w:shd w:val="clear" w:fill="FFFFFF"/>
          <w:lang w:val="en-US" w:eastAsia="zh-CN"/>
        </w:rPr>
        <w:t>重庆市潼南区法律援助中心</w:t>
      </w:r>
    </w:p>
    <w:p>
      <w:pPr>
        <w:keepNext w:val="0"/>
        <w:keepLines w:val="0"/>
        <w:pageBreakBefore w:val="0"/>
        <w:widowControl w:val="0"/>
        <w:numPr>
          <w:ilvl w:val="0"/>
          <w:numId w:val="0"/>
        </w:numPr>
        <w:suppressLineNumbers w:val="0"/>
        <w:kinsoku/>
        <w:wordWrap/>
        <w:overflowPunct/>
        <w:topLinePunct w:val="0"/>
        <w:autoSpaceDE/>
        <w:autoSpaceDN/>
        <w:bidi w:val="0"/>
        <w:adjustRightInd w:val="0"/>
        <w:spacing w:line="594" w:lineRule="exact"/>
        <w:ind w:firstLine="640" w:firstLineChars="200"/>
        <w:jc w:val="left"/>
        <w:rPr>
          <w:rFonts w:hint="eastAsia" w:ascii="Times New Roman" w:hAnsi="Times New Roman" w:eastAsia="方正仿宋_GBK" w:cs="方正仿宋_GBK"/>
          <w:b w:val="0"/>
          <w:bCs w:val="0"/>
          <w:i w:val="0"/>
          <w:iCs w:val="0"/>
          <w:caps w:val="0"/>
          <w:color w:val="000000"/>
          <w:spacing w:val="0"/>
          <w:kern w:val="0"/>
          <w:sz w:val="32"/>
          <w:szCs w:val="32"/>
          <w:shd w:val="clear" w:fill="FFFFFF"/>
          <w:lang w:val="en-US" w:eastAsia="zh-CN" w:bidi="ar"/>
        </w:rPr>
      </w:pPr>
      <w:r>
        <w:rPr>
          <w:rFonts w:hint="eastAsia" w:ascii="Times New Roman" w:hAnsi="Times New Roman" w:eastAsia="方正仿宋_GBK" w:cs="方正仿宋_GBK"/>
          <w:b w:val="0"/>
          <w:bCs w:val="0"/>
          <w:i w:val="0"/>
          <w:iCs w:val="0"/>
          <w:caps w:val="0"/>
          <w:color w:val="000000"/>
          <w:spacing w:val="0"/>
          <w:kern w:val="0"/>
          <w:sz w:val="32"/>
          <w:szCs w:val="32"/>
          <w:shd w:val="clear" w:fill="FFFFFF"/>
          <w:lang w:val="en-US" w:eastAsia="zh-CN" w:bidi="ar"/>
        </w:rPr>
        <w:t>负责受理、审查法律援助申请，指派或者安排人员为符合《法律援助条例》规定的公民提供法律援助，保障应当受法律援助的当事人的合法权益；负责潼南“12348”法律咨询服务电话咨询工作。</w:t>
      </w:r>
    </w:p>
    <w:p>
      <w:pPr>
        <w:keepNext w:val="0"/>
        <w:keepLines w:val="0"/>
        <w:pageBreakBefore w:val="0"/>
        <w:widowControl w:val="0"/>
        <w:numPr>
          <w:ilvl w:val="0"/>
          <w:numId w:val="0"/>
        </w:numPr>
        <w:suppressLineNumbers w:val="0"/>
        <w:kinsoku/>
        <w:wordWrap/>
        <w:overflowPunct/>
        <w:topLinePunct w:val="0"/>
        <w:autoSpaceDE/>
        <w:autoSpaceDN/>
        <w:bidi w:val="0"/>
        <w:adjustRightInd w:val="0"/>
        <w:spacing w:line="594" w:lineRule="exact"/>
        <w:ind w:left="0" w:leftChars="0" w:firstLine="640" w:firstLineChars="200"/>
        <w:jc w:val="left"/>
        <w:rPr>
          <w:rFonts w:hint="eastAsia" w:ascii="Times New Roman" w:hAnsi="Times New Roman" w:eastAsia="方正仿宋_GBK" w:cs="方正仿宋_GBK"/>
          <w:b w:val="0"/>
          <w:bCs w:val="0"/>
          <w:i w:val="0"/>
          <w:iCs w:val="0"/>
          <w:caps w:val="0"/>
          <w:color w:val="333333"/>
          <w:spacing w:val="0"/>
          <w:kern w:val="0"/>
          <w:sz w:val="32"/>
          <w:szCs w:val="32"/>
          <w:shd w:val="clear" w:fill="FFFFFF"/>
          <w:lang w:val="en-US" w:eastAsia="zh-CN" w:bidi="ar"/>
        </w:rPr>
      </w:pPr>
      <w:r>
        <w:rPr>
          <w:rFonts w:ascii="Times New Roman" w:hAnsi="Times New Roman" w:eastAsia="方正仿宋_GBK"/>
          <w:sz w:val="32"/>
          <w:szCs w:val="32"/>
        </w:rPr>
        <w:t>1</w:t>
      </w:r>
      <w:r>
        <w:rPr>
          <w:rFonts w:hint="eastAsia" w:ascii="Times New Roman" w:hAnsi="Times New Roman" w:eastAsia="方正仿宋_GBK"/>
          <w:sz w:val="32"/>
          <w:szCs w:val="32"/>
          <w:lang w:val="en-US" w:eastAsia="zh-CN"/>
        </w:rPr>
        <w:t>4</w:t>
      </w:r>
      <w:r>
        <w:rPr>
          <w:rFonts w:ascii="Times New Roman" w:hAnsi="Times New Roman" w:eastAsia="方正仿宋_GBK"/>
          <w:sz w:val="32"/>
          <w:szCs w:val="32"/>
        </w:rPr>
        <w:t>．</w:t>
      </w:r>
      <w:r>
        <w:rPr>
          <w:rFonts w:hint="eastAsia" w:ascii="Times New Roman" w:hAnsi="Times New Roman" w:eastAsia="方正仿宋_GBK" w:cs="方正仿宋_GBK"/>
          <w:b w:val="0"/>
          <w:bCs w:val="0"/>
          <w:i w:val="0"/>
          <w:iCs w:val="0"/>
          <w:caps w:val="0"/>
          <w:color w:val="333333"/>
          <w:spacing w:val="0"/>
          <w:kern w:val="0"/>
          <w:sz w:val="32"/>
          <w:szCs w:val="32"/>
          <w:shd w:val="clear" w:fill="FFFFFF"/>
          <w:lang w:val="en-US" w:eastAsia="zh-CN" w:bidi="ar"/>
        </w:rPr>
        <w:t>重庆市潼南区矫正帮教管理服务中心</w:t>
      </w:r>
    </w:p>
    <w:p>
      <w:pPr>
        <w:keepNext w:val="0"/>
        <w:keepLines w:val="0"/>
        <w:pageBreakBefore w:val="0"/>
        <w:widowControl w:val="0"/>
        <w:suppressLineNumbers w:val="0"/>
        <w:kinsoku/>
        <w:wordWrap/>
        <w:overflowPunct/>
        <w:topLinePunct w:val="0"/>
        <w:autoSpaceDE/>
        <w:autoSpaceDN/>
        <w:bidi w:val="0"/>
        <w:adjustRightInd w:val="0"/>
        <w:spacing w:line="594" w:lineRule="exact"/>
        <w:ind w:firstLine="640" w:firstLineChars="200"/>
        <w:jc w:val="left"/>
        <w:rPr>
          <w:rFonts w:hint="eastAsia" w:ascii="Times New Roman" w:hAnsi="Times New Roman" w:eastAsia="方正仿宋_GBK" w:cs="方正仿宋_GBK"/>
          <w:b w:val="0"/>
          <w:bCs w:val="0"/>
          <w:sz w:val="32"/>
          <w:szCs w:val="32"/>
        </w:rPr>
      </w:pPr>
      <w:r>
        <w:rPr>
          <w:rFonts w:hint="eastAsia" w:ascii="Times New Roman" w:hAnsi="Times New Roman" w:eastAsia="方正仿宋_GBK" w:cs="方正仿宋_GBK"/>
          <w:b w:val="0"/>
          <w:bCs w:val="0"/>
          <w:i w:val="0"/>
          <w:iCs w:val="0"/>
          <w:caps w:val="0"/>
          <w:color w:val="000000"/>
          <w:spacing w:val="0"/>
          <w:kern w:val="0"/>
          <w:sz w:val="32"/>
          <w:szCs w:val="32"/>
          <w:shd w:val="clear" w:fill="FFFFFF"/>
          <w:lang w:val="en-US" w:eastAsia="zh-CN" w:bidi="ar"/>
        </w:rPr>
        <w:t>负责社区矫正工作。协助开展对刑满释放人员的帮教安置工作，参与社会治安综合治理工作。</w:t>
      </w:r>
    </w:p>
    <w:p>
      <w:pPr>
        <w:keepNext w:val="0"/>
        <w:keepLines w:val="0"/>
        <w:pageBreakBefore w:val="0"/>
        <w:widowControl w:val="0"/>
        <w:suppressLineNumbers w:val="0"/>
        <w:kinsoku/>
        <w:wordWrap/>
        <w:overflowPunct/>
        <w:topLinePunct w:val="0"/>
        <w:autoSpaceDE/>
        <w:autoSpaceDN/>
        <w:bidi w:val="0"/>
        <w:adjustRightInd w:val="0"/>
        <w:spacing w:line="594" w:lineRule="exact"/>
        <w:ind w:firstLine="640" w:firstLineChars="200"/>
        <w:jc w:val="left"/>
        <w:rPr>
          <w:rFonts w:hint="eastAsia" w:ascii="Times New Roman" w:hAnsi="Times New Roman" w:eastAsia="方正仿宋_GBK" w:cs="方正仿宋_GBK"/>
          <w:b w:val="0"/>
          <w:bCs w:val="0"/>
          <w:sz w:val="32"/>
          <w:szCs w:val="32"/>
        </w:rPr>
      </w:pPr>
      <w:r>
        <w:rPr>
          <w:rFonts w:ascii="Times New Roman" w:hAnsi="Times New Roman" w:eastAsia="方正仿宋_GBK"/>
          <w:sz w:val="32"/>
          <w:szCs w:val="32"/>
        </w:rPr>
        <w:t>1</w:t>
      </w: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w:t>
      </w:r>
      <w:r>
        <w:rPr>
          <w:rFonts w:hint="eastAsia" w:ascii="Times New Roman" w:hAnsi="Times New Roman" w:eastAsia="方正仿宋_GBK" w:cs="方正仿宋_GBK"/>
          <w:b w:val="0"/>
          <w:bCs w:val="0"/>
          <w:sz w:val="32"/>
          <w:szCs w:val="32"/>
          <w:lang w:val="en-US" w:eastAsia="zh-CN"/>
        </w:rPr>
        <w:t>重庆市</w:t>
      </w:r>
      <w:r>
        <w:rPr>
          <w:rFonts w:hint="eastAsia" w:ascii="Times New Roman" w:hAnsi="Times New Roman" w:eastAsia="方正仿宋_GBK" w:cs="方正仿宋_GBK"/>
          <w:b w:val="0"/>
          <w:bCs w:val="0"/>
          <w:i w:val="0"/>
          <w:iCs w:val="0"/>
          <w:caps w:val="0"/>
          <w:color w:val="333333"/>
          <w:spacing w:val="0"/>
          <w:kern w:val="0"/>
          <w:sz w:val="32"/>
          <w:szCs w:val="32"/>
          <w:shd w:val="clear" w:fill="FFFFFF"/>
          <w:lang w:val="en-US" w:eastAsia="zh-CN" w:bidi="ar"/>
        </w:rPr>
        <w:t>潼南区人民调解中心</w:t>
      </w:r>
    </w:p>
    <w:p>
      <w:pPr>
        <w:keepNext w:val="0"/>
        <w:keepLines w:val="0"/>
        <w:pageBreakBefore w:val="0"/>
        <w:widowControl w:val="0"/>
        <w:suppressLineNumbers w:val="0"/>
        <w:kinsoku/>
        <w:wordWrap/>
        <w:overflowPunct/>
        <w:topLinePunct w:val="0"/>
        <w:autoSpaceDE/>
        <w:autoSpaceDN/>
        <w:bidi w:val="0"/>
        <w:adjustRightInd w:val="0"/>
        <w:spacing w:line="594" w:lineRule="exact"/>
        <w:ind w:firstLine="640" w:firstLineChars="200"/>
        <w:jc w:val="left"/>
        <w:rPr>
          <w:rFonts w:hint="eastAsia" w:ascii="Times New Roman" w:hAnsi="Times New Roman" w:eastAsia="方正仿宋_GBK" w:cs="方正仿宋_GBK"/>
          <w:b w:val="0"/>
          <w:bCs w:val="0"/>
          <w:i w:val="0"/>
          <w:iCs w:val="0"/>
          <w:caps w:val="0"/>
          <w:color w:val="000000"/>
          <w:spacing w:val="0"/>
          <w:kern w:val="0"/>
          <w:sz w:val="32"/>
          <w:szCs w:val="32"/>
          <w:shd w:val="clear" w:fill="FFFFFF"/>
          <w:lang w:val="en-US" w:eastAsia="zh-CN" w:bidi="ar"/>
        </w:rPr>
      </w:pPr>
      <w:r>
        <w:rPr>
          <w:rFonts w:hint="eastAsia" w:ascii="Times New Roman" w:hAnsi="Times New Roman" w:eastAsia="方正仿宋_GBK" w:cs="方正仿宋_GBK"/>
          <w:b w:val="0"/>
          <w:bCs w:val="0"/>
          <w:i w:val="0"/>
          <w:iCs w:val="0"/>
          <w:caps w:val="0"/>
          <w:color w:val="000000"/>
          <w:spacing w:val="0"/>
          <w:kern w:val="0"/>
          <w:sz w:val="32"/>
          <w:szCs w:val="32"/>
          <w:shd w:val="clear" w:fill="FFFFFF"/>
          <w:lang w:val="en-US" w:eastAsia="zh-CN" w:bidi="ar"/>
        </w:rPr>
        <w:t>指导管理人民调解工作，参与重大疑难民间纠纷调解工作。</w:t>
      </w:r>
    </w:p>
    <w:p>
      <w:pPr>
        <w:keepNext w:val="0"/>
        <w:keepLines w:val="0"/>
        <w:pageBreakBefore w:val="0"/>
        <w:widowControl w:val="0"/>
        <w:numPr>
          <w:ilvl w:val="0"/>
          <w:numId w:val="0"/>
        </w:numPr>
        <w:suppressLineNumbers w:val="0"/>
        <w:kinsoku/>
        <w:wordWrap/>
        <w:overflowPunct/>
        <w:topLinePunct w:val="0"/>
        <w:autoSpaceDE/>
        <w:autoSpaceDN/>
        <w:bidi w:val="0"/>
        <w:adjustRightInd w:val="0"/>
        <w:spacing w:line="594" w:lineRule="exact"/>
        <w:ind w:firstLine="640" w:firstLineChars="200"/>
        <w:jc w:val="left"/>
        <w:rPr>
          <w:rFonts w:hint="eastAsia" w:ascii="Times New Roman" w:hAnsi="Times New Roman" w:eastAsia="方正仿宋_GBK" w:cs="方正仿宋_GBK"/>
          <w:b w:val="0"/>
          <w:bCs w:val="0"/>
          <w:sz w:val="32"/>
          <w:szCs w:val="32"/>
        </w:rPr>
      </w:pPr>
      <w:r>
        <w:rPr>
          <w:rFonts w:ascii="Times New Roman" w:hAnsi="Times New Roman" w:eastAsia="方正仿宋_GBK"/>
          <w:sz w:val="32"/>
          <w:szCs w:val="32"/>
        </w:rPr>
        <w:t>1</w:t>
      </w: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w:t>
      </w:r>
      <w:r>
        <w:rPr>
          <w:rFonts w:hint="eastAsia" w:ascii="Times New Roman" w:hAnsi="Times New Roman" w:eastAsia="方正仿宋_GBK" w:cs="方正仿宋_GBK"/>
          <w:b w:val="0"/>
          <w:bCs w:val="0"/>
          <w:i w:val="0"/>
          <w:iCs w:val="0"/>
          <w:caps w:val="0"/>
          <w:color w:val="333333"/>
          <w:spacing w:val="0"/>
          <w:kern w:val="0"/>
          <w:sz w:val="32"/>
          <w:szCs w:val="32"/>
          <w:shd w:val="clear" w:fill="FFFFFF"/>
          <w:lang w:val="en-US" w:eastAsia="zh-CN" w:bidi="ar"/>
        </w:rPr>
        <w:t>重庆市潼南公证处</w:t>
      </w:r>
    </w:p>
    <w:p>
      <w:pPr>
        <w:keepNext w:val="0"/>
        <w:keepLines w:val="0"/>
        <w:pageBreakBefore w:val="0"/>
        <w:widowControl w:val="0"/>
        <w:suppressLineNumbers w:val="0"/>
        <w:kinsoku/>
        <w:wordWrap/>
        <w:overflowPunct/>
        <w:topLinePunct w:val="0"/>
        <w:autoSpaceDE/>
        <w:autoSpaceDN/>
        <w:bidi w:val="0"/>
        <w:adjustRightInd w:val="0"/>
        <w:spacing w:line="594" w:lineRule="exact"/>
        <w:ind w:firstLine="640" w:firstLineChars="200"/>
        <w:jc w:val="left"/>
        <w:rPr>
          <w:rFonts w:hint="eastAsia" w:ascii="Times New Roman" w:hAnsi="Times New Roman" w:eastAsia="方正仿宋_GBK" w:cs="方正仿宋_GBK"/>
          <w:b w:val="0"/>
          <w:bCs w:val="0"/>
          <w:i w:val="0"/>
          <w:iCs w:val="0"/>
          <w:caps w:val="0"/>
          <w:color w:val="000000"/>
          <w:spacing w:val="0"/>
          <w:kern w:val="0"/>
          <w:sz w:val="32"/>
          <w:szCs w:val="32"/>
          <w:shd w:val="clear" w:fill="FFFFFF"/>
          <w:lang w:val="en-US" w:eastAsia="zh-CN" w:bidi="ar"/>
        </w:rPr>
      </w:pPr>
      <w:r>
        <w:rPr>
          <w:rFonts w:hint="eastAsia" w:ascii="Times New Roman" w:hAnsi="Times New Roman" w:eastAsia="方正仿宋_GBK" w:cs="方正仿宋_GBK"/>
          <w:b w:val="0"/>
          <w:bCs w:val="0"/>
          <w:i w:val="0"/>
          <w:iCs w:val="0"/>
          <w:caps w:val="0"/>
          <w:color w:val="000000"/>
          <w:spacing w:val="0"/>
          <w:kern w:val="0"/>
          <w:sz w:val="32"/>
          <w:szCs w:val="32"/>
          <w:shd w:val="clear" w:fill="FFFFFF"/>
          <w:lang w:val="en-US" w:eastAsia="zh-CN" w:bidi="ar"/>
        </w:rPr>
        <w:t>办理各类公证事务和相关法律事务，为社会提供法律服务和法律保障，引导公民、法人正确设立、变更和终止法律行为。</w:t>
      </w:r>
    </w:p>
    <w:p>
      <w:pPr>
        <w:keepNext w:val="0"/>
        <w:keepLines w:val="0"/>
        <w:pageBreakBefore w:val="0"/>
        <w:widowControl w:val="0"/>
        <w:suppressLineNumbers w:val="0"/>
        <w:kinsoku/>
        <w:wordWrap/>
        <w:overflowPunct/>
        <w:topLinePunct w:val="0"/>
        <w:autoSpaceDE/>
        <w:autoSpaceDN/>
        <w:bidi w:val="0"/>
        <w:adjustRightInd w:val="0"/>
        <w:spacing w:line="594" w:lineRule="exact"/>
        <w:ind w:firstLine="640" w:firstLineChars="200"/>
        <w:jc w:val="left"/>
        <w:rPr>
          <w:rFonts w:hint="eastAsia" w:ascii="Times New Roman" w:hAnsi="Times New Roman" w:eastAsia="方正仿宋_GBK" w:cs="方正仿宋_GBK"/>
          <w:b w:val="0"/>
          <w:bCs w:val="0"/>
          <w:i w:val="0"/>
          <w:iCs w:val="0"/>
          <w:caps w:val="0"/>
          <w:color w:val="000000"/>
          <w:spacing w:val="0"/>
          <w:kern w:val="0"/>
          <w:sz w:val="32"/>
          <w:szCs w:val="32"/>
          <w:shd w:val="clear" w:fill="FFFFFF"/>
          <w:lang w:val="en-US" w:eastAsia="zh-CN" w:bidi="ar"/>
        </w:rPr>
      </w:pPr>
      <w:r>
        <w:rPr>
          <w:rFonts w:hint="eastAsia" w:ascii="Times New Roman" w:hAnsi="Times New Roman" w:eastAsia="方正仿宋_GBK" w:cs="方正仿宋_GBK"/>
          <w:b w:val="0"/>
          <w:bCs w:val="0"/>
          <w:i w:val="0"/>
          <w:iCs w:val="0"/>
          <w:caps w:val="0"/>
          <w:color w:val="000000"/>
          <w:spacing w:val="0"/>
          <w:kern w:val="0"/>
          <w:sz w:val="32"/>
          <w:szCs w:val="32"/>
          <w:shd w:val="clear" w:fill="FFFFFF"/>
          <w:lang w:val="en-US" w:eastAsia="zh-CN" w:bidi="ar"/>
        </w:rPr>
        <w:t>派出机构：23个镇（街）司法所</w:t>
      </w:r>
    </w:p>
    <w:p>
      <w:pPr>
        <w:keepNext w:val="0"/>
        <w:keepLines w:val="0"/>
        <w:pageBreakBefore w:val="0"/>
        <w:kinsoku/>
        <w:wordWrap/>
        <w:topLinePunct w:val="0"/>
        <w:autoSpaceDE/>
        <w:autoSpaceDN/>
        <w:bidi w:val="0"/>
        <w:adjustRightInd w:val="0"/>
        <w:spacing w:line="594"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二、部门收支总体情况</w:t>
      </w:r>
    </w:p>
    <w:p>
      <w:pPr>
        <w:pStyle w:val="8"/>
        <w:keepNext w:val="0"/>
        <w:keepLines w:val="0"/>
        <w:pageBreakBefore w:val="0"/>
        <w:shd w:val="clear" w:color="auto" w:fill="FFFFFF"/>
        <w:kinsoku/>
        <w:wordWrap/>
        <w:topLinePunct w:val="0"/>
        <w:autoSpaceDE/>
        <w:autoSpaceDN/>
        <w:bidi w:val="0"/>
        <w:adjustRightInd w:val="0"/>
        <w:spacing w:before="0" w:beforeAutospacing="0" w:after="0" w:afterAutospacing="0" w:line="594" w:lineRule="exact"/>
        <w:ind w:firstLine="640" w:firstLineChars="200"/>
        <w:jc w:val="both"/>
        <w:textAlignment w:val="baseline"/>
        <w:rPr>
          <w:rFonts w:ascii="Times New Roman" w:hAnsi="Times New Roman" w:eastAsia="方正仿宋_GBK"/>
          <w:sz w:val="32"/>
          <w:szCs w:val="32"/>
        </w:rPr>
      </w:pPr>
      <w:r>
        <w:rPr>
          <w:rFonts w:hint="eastAsia" w:ascii="Times New Roman" w:hAnsi="Times New Roman" w:eastAsia="方正楷体_GBK" w:cs="方正楷体_GBK"/>
          <w:b w:val="0"/>
          <w:bCs w:val="0"/>
          <w:kern w:val="2"/>
          <w:sz w:val="32"/>
          <w:szCs w:val="32"/>
          <w:lang w:val="en-US" w:eastAsia="zh-CN" w:bidi="ar-SA"/>
        </w:rPr>
        <w:t>（一）收入预算</w:t>
      </w:r>
      <w:r>
        <w:rPr>
          <w:rFonts w:ascii="Times New Roman" w:hAnsi="Times New Roman" w:eastAsia="方正仿宋_GBK"/>
          <w:sz w:val="32"/>
          <w:szCs w:val="32"/>
        </w:rPr>
        <w:t>：202</w:t>
      </w: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年年初预算数</w:t>
      </w:r>
      <w:r>
        <w:rPr>
          <w:rFonts w:hint="eastAsia" w:ascii="Times New Roman" w:hAnsi="Times New Roman" w:eastAsia="方正仿宋_GBK"/>
          <w:sz w:val="32"/>
          <w:szCs w:val="32"/>
          <w:lang w:val="en-US" w:eastAsia="zh-CN"/>
        </w:rPr>
        <w:t>3186.13</w:t>
      </w:r>
      <w:r>
        <w:rPr>
          <w:rFonts w:ascii="Times New Roman" w:hAnsi="Times New Roman" w:eastAsia="方正仿宋_GBK"/>
          <w:sz w:val="32"/>
          <w:szCs w:val="32"/>
        </w:rPr>
        <w:t>万元，其中：一般公共预算拨款</w:t>
      </w:r>
      <w:r>
        <w:rPr>
          <w:rFonts w:hint="eastAsia" w:ascii="Times New Roman" w:hAnsi="Times New Roman" w:eastAsia="方正仿宋_GBK"/>
          <w:sz w:val="32"/>
          <w:szCs w:val="32"/>
          <w:lang w:val="en-US" w:eastAsia="zh-CN"/>
        </w:rPr>
        <w:t>3186.13</w:t>
      </w:r>
      <w:r>
        <w:rPr>
          <w:rFonts w:ascii="Times New Roman" w:hAnsi="Times New Roman" w:eastAsia="方正仿宋_GBK"/>
          <w:sz w:val="32"/>
          <w:szCs w:val="32"/>
        </w:rPr>
        <w:t>万元</w:t>
      </w:r>
      <w:r>
        <w:rPr>
          <w:rFonts w:hint="eastAsia" w:ascii="Times New Roman" w:hAnsi="Times New Roman" w:eastAsia="方正仿宋_GBK"/>
          <w:sz w:val="32"/>
          <w:szCs w:val="32"/>
          <w:lang w:eastAsia="zh-CN"/>
        </w:rPr>
        <w:t>。</w:t>
      </w:r>
      <w:r>
        <w:rPr>
          <w:rFonts w:hint="eastAsia" w:ascii="Times New Roman" w:hAnsi="Times New Roman" w:eastAsia="方正仿宋_GBK" w:cs="方正仿宋_GBK"/>
          <w:sz w:val="32"/>
          <w:szCs w:val="32"/>
        </w:rPr>
        <w:t>收入较去年</w:t>
      </w:r>
      <w:r>
        <w:rPr>
          <w:rFonts w:hint="eastAsia" w:ascii="Times New Roman" w:hAnsi="Times New Roman" w:eastAsia="方正仿宋_GBK" w:cs="方正仿宋_GBK"/>
          <w:sz w:val="32"/>
          <w:szCs w:val="32"/>
          <w:lang w:eastAsia="zh-CN"/>
        </w:rPr>
        <w:t>减少</w:t>
      </w:r>
      <w:r>
        <w:rPr>
          <w:rFonts w:hint="eastAsia" w:ascii="Times New Roman" w:hAnsi="Times New Roman" w:eastAsia="方正仿宋_GBK" w:cs="方正仿宋_GBK"/>
          <w:sz w:val="32"/>
          <w:szCs w:val="32"/>
          <w:lang w:val="en-US" w:eastAsia="zh-CN"/>
        </w:rPr>
        <w:t>121.61</w:t>
      </w:r>
      <w:r>
        <w:rPr>
          <w:rFonts w:hint="eastAsia" w:ascii="Times New Roman" w:hAnsi="Times New Roman" w:eastAsia="方正仿宋_GBK" w:cs="方正仿宋_GBK"/>
          <w:sz w:val="32"/>
          <w:szCs w:val="32"/>
        </w:rPr>
        <w:t>万元，</w:t>
      </w:r>
      <w:r>
        <w:rPr>
          <w:rFonts w:hint="eastAsia" w:ascii="Times New Roman" w:hAnsi="Times New Roman" w:eastAsia="方正仿宋_GBK" w:cs="方正仿宋_GBK"/>
          <w:sz w:val="32"/>
          <w:szCs w:val="32"/>
          <w:lang w:eastAsia="zh-CN"/>
        </w:rPr>
        <w:t>其中：基本支出增加</w:t>
      </w:r>
      <w:r>
        <w:rPr>
          <w:rFonts w:hint="eastAsia" w:ascii="Times New Roman" w:hAnsi="Times New Roman" w:eastAsia="方正仿宋_GBK" w:cs="方正仿宋_GBK"/>
          <w:sz w:val="32"/>
          <w:szCs w:val="32"/>
          <w:lang w:val="en-US" w:eastAsia="zh-CN"/>
        </w:rPr>
        <w:t>167.45万元，</w:t>
      </w:r>
      <w:r>
        <w:rPr>
          <w:rFonts w:hint="eastAsia" w:ascii="Times New Roman" w:hAnsi="Times New Roman" w:eastAsia="方正仿宋_GBK" w:cs="方正仿宋_GBK"/>
          <w:kern w:val="2"/>
          <w:sz w:val="32"/>
          <w:szCs w:val="32"/>
        </w:rPr>
        <w:t>主要</w:t>
      </w:r>
      <w:r>
        <w:rPr>
          <w:rFonts w:hint="eastAsia" w:ascii="Times New Roman" w:hAnsi="Times New Roman" w:eastAsia="方正仿宋_GBK" w:cs="方正仿宋_GBK"/>
          <w:kern w:val="2"/>
          <w:sz w:val="32"/>
          <w:szCs w:val="32"/>
          <w:lang w:eastAsia="zh-CN"/>
        </w:rPr>
        <w:t>原因</w:t>
      </w:r>
      <w:r>
        <w:rPr>
          <w:rFonts w:hint="eastAsia" w:ascii="Times New Roman" w:hAnsi="Times New Roman" w:eastAsia="方正仿宋_GBK" w:cs="方正仿宋_GBK"/>
          <w:kern w:val="2"/>
          <w:sz w:val="32"/>
          <w:szCs w:val="32"/>
        </w:rPr>
        <w:t>是预算人数</w:t>
      </w:r>
      <w:r>
        <w:rPr>
          <w:rFonts w:hint="eastAsia" w:ascii="Times New Roman" w:hAnsi="Times New Roman" w:eastAsia="方正仿宋_GBK" w:cs="方正仿宋_GBK"/>
          <w:kern w:val="2"/>
          <w:sz w:val="32"/>
          <w:szCs w:val="32"/>
          <w:lang w:eastAsia="zh-CN"/>
        </w:rPr>
        <w:t>增加</w:t>
      </w:r>
      <w:r>
        <w:rPr>
          <w:rFonts w:hint="eastAsia" w:ascii="Times New Roman" w:hAnsi="Times New Roman" w:eastAsia="方正仿宋_GBK" w:cs="方正仿宋_GBK"/>
          <w:kern w:val="2"/>
          <w:sz w:val="32"/>
          <w:szCs w:val="32"/>
          <w:lang w:val="en-US" w:eastAsia="zh-CN"/>
        </w:rPr>
        <w:t>4人</w:t>
      </w:r>
      <w:r>
        <w:rPr>
          <w:rFonts w:hint="eastAsia" w:ascii="Times New Roman" w:hAnsi="Times New Roman" w:eastAsia="方正仿宋_GBK" w:cs="方正仿宋_GBK"/>
          <w:kern w:val="2"/>
          <w:sz w:val="32"/>
          <w:szCs w:val="32"/>
          <w:lang w:eastAsia="zh-CN"/>
        </w:rPr>
        <w:t>；</w:t>
      </w:r>
      <w:r>
        <w:rPr>
          <w:rFonts w:hint="eastAsia" w:ascii="Times New Roman" w:hAnsi="Times New Roman" w:eastAsia="方正仿宋_GBK" w:cs="方正仿宋_GBK"/>
          <w:kern w:val="2"/>
          <w:sz w:val="32"/>
          <w:szCs w:val="32"/>
        </w:rPr>
        <w:t>项目支出</w:t>
      </w:r>
      <w:r>
        <w:rPr>
          <w:rFonts w:hint="eastAsia" w:ascii="Times New Roman" w:hAnsi="Times New Roman" w:eastAsia="方正仿宋_GBK" w:cs="方正仿宋_GBK"/>
          <w:kern w:val="2"/>
          <w:sz w:val="32"/>
          <w:szCs w:val="32"/>
          <w:lang w:eastAsia="zh-CN"/>
        </w:rPr>
        <w:t>减少</w:t>
      </w:r>
      <w:r>
        <w:rPr>
          <w:rFonts w:hint="eastAsia" w:ascii="Times New Roman" w:hAnsi="Times New Roman" w:eastAsia="方正仿宋_GBK" w:cs="方正仿宋_GBK"/>
          <w:kern w:val="2"/>
          <w:sz w:val="32"/>
          <w:szCs w:val="32"/>
          <w:lang w:val="en-US" w:eastAsia="zh-CN"/>
        </w:rPr>
        <w:t>289.06万元，</w:t>
      </w:r>
      <w:r>
        <w:rPr>
          <w:rFonts w:hint="eastAsia" w:ascii="Times New Roman" w:hAnsi="Times New Roman" w:eastAsia="方正仿宋_GBK" w:cs="方正仿宋_GBK"/>
          <w:kern w:val="2"/>
          <w:sz w:val="32"/>
          <w:szCs w:val="32"/>
          <w:lang w:eastAsia="zh-CN"/>
        </w:rPr>
        <w:t>主要原因是上年结转的</w:t>
      </w:r>
      <w:r>
        <w:rPr>
          <w:rFonts w:hint="eastAsia" w:ascii="Times New Roman" w:hAnsi="Times New Roman" w:eastAsia="方正仿宋_GBK" w:cs="方正仿宋_GBK"/>
          <w:kern w:val="2"/>
          <w:sz w:val="32"/>
          <w:szCs w:val="32"/>
        </w:rPr>
        <w:t>转移支付</w:t>
      </w:r>
      <w:r>
        <w:rPr>
          <w:rFonts w:hint="eastAsia" w:ascii="Times New Roman" w:hAnsi="Times New Roman" w:eastAsia="方正仿宋_GBK" w:cs="方正仿宋_GBK"/>
          <w:kern w:val="2"/>
          <w:sz w:val="32"/>
          <w:szCs w:val="32"/>
          <w:lang w:eastAsia="zh-CN"/>
        </w:rPr>
        <w:t>资金减少。</w:t>
      </w:r>
    </w:p>
    <w:p>
      <w:pPr>
        <w:keepNext w:val="0"/>
        <w:keepLines w:val="0"/>
        <w:pageBreakBefore w:val="0"/>
        <w:kinsoku/>
        <w:wordWrap/>
        <w:overflowPunct w:val="0"/>
        <w:topLinePunct w:val="0"/>
        <w:autoSpaceDE/>
        <w:autoSpaceDN/>
        <w:bidi w:val="0"/>
        <w:adjustRightInd w:val="0"/>
        <w:spacing w:line="594" w:lineRule="exact"/>
        <w:ind w:firstLine="640" w:firstLineChars="200"/>
        <w:rPr>
          <w:rFonts w:ascii="Times New Roman" w:hAnsi="Times New Roman" w:eastAsia="方正仿宋_GBK"/>
          <w:sz w:val="32"/>
          <w:szCs w:val="32"/>
        </w:rPr>
      </w:pPr>
      <w:r>
        <w:rPr>
          <w:rFonts w:hint="eastAsia" w:ascii="Times New Roman" w:hAnsi="Times New Roman" w:eastAsia="方正楷体_GBK" w:cs="方正楷体_GBK"/>
          <w:b w:val="0"/>
          <w:bCs w:val="0"/>
          <w:sz w:val="32"/>
          <w:szCs w:val="32"/>
        </w:rPr>
        <w:t>（二）支出预算</w:t>
      </w:r>
      <w:r>
        <w:rPr>
          <w:rFonts w:ascii="Times New Roman" w:hAnsi="Times New Roman" w:eastAsia="方正仿宋_GBK"/>
          <w:sz w:val="32"/>
          <w:szCs w:val="32"/>
        </w:rPr>
        <w:t>：202</w:t>
      </w: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年年初预算数</w:t>
      </w:r>
      <w:r>
        <w:rPr>
          <w:rFonts w:hint="eastAsia" w:ascii="Times New Roman" w:hAnsi="Times New Roman" w:eastAsia="方正仿宋_GBK"/>
          <w:sz w:val="32"/>
          <w:szCs w:val="32"/>
          <w:lang w:val="en-US" w:eastAsia="zh-CN"/>
        </w:rPr>
        <w:t>3186.13</w:t>
      </w:r>
      <w:r>
        <w:rPr>
          <w:rFonts w:ascii="Times New Roman" w:hAnsi="Times New Roman" w:eastAsia="方正仿宋_GBK"/>
          <w:sz w:val="32"/>
          <w:szCs w:val="32"/>
        </w:rPr>
        <w:t>万元，其中：一般公共服务支出</w:t>
      </w:r>
      <w:r>
        <w:rPr>
          <w:rFonts w:hint="eastAsia" w:ascii="Times New Roman" w:hAnsi="Times New Roman" w:eastAsia="方正仿宋_GBK"/>
          <w:sz w:val="32"/>
          <w:szCs w:val="32"/>
          <w:lang w:val="en-US" w:eastAsia="zh-CN"/>
        </w:rPr>
        <w:t>2544.32</w:t>
      </w:r>
      <w:r>
        <w:rPr>
          <w:rFonts w:ascii="Times New Roman" w:hAnsi="Times New Roman" w:eastAsia="方正仿宋_GBK"/>
          <w:sz w:val="32"/>
          <w:szCs w:val="32"/>
        </w:rPr>
        <w:t>万元，社会保障和就业支出</w:t>
      </w:r>
      <w:r>
        <w:rPr>
          <w:rFonts w:hint="eastAsia" w:ascii="Times New Roman" w:hAnsi="Times New Roman" w:eastAsia="方正仿宋_GBK"/>
          <w:sz w:val="32"/>
          <w:szCs w:val="32"/>
          <w:lang w:val="en-US" w:eastAsia="zh-CN"/>
        </w:rPr>
        <w:t>383.71</w:t>
      </w:r>
      <w:r>
        <w:rPr>
          <w:rFonts w:ascii="Times New Roman" w:hAnsi="Times New Roman" w:eastAsia="方正仿宋_GBK"/>
          <w:sz w:val="32"/>
          <w:szCs w:val="32"/>
        </w:rPr>
        <w:t>万元，卫生健康支出</w:t>
      </w:r>
      <w:r>
        <w:rPr>
          <w:rFonts w:hint="eastAsia" w:ascii="Times New Roman" w:hAnsi="Times New Roman" w:eastAsia="方正仿宋_GBK"/>
          <w:sz w:val="32"/>
          <w:szCs w:val="32"/>
          <w:lang w:val="en-US" w:eastAsia="zh-CN"/>
        </w:rPr>
        <w:t>116.72</w:t>
      </w:r>
      <w:r>
        <w:rPr>
          <w:rFonts w:ascii="Times New Roman" w:hAnsi="Times New Roman" w:eastAsia="方正仿宋_GBK"/>
          <w:sz w:val="32"/>
          <w:szCs w:val="32"/>
        </w:rPr>
        <w:t>万元，住房保障支出</w:t>
      </w:r>
      <w:r>
        <w:rPr>
          <w:rFonts w:hint="eastAsia" w:ascii="Times New Roman" w:hAnsi="Times New Roman" w:eastAsia="方正仿宋_GBK"/>
          <w:sz w:val="32"/>
          <w:szCs w:val="32"/>
          <w:lang w:val="en-US" w:eastAsia="zh-CN"/>
        </w:rPr>
        <w:t>141.38</w:t>
      </w:r>
      <w:r>
        <w:rPr>
          <w:rFonts w:ascii="Times New Roman" w:hAnsi="Times New Roman" w:eastAsia="方正仿宋_GBK"/>
          <w:sz w:val="32"/>
          <w:szCs w:val="32"/>
        </w:rPr>
        <w:t>万元。支出较去年</w:t>
      </w:r>
      <w:r>
        <w:rPr>
          <w:rFonts w:hint="eastAsia" w:ascii="Times New Roman" w:hAnsi="Times New Roman" w:eastAsia="方正仿宋_GBK"/>
          <w:sz w:val="32"/>
          <w:szCs w:val="32"/>
          <w:lang w:eastAsia="zh-CN"/>
        </w:rPr>
        <w:t>减少</w:t>
      </w:r>
      <w:r>
        <w:rPr>
          <w:rFonts w:hint="eastAsia" w:ascii="Times New Roman" w:hAnsi="Times New Roman" w:eastAsia="方正仿宋_GBK"/>
          <w:sz w:val="32"/>
          <w:szCs w:val="32"/>
          <w:lang w:val="en-US" w:eastAsia="zh-CN"/>
        </w:rPr>
        <w:t>121.61</w:t>
      </w:r>
      <w:r>
        <w:rPr>
          <w:rFonts w:ascii="Times New Roman" w:hAnsi="Times New Roman" w:eastAsia="方正仿宋_GBK"/>
          <w:sz w:val="32"/>
          <w:szCs w:val="32"/>
        </w:rPr>
        <w:t>万元，主要</w:t>
      </w:r>
      <w:r>
        <w:rPr>
          <w:rFonts w:hint="eastAsia" w:ascii="Times New Roman" w:hAnsi="Times New Roman" w:eastAsia="方正仿宋_GBK"/>
          <w:sz w:val="32"/>
          <w:szCs w:val="32"/>
          <w:lang w:eastAsia="zh-CN"/>
        </w:rPr>
        <w:t>原因</w:t>
      </w:r>
      <w:r>
        <w:rPr>
          <w:rFonts w:ascii="Times New Roman" w:hAnsi="Times New Roman" w:eastAsia="方正仿宋_GBK"/>
          <w:sz w:val="32"/>
          <w:szCs w:val="32"/>
        </w:rPr>
        <w:t>是基本支出</w:t>
      </w:r>
      <w:r>
        <w:rPr>
          <w:rFonts w:hint="eastAsia" w:ascii="Times New Roman" w:hAnsi="Times New Roman" w:eastAsia="方正仿宋_GBK" w:cs="方正仿宋_GBK"/>
          <w:sz w:val="32"/>
          <w:szCs w:val="32"/>
          <w:lang w:eastAsia="zh-CN"/>
        </w:rPr>
        <w:t>增加</w:t>
      </w:r>
      <w:r>
        <w:rPr>
          <w:rFonts w:hint="eastAsia" w:ascii="Times New Roman" w:hAnsi="Times New Roman" w:eastAsia="方正仿宋_GBK" w:cs="方正仿宋_GBK"/>
          <w:sz w:val="32"/>
          <w:szCs w:val="32"/>
          <w:lang w:val="en-US" w:eastAsia="zh-CN"/>
        </w:rPr>
        <w:t>167.45万元</w:t>
      </w:r>
      <w:r>
        <w:rPr>
          <w:rFonts w:ascii="Times New Roman" w:hAnsi="Times New Roman" w:eastAsia="方正仿宋_GBK"/>
          <w:sz w:val="32"/>
          <w:szCs w:val="32"/>
        </w:rPr>
        <w:t>，项目支出</w:t>
      </w:r>
      <w:r>
        <w:rPr>
          <w:rFonts w:hint="eastAsia" w:ascii="Times New Roman" w:hAnsi="Times New Roman" w:eastAsia="方正仿宋_GBK" w:cs="方正仿宋_GBK"/>
          <w:kern w:val="2"/>
          <w:sz w:val="32"/>
          <w:szCs w:val="32"/>
          <w:lang w:eastAsia="zh-CN"/>
        </w:rPr>
        <w:t>减少</w:t>
      </w:r>
      <w:r>
        <w:rPr>
          <w:rFonts w:hint="eastAsia" w:ascii="Times New Roman" w:hAnsi="Times New Roman" w:eastAsia="方正仿宋_GBK" w:cs="方正仿宋_GBK"/>
          <w:kern w:val="2"/>
          <w:sz w:val="32"/>
          <w:szCs w:val="32"/>
          <w:lang w:val="en-US" w:eastAsia="zh-CN"/>
        </w:rPr>
        <w:t>289.06万元</w:t>
      </w:r>
      <w:r>
        <w:rPr>
          <w:rFonts w:ascii="Times New Roman" w:hAnsi="Times New Roman" w:eastAsia="方正仿宋_GBK"/>
          <w:sz w:val="32"/>
          <w:szCs w:val="32"/>
        </w:rPr>
        <w:t>。</w:t>
      </w:r>
    </w:p>
    <w:p>
      <w:pPr>
        <w:keepNext w:val="0"/>
        <w:keepLines w:val="0"/>
        <w:pageBreakBefore w:val="0"/>
        <w:kinsoku/>
        <w:wordWrap/>
        <w:topLinePunct w:val="0"/>
        <w:autoSpaceDE/>
        <w:autoSpaceDN/>
        <w:bidi w:val="0"/>
        <w:adjustRightInd w:val="0"/>
        <w:spacing w:line="594"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三、部门预算情况说明</w:t>
      </w:r>
    </w:p>
    <w:p>
      <w:pPr>
        <w:keepNext w:val="0"/>
        <w:keepLines w:val="0"/>
        <w:pageBreakBefore w:val="0"/>
        <w:kinsoku/>
        <w:wordWrap/>
        <w:overflowPunct w:val="0"/>
        <w:topLinePunct w:val="0"/>
        <w:autoSpaceDE/>
        <w:autoSpaceDN/>
        <w:bidi w:val="0"/>
        <w:adjustRightInd w:val="0"/>
        <w:spacing w:line="594"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w:t>
      </w: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年一般公共预算财政拨款收入</w:t>
      </w:r>
      <w:r>
        <w:rPr>
          <w:rFonts w:hint="eastAsia" w:ascii="Times New Roman" w:hAnsi="Times New Roman" w:eastAsia="方正仿宋_GBK"/>
          <w:sz w:val="32"/>
          <w:szCs w:val="32"/>
          <w:lang w:val="en-US" w:eastAsia="zh-CN"/>
        </w:rPr>
        <w:t>3186.13</w:t>
      </w:r>
      <w:r>
        <w:rPr>
          <w:rFonts w:ascii="Times New Roman" w:hAnsi="Times New Roman" w:eastAsia="方正仿宋_GBK"/>
          <w:sz w:val="32"/>
          <w:szCs w:val="32"/>
        </w:rPr>
        <w:t>万元，一般公共预算财政拨款支出</w:t>
      </w:r>
      <w:r>
        <w:rPr>
          <w:rFonts w:hint="eastAsia" w:ascii="Times New Roman" w:hAnsi="Times New Roman" w:eastAsia="方正仿宋_GBK"/>
          <w:sz w:val="32"/>
          <w:szCs w:val="32"/>
          <w:lang w:val="en-US" w:eastAsia="zh-CN"/>
        </w:rPr>
        <w:t>3186.13</w:t>
      </w:r>
      <w:r>
        <w:rPr>
          <w:rFonts w:ascii="Times New Roman" w:hAnsi="Times New Roman" w:eastAsia="方正仿宋_GBK"/>
          <w:sz w:val="32"/>
          <w:szCs w:val="32"/>
        </w:rPr>
        <w:t>万元，比202</w:t>
      </w: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年</w:t>
      </w:r>
      <w:r>
        <w:rPr>
          <w:rFonts w:hint="eastAsia" w:ascii="Times New Roman" w:hAnsi="Times New Roman" w:eastAsia="方正仿宋_GBK"/>
          <w:sz w:val="32"/>
          <w:szCs w:val="32"/>
          <w:lang w:eastAsia="zh-CN"/>
        </w:rPr>
        <w:t>减少</w:t>
      </w:r>
      <w:r>
        <w:rPr>
          <w:rFonts w:hint="eastAsia" w:ascii="Times New Roman" w:hAnsi="Times New Roman" w:eastAsia="方正仿宋_GBK"/>
          <w:sz w:val="32"/>
          <w:szCs w:val="32"/>
          <w:lang w:val="en-US" w:eastAsia="zh-CN"/>
        </w:rPr>
        <w:t>121.61</w:t>
      </w:r>
      <w:r>
        <w:rPr>
          <w:rFonts w:ascii="Times New Roman" w:hAnsi="Times New Roman" w:eastAsia="方正仿宋_GBK"/>
          <w:sz w:val="32"/>
          <w:szCs w:val="32"/>
        </w:rPr>
        <w:t>万元。其中：基本支出</w:t>
      </w:r>
      <w:r>
        <w:rPr>
          <w:rFonts w:hint="eastAsia" w:ascii="Times New Roman" w:hAnsi="Times New Roman" w:eastAsia="方正仿宋_GBK"/>
          <w:sz w:val="32"/>
          <w:szCs w:val="32"/>
          <w:lang w:val="en-US" w:eastAsia="zh-CN"/>
        </w:rPr>
        <w:t>2293.70</w:t>
      </w:r>
      <w:r>
        <w:rPr>
          <w:rFonts w:ascii="Times New Roman" w:hAnsi="Times New Roman" w:eastAsia="方正仿宋_GBK"/>
          <w:sz w:val="32"/>
          <w:szCs w:val="32"/>
        </w:rPr>
        <w:t>万元，比202</w:t>
      </w: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年</w:t>
      </w:r>
      <w:r>
        <w:rPr>
          <w:rFonts w:hint="eastAsia" w:ascii="Times New Roman" w:hAnsi="Times New Roman" w:eastAsia="方正仿宋_GBK" w:cs="方正仿宋_GBK"/>
          <w:sz w:val="32"/>
          <w:szCs w:val="32"/>
          <w:lang w:eastAsia="zh-CN"/>
        </w:rPr>
        <w:t>增加</w:t>
      </w:r>
      <w:r>
        <w:rPr>
          <w:rFonts w:hint="eastAsia" w:ascii="Times New Roman" w:hAnsi="Times New Roman" w:eastAsia="方正仿宋_GBK" w:cs="方正仿宋_GBK"/>
          <w:sz w:val="32"/>
          <w:szCs w:val="32"/>
          <w:lang w:val="en-US" w:eastAsia="zh-CN"/>
        </w:rPr>
        <w:t>167.45</w:t>
      </w:r>
      <w:r>
        <w:rPr>
          <w:rFonts w:ascii="Times New Roman" w:hAnsi="Times New Roman" w:eastAsia="方正仿宋_GBK"/>
          <w:sz w:val="32"/>
          <w:szCs w:val="32"/>
        </w:rPr>
        <w:t>万元，</w:t>
      </w:r>
      <w:r>
        <w:rPr>
          <w:rFonts w:hint="eastAsia" w:ascii="Times New Roman" w:hAnsi="Times New Roman" w:eastAsia="方正仿宋_GBK" w:cs="方正仿宋_GBK"/>
          <w:kern w:val="2"/>
          <w:sz w:val="32"/>
          <w:szCs w:val="32"/>
        </w:rPr>
        <w:t>主要</w:t>
      </w:r>
      <w:r>
        <w:rPr>
          <w:rFonts w:hint="eastAsia" w:ascii="Times New Roman" w:hAnsi="Times New Roman" w:eastAsia="方正仿宋_GBK" w:cs="方正仿宋_GBK"/>
          <w:kern w:val="2"/>
          <w:sz w:val="32"/>
          <w:szCs w:val="32"/>
          <w:lang w:eastAsia="zh-CN"/>
        </w:rPr>
        <w:t>原因</w:t>
      </w:r>
      <w:r>
        <w:rPr>
          <w:rFonts w:hint="eastAsia" w:ascii="Times New Roman" w:hAnsi="Times New Roman" w:eastAsia="方正仿宋_GBK" w:cs="方正仿宋_GBK"/>
          <w:kern w:val="2"/>
          <w:sz w:val="32"/>
          <w:szCs w:val="32"/>
        </w:rPr>
        <w:t>是预算人数</w:t>
      </w:r>
      <w:r>
        <w:rPr>
          <w:rFonts w:hint="eastAsia" w:ascii="Times New Roman" w:hAnsi="Times New Roman" w:eastAsia="方正仿宋_GBK" w:cs="方正仿宋_GBK"/>
          <w:kern w:val="2"/>
          <w:sz w:val="32"/>
          <w:szCs w:val="32"/>
          <w:lang w:eastAsia="zh-CN"/>
        </w:rPr>
        <w:t>增加</w:t>
      </w:r>
      <w:r>
        <w:rPr>
          <w:rFonts w:hint="eastAsia" w:ascii="Times New Roman" w:hAnsi="Times New Roman" w:eastAsia="方正仿宋_GBK" w:cs="方正仿宋_GBK"/>
          <w:kern w:val="2"/>
          <w:sz w:val="32"/>
          <w:szCs w:val="32"/>
          <w:lang w:val="en-US" w:eastAsia="zh-CN"/>
        </w:rPr>
        <w:t>4人</w:t>
      </w:r>
      <w:r>
        <w:rPr>
          <w:rFonts w:ascii="Times New Roman" w:hAnsi="Times New Roman" w:eastAsia="方正仿宋_GBK"/>
          <w:sz w:val="32"/>
          <w:szCs w:val="32"/>
        </w:rPr>
        <w:t>,</w:t>
      </w:r>
      <w:r>
        <w:rPr>
          <w:rFonts w:hint="eastAsia" w:ascii="Times New Roman" w:hAnsi="Times New Roman" w:eastAsia="方正仿宋_GBK"/>
          <w:sz w:val="32"/>
          <w:szCs w:val="32"/>
          <w:lang w:eastAsia="zh-CN"/>
        </w:rPr>
        <w:t>相应</w:t>
      </w:r>
      <w:r>
        <w:rPr>
          <w:rFonts w:hint="eastAsia" w:ascii="Times New Roman" w:hAnsi="Times New Roman" w:eastAsia="方正仿宋_GBK" w:cs="方正仿宋_GBK"/>
          <w:sz w:val="32"/>
          <w:szCs w:val="32"/>
          <w:lang w:eastAsia="zh-CN"/>
        </w:rPr>
        <w:t>增加</w:t>
      </w:r>
      <w:r>
        <w:rPr>
          <w:rFonts w:hint="eastAsia" w:ascii="Times New Roman" w:hAnsi="Times New Roman" w:eastAsia="方正仿宋_GBK" w:cs="方正仿宋_GBK"/>
          <w:sz w:val="32"/>
          <w:szCs w:val="32"/>
        </w:rPr>
        <w:t>了保障在职人员工资福利及社会保险缴费、公用经费等</w:t>
      </w:r>
      <w:r>
        <w:rPr>
          <w:rFonts w:ascii="Times New Roman" w:hAnsi="Times New Roman" w:eastAsia="方正仿宋_GBK"/>
          <w:sz w:val="32"/>
          <w:szCs w:val="32"/>
        </w:rPr>
        <w:t>；项目支出</w:t>
      </w:r>
      <w:r>
        <w:rPr>
          <w:rFonts w:hint="eastAsia" w:ascii="Times New Roman" w:hAnsi="Times New Roman" w:eastAsia="方正仿宋_GBK"/>
          <w:sz w:val="32"/>
          <w:szCs w:val="32"/>
          <w:lang w:val="en-US" w:eastAsia="zh-CN"/>
        </w:rPr>
        <w:t>892.43</w:t>
      </w:r>
      <w:r>
        <w:rPr>
          <w:rFonts w:ascii="Times New Roman" w:hAnsi="Times New Roman" w:eastAsia="方正仿宋_GBK"/>
          <w:sz w:val="32"/>
          <w:szCs w:val="32"/>
        </w:rPr>
        <w:t>万元，比202</w:t>
      </w: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年</w:t>
      </w:r>
      <w:r>
        <w:rPr>
          <w:rFonts w:hint="eastAsia" w:ascii="Times New Roman" w:hAnsi="Times New Roman" w:eastAsia="方正仿宋_GBK" w:cs="方正仿宋_GBK"/>
          <w:kern w:val="2"/>
          <w:sz w:val="32"/>
          <w:szCs w:val="32"/>
          <w:lang w:eastAsia="zh-CN"/>
        </w:rPr>
        <w:t>减少</w:t>
      </w:r>
      <w:r>
        <w:rPr>
          <w:rFonts w:hint="eastAsia" w:ascii="Times New Roman" w:hAnsi="Times New Roman" w:eastAsia="方正仿宋_GBK" w:cs="方正仿宋_GBK"/>
          <w:kern w:val="2"/>
          <w:sz w:val="32"/>
          <w:szCs w:val="32"/>
          <w:lang w:val="en-US" w:eastAsia="zh-CN"/>
        </w:rPr>
        <w:t>289.06</w:t>
      </w:r>
      <w:r>
        <w:rPr>
          <w:rFonts w:ascii="Times New Roman" w:hAnsi="Times New Roman" w:eastAsia="方正仿宋_GBK"/>
          <w:sz w:val="32"/>
          <w:szCs w:val="32"/>
        </w:rPr>
        <w:t>万元，主要原因是</w:t>
      </w:r>
      <w:r>
        <w:rPr>
          <w:rFonts w:hint="eastAsia" w:ascii="Times New Roman" w:hAnsi="Times New Roman" w:eastAsia="方正仿宋_GBK" w:cs="方正仿宋_GBK"/>
          <w:kern w:val="2"/>
          <w:sz w:val="32"/>
          <w:szCs w:val="32"/>
          <w:lang w:eastAsia="zh-CN"/>
        </w:rPr>
        <w:t>上年结转的</w:t>
      </w:r>
      <w:r>
        <w:rPr>
          <w:rFonts w:hint="eastAsia" w:ascii="Times New Roman" w:hAnsi="Times New Roman" w:eastAsia="方正仿宋_GBK" w:cs="方正仿宋_GBK"/>
          <w:kern w:val="2"/>
          <w:sz w:val="32"/>
          <w:szCs w:val="32"/>
        </w:rPr>
        <w:t>转移支付</w:t>
      </w:r>
      <w:r>
        <w:rPr>
          <w:rFonts w:hint="eastAsia" w:ascii="Times New Roman" w:hAnsi="Times New Roman" w:eastAsia="方正仿宋_GBK" w:cs="方正仿宋_GBK"/>
          <w:kern w:val="2"/>
          <w:sz w:val="32"/>
          <w:szCs w:val="32"/>
          <w:lang w:eastAsia="zh-CN"/>
        </w:rPr>
        <w:t>资金减少。</w:t>
      </w:r>
    </w:p>
    <w:p>
      <w:pPr>
        <w:keepNext w:val="0"/>
        <w:keepLines w:val="0"/>
        <w:pageBreakBefore w:val="0"/>
        <w:kinsoku/>
        <w:wordWrap/>
        <w:topLinePunct w:val="0"/>
        <w:autoSpaceDE/>
        <w:autoSpaceDN/>
        <w:bidi w:val="0"/>
        <w:adjustRightInd w:val="0"/>
        <w:spacing w:line="594"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w:t>
      </w: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年无政府性基金预算收支。</w:t>
      </w:r>
    </w:p>
    <w:p>
      <w:pPr>
        <w:keepNext w:val="0"/>
        <w:keepLines w:val="0"/>
        <w:pageBreakBefore w:val="0"/>
        <w:kinsoku/>
        <w:wordWrap/>
        <w:topLinePunct w:val="0"/>
        <w:autoSpaceDE/>
        <w:autoSpaceDN/>
        <w:bidi w:val="0"/>
        <w:adjustRightInd w:val="0"/>
        <w:spacing w:line="594"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四、“三公”经费情况说明</w:t>
      </w:r>
    </w:p>
    <w:p>
      <w:pPr>
        <w:keepNext w:val="0"/>
        <w:keepLines w:val="0"/>
        <w:pageBreakBefore w:val="0"/>
        <w:kinsoku/>
        <w:wordWrap/>
        <w:overflowPunct w:val="0"/>
        <w:topLinePunct w:val="0"/>
        <w:autoSpaceDE/>
        <w:autoSpaceDN/>
        <w:bidi w:val="0"/>
        <w:adjustRightInd w:val="0"/>
        <w:spacing w:line="594"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w:t>
      </w: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年“三公”经费预算</w:t>
      </w:r>
      <w:r>
        <w:rPr>
          <w:rFonts w:hint="eastAsia" w:ascii="Times New Roman" w:hAnsi="Times New Roman" w:eastAsia="方正仿宋_GBK"/>
          <w:sz w:val="32"/>
          <w:szCs w:val="32"/>
          <w:lang w:val="en-US" w:eastAsia="zh-CN"/>
        </w:rPr>
        <w:t>95</w:t>
      </w:r>
      <w:r>
        <w:rPr>
          <w:rFonts w:ascii="Times New Roman" w:hAnsi="Times New Roman" w:eastAsia="方正仿宋_GBK"/>
          <w:sz w:val="32"/>
          <w:szCs w:val="32"/>
        </w:rPr>
        <w:t>万元，比202</w:t>
      </w: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年</w:t>
      </w:r>
      <w:r>
        <w:rPr>
          <w:rFonts w:hint="eastAsia" w:ascii="Times New Roman" w:hAnsi="Times New Roman" w:eastAsia="方正仿宋_GBK"/>
          <w:sz w:val="32"/>
          <w:szCs w:val="32"/>
          <w:lang w:eastAsia="zh-CN"/>
        </w:rPr>
        <w:t>增加</w:t>
      </w:r>
      <w:r>
        <w:rPr>
          <w:rFonts w:hint="eastAsia" w:ascii="Times New Roman" w:hAnsi="Times New Roman" w:eastAsia="方正仿宋_GBK"/>
          <w:sz w:val="32"/>
          <w:szCs w:val="32"/>
          <w:lang w:val="en-US" w:eastAsia="zh-CN"/>
        </w:rPr>
        <w:t>3.51</w:t>
      </w:r>
      <w:r>
        <w:rPr>
          <w:rFonts w:ascii="Times New Roman" w:hAnsi="Times New Roman" w:eastAsia="方正仿宋_GBK"/>
          <w:sz w:val="32"/>
          <w:szCs w:val="32"/>
        </w:rPr>
        <w:t>万元。其中：因公出国（境）费用0万元，比202</w:t>
      </w: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年减少</w:t>
      </w:r>
      <w:r>
        <w:rPr>
          <w:rFonts w:hint="eastAsia" w:ascii="Times New Roman" w:hAnsi="Times New Roman" w:eastAsia="方正仿宋_GBK"/>
          <w:sz w:val="32"/>
          <w:szCs w:val="32"/>
          <w:lang w:val="en-US" w:eastAsia="zh-CN"/>
        </w:rPr>
        <w:t>0</w:t>
      </w:r>
      <w:r>
        <w:rPr>
          <w:rFonts w:ascii="Times New Roman" w:hAnsi="Times New Roman" w:eastAsia="方正仿宋_GBK"/>
          <w:sz w:val="32"/>
          <w:szCs w:val="32"/>
        </w:rPr>
        <w:t>万元；公务接待费</w:t>
      </w: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万元，比202</w:t>
      </w: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年减少</w:t>
      </w:r>
      <w:r>
        <w:rPr>
          <w:rFonts w:hint="eastAsia" w:ascii="Times New Roman" w:hAnsi="Times New Roman" w:eastAsia="方正仿宋_GBK"/>
          <w:sz w:val="32"/>
          <w:szCs w:val="32"/>
          <w:lang w:val="en-US" w:eastAsia="zh-CN"/>
        </w:rPr>
        <w:t>0</w:t>
      </w:r>
      <w:r>
        <w:rPr>
          <w:rFonts w:ascii="Times New Roman" w:hAnsi="Times New Roman" w:eastAsia="方正仿宋_GBK"/>
          <w:sz w:val="32"/>
          <w:szCs w:val="32"/>
        </w:rPr>
        <w:t>万元；公务用车运行维护费</w:t>
      </w:r>
      <w:r>
        <w:rPr>
          <w:rFonts w:hint="eastAsia" w:ascii="Times New Roman" w:hAnsi="Times New Roman" w:eastAsia="方正仿宋_GBK"/>
          <w:sz w:val="32"/>
          <w:szCs w:val="32"/>
          <w:lang w:val="en-US" w:eastAsia="zh-CN"/>
        </w:rPr>
        <w:t>40.00</w:t>
      </w:r>
      <w:r>
        <w:rPr>
          <w:rFonts w:ascii="Times New Roman" w:hAnsi="Times New Roman" w:eastAsia="方正仿宋_GBK"/>
          <w:sz w:val="32"/>
          <w:szCs w:val="32"/>
        </w:rPr>
        <w:t>万元，比202</w:t>
      </w: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年</w:t>
      </w:r>
      <w:r>
        <w:rPr>
          <w:rFonts w:hint="eastAsia" w:ascii="Times New Roman" w:hAnsi="Times New Roman" w:eastAsia="方正仿宋_GBK"/>
          <w:sz w:val="32"/>
          <w:szCs w:val="32"/>
          <w:lang w:eastAsia="zh-CN"/>
        </w:rPr>
        <w:t>减少</w:t>
      </w:r>
      <w:r>
        <w:rPr>
          <w:rFonts w:hint="eastAsia" w:ascii="Times New Roman" w:hAnsi="Times New Roman" w:eastAsia="方正仿宋_GBK"/>
          <w:sz w:val="32"/>
          <w:szCs w:val="32"/>
          <w:lang w:val="en-US" w:eastAsia="zh-CN"/>
        </w:rPr>
        <w:t>2万元</w:t>
      </w:r>
      <w:r>
        <w:rPr>
          <w:rFonts w:ascii="Times New Roman" w:hAnsi="Times New Roman" w:eastAsia="方正仿宋_GBK"/>
          <w:sz w:val="32"/>
          <w:szCs w:val="32"/>
        </w:rPr>
        <w:t>，公务用车购置费</w:t>
      </w:r>
      <w:r>
        <w:rPr>
          <w:rFonts w:hint="eastAsia" w:ascii="Times New Roman" w:hAnsi="Times New Roman" w:eastAsia="方正仿宋_GBK"/>
          <w:sz w:val="32"/>
          <w:szCs w:val="32"/>
          <w:lang w:val="en-US" w:eastAsia="zh-CN"/>
        </w:rPr>
        <w:t>50.00</w:t>
      </w:r>
      <w:r>
        <w:rPr>
          <w:rFonts w:ascii="Times New Roman" w:hAnsi="Times New Roman" w:eastAsia="方正仿宋_GBK"/>
          <w:sz w:val="32"/>
          <w:szCs w:val="32"/>
        </w:rPr>
        <w:t>万元，比202</w:t>
      </w: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年</w:t>
      </w:r>
      <w:r>
        <w:rPr>
          <w:rFonts w:hint="eastAsia" w:ascii="Times New Roman" w:hAnsi="Times New Roman" w:eastAsia="方正仿宋_GBK"/>
          <w:sz w:val="32"/>
          <w:szCs w:val="32"/>
          <w:lang w:eastAsia="zh-CN"/>
        </w:rPr>
        <w:t>增加</w:t>
      </w:r>
      <w:r>
        <w:rPr>
          <w:rFonts w:hint="eastAsia" w:ascii="Times New Roman" w:hAnsi="Times New Roman" w:eastAsia="方正仿宋_GBK"/>
          <w:sz w:val="32"/>
          <w:szCs w:val="32"/>
          <w:lang w:val="en-US" w:eastAsia="zh-CN"/>
        </w:rPr>
        <w:t>5.51万元</w:t>
      </w:r>
      <w:r>
        <w:rPr>
          <w:rFonts w:ascii="Times New Roman" w:hAnsi="Times New Roman" w:eastAsia="方正仿宋_GBK"/>
          <w:sz w:val="32"/>
          <w:szCs w:val="32"/>
        </w:rPr>
        <w:t>。</w:t>
      </w:r>
    </w:p>
    <w:p>
      <w:pPr>
        <w:keepNext w:val="0"/>
        <w:keepLines w:val="0"/>
        <w:pageBreakBefore w:val="0"/>
        <w:kinsoku/>
        <w:wordWrap/>
        <w:topLinePunct w:val="0"/>
        <w:autoSpaceDE/>
        <w:autoSpaceDN/>
        <w:bidi w:val="0"/>
        <w:adjustRightInd w:val="0"/>
        <w:spacing w:line="594" w:lineRule="exact"/>
        <w:ind w:firstLine="640" w:firstLineChars="200"/>
        <w:rPr>
          <w:rFonts w:hint="default" w:ascii="Times New Roman" w:hAnsi="Times New Roman" w:eastAsia="方正黑体_GBK"/>
          <w:sz w:val="32"/>
          <w:szCs w:val="32"/>
          <w:lang w:val="en-US" w:eastAsia="zh-CN"/>
        </w:rPr>
      </w:pPr>
      <w:r>
        <w:rPr>
          <w:rFonts w:ascii="Times New Roman" w:hAnsi="Times New Roman" w:eastAsia="方正黑体_GBK"/>
          <w:sz w:val="32"/>
          <w:szCs w:val="32"/>
        </w:rPr>
        <w:t>五、</w:t>
      </w:r>
      <w:r>
        <w:rPr>
          <w:rFonts w:hint="eastAsia" w:ascii="Times New Roman" w:hAnsi="Times New Roman" w:eastAsia="方正黑体_GBK"/>
          <w:sz w:val="32"/>
          <w:szCs w:val="32"/>
          <w:lang w:val="en-US" w:eastAsia="zh-CN"/>
        </w:rPr>
        <w:t>委托业务费情况说明</w:t>
      </w:r>
    </w:p>
    <w:p>
      <w:pPr>
        <w:keepNext w:val="0"/>
        <w:keepLines w:val="0"/>
        <w:pageBreakBefore w:val="0"/>
        <w:kinsoku/>
        <w:wordWrap/>
        <w:overflowPunct w:val="0"/>
        <w:topLinePunct w:val="0"/>
        <w:autoSpaceDE/>
        <w:autoSpaceDN/>
        <w:bidi w:val="0"/>
        <w:adjustRightInd w:val="0"/>
        <w:spacing w:line="594"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w:t>
      </w: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年</w:t>
      </w:r>
      <w:r>
        <w:rPr>
          <w:rFonts w:hint="eastAsia" w:ascii="Times New Roman" w:hAnsi="Times New Roman" w:eastAsia="方正仿宋_GBK"/>
          <w:sz w:val="32"/>
          <w:szCs w:val="32"/>
          <w:lang w:val="en-US" w:eastAsia="zh-CN"/>
        </w:rPr>
        <w:t>委托业务费</w:t>
      </w:r>
      <w:r>
        <w:rPr>
          <w:rFonts w:ascii="Times New Roman" w:hAnsi="Times New Roman" w:eastAsia="方正仿宋_GBK"/>
          <w:sz w:val="32"/>
          <w:szCs w:val="32"/>
        </w:rPr>
        <w:t>预算</w:t>
      </w:r>
      <w:r>
        <w:rPr>
          <w:rFonts w:hint="eastAsia" w:ascii="Times New Roman" w:hAnsi="Times New Roman" w:eastAsia="方正仿宋_GBK"/>
          <w:sz w:val="32"/>
          <w:szCs w:val="32"/>
          <w:lang w:val="en-US" w:eastAsia="zh-CN"/>
        </w:rPr>
        <w:t>0</w:t>
      </w:r>
      <w:r>
        <w:rPr>
          <w:rFonts w:ascii="Times New Roman" w:hAnsi="Times New Roman" w:eastAsia="方正仿宋_GBK"/>
          <w:sz w:val="32"/>
          <w:szCs w:val="32"/>
        </w:rPr>
        <w:t>万元，比202</w:t>
      </w: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年减少</w:t>
      </w:r>
      <w:r>
        <w:rPr>
          <w:rFonts w:hint="eastAsia" w:ascii="Times New Roman" w:hAnsi="Times New Roman" w:eastAsia="方正仿宋_GBK"/>
          <w:sz w:val="32"/>
          <w:szCs w:val="32"/>
          <w:lang w:val="en-US" w:eastAsia="zh-CN"/>
        </w:rPr>
        <w:t>0</w:t>
      </w:r>
      <w:r>
        <w:rPr>
          <w:rFonts w:ascii="Times New Roman" w:hAnsi="Times New Roman" w:eastAsia="方正仿宋_GBK"/>
          <w:sz w:val="32"/>
          <w:szCs w:val="32"/>
        </w:rPr>
        <w:t>万元。其中：</w:t>
      </w:r>
      <w:r>
        <w:rPr>
          <w:rFonts w:hint="eastAsia" w:ascii="Times New Roman" w:hAnsi="Times New Roman" w:eastAsia="方正仿宋_GBK"/>
          <w:sz w:val="32"/>
          <w:szCs w:val="32"/>
          <w:lang w:val="en-US" w:eastAsia="zh-CN"/>
        </w:rPr>
        <w:t>基本支出0</w:t>
      </w:r>
      <w:r>
        <w:rPr>
          <w:rFonts w:ascii="Times New Roman" w:hAnsi="Times New Roman" w:eastAsia="方正仿宋_GBK"/>
          <w:sz w:val="32"/>
          <w:szCs w:val="32"/>
        </w:rPr>
        <w:t>万元，比202</w:t>
      </w: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年减少0万元；</w:t>
      </w:r>
      <w:r>
        <w:rPr>
          <w:rFonts w:hint="eastAsia" w:ascii="Times New Roman" w:hAnsi="Times New Roman" w:eastAsia="方正仿宋_GBK"/>
          <w:sz w:val="32"/>
          <w:szCs w:val="32"/>
          <w:lang w:val="en-US" w:eastAsia="zh-CN"/>
        </w:rPr>
        <w:t>项目支出0</w:t>
      </w:r>
      <w:r>
        <w:rPr>
          <w:rFonts w:ascii="Times New Roman" w:hAnsi="Times New Roman" w:eastAsia="方正仿宋_GBK"/>
          <w:sz w:val="32"/>
          <w:szCs w:val="32"/>
        </w:rPr>
        <w:t>万元，比202</w:t>
      </w: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年减少</w:t>
      </w:r>
      <w:r>
        <w:rPr>
          <w:rFonts w:hint="eastAsia" w:ascii="Times New Roman" w:hAnsi="Times New Roman" w:eastAsia="方正仿宋_GBK"/>
          <w:sz w:val="32"/>
          <w:szCs w:val="32"/>
          <w:lang w:val="en-US" w:eastAsia="zh-CN"/>
        </w:rPr>
        <w:t>0</w:t>
      </w:r>
      <w:r>
        <w:rPr>
          <w:rFonts w:ascii="Times New Roman" w:hAnsi="Times New Roman" w:eastAsia="方正仿宋_GBK"/>
          <w:sz w:val="32"/>
          <w:szCs w:val="32"/>
        </w:rPr>
        <w:t>万元。</w:t>
      </w:r>
    </w:p>
    <w:p>
      <w:pPr>
        <w:keepNext w:val="0"/>
        <w:keepLines w:val="0"/>
        <w:pageBreakBefore w:val="0"/>
        <w:kinsoku/>
        <w:wordWrap/>
        <w:topLinePunct w:val="0"/>
        <w:autoSpaceDE/>
        <w:autoSpaceDN/>
        <w:bidi w:val="0"/>
        <w:adjustRightInd w:val="0"/>
        <w:spacing w:line="594"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lang w:val="en-US" w:eastAsia="zh-CN"/>
        </w:rPr>
        <w:t>六</w:t>
      </w:r>
      <w:r>
        <w:rPr>
          <w:rFonts w:ascii="Times New Roman" w:hAnsi="Times New Roman" w:eastAsia="方正黑体_GBK"/>
          <w:sz w:val="32"/>
          <w:szCs w:val="32"/>
        </w:rPr>
        <w:t>、其他重要事项的情况说明</w:t>
      </w:r>
    </w:p>
    <w:p>
      <w:pPr>
        <w:keepNext w:val="0"/>
        <w:keepLines w:val="0"/>
        <w:pageBreakBefore w:val="0"/>
        <w:kinsoku/>
        <w:wordWrap/>
        <w:topLinePunct w:val="0"/>
        <w:autoSpaceDE/>
        <w:autoSpaceDN/>
        <w:bidi w:val="0"/>
        <w:adjustRightInd w:val="0"/>
        <w:spacing w:line="594"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楷体_GBK" w:cs="方正楷体_GBK"/>
          <w:b w:val="0"/>
          <w:bCs w:val="0"/>
          <w:kern w:val="2"/>
          <w:sz w:val="32"/>
          <w:szCs w:val="32"/>
          <w:lang w:val="en-US" w:eastAsia="zh-CN" w:bidi="ar-SA"/>
        </w:rPr>
        <w:t>（一）机关运行经费</w:t>
      </w:r>
      <w:r>
        <w:rPr>
          <w:rFonts w:ascii="Times New Roman" w:hAnsi="Times New Roman" w:eastAsia="方正仿宋_GBK"/>
          <w:sz w:val="32"/>
          <w:szCs w:val="32"/>
        </w:rPr>
        <w:t>。202</w:t>
      </w: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年一般公共预算财政拨款运行经费</w:t>
      </w:r>
      <w:r>
        <w:rPr>
          <w:rFonts w:hint="eastAsia" w:ascii="Times New Roman" w:hAnsi="Times New Roman" w:eastAsia="方正仿宋_GBK"/>
          <w:sz w:val="32"/>
          <w:szCs w:val="32"/>
          <w:lang w:val="en-US" w:eastAsia="zh-CN"/>
        </w:rPr>
        <w:t>383.36</w:t>
      </w:r>
      <w:r>
        <w:rPr>
          <w:rFonts w:ascii="Times New Roman" w:hAnsi="Times New Roman" w:eastAsia="方正仿宋_GBK"/>
          <w:sz w:val="32"/>
          <w:szCs w:val="32"/>
        </w:rPr>
        <w:t>万元，比上年</w:t>
      </w:r>
      <w:r>
        <w:rPr>
          <w:rFonts w:hint="eastAsia" w:ascii="Times New Roman" w:hAnsi="Times New Roman" w:eastAsia="方正仿宋_GBK"/>
          <w:sz w:val="32"/>
          <w:szCs w:val="32"/>
          <w:lang w:eastAsia="zh-CN"/>
        </w:rPr>
        <w:t>增加</w:t>
      </w:r>
      <w:r>
        <w:rPr>
          <w:rFonts w:hint="eastAsia" w:ascii="Times New Roman" w:hAnsi="Times New Roman" w:eastAsia="方正仿宋_GBK"/>
          <w:sz w:val="32"/>
          <w:szCs w:val="32"/>
          <w:lang w:val="en-US" w:eastAsia="zh-CN"/>
        </w:rPr>
        <w:t>18.15</w:t>
      </w:r>
      <w:r>
        <w:rPr>
          <w:rFonts w:ascii="Times New Roman" w:hAnsi="Times New Roman" w:eastAsia="方正仿宋_GBK"/>
          <w:sz w:val="32"/>
          <w:szCs w:val="32"/>
        </w:rPr>
        <w:t>万元，</w:t>
      </w:r>
      <w:r>
        <w:rPr>
          <w:rFonts w:hint="eastAsia" w:ascii="Times New Roman" w:hAnsi="Times New Roman" w:eastAsia="方正仿宋_GBK" w:cs="方正仿宋_GBK"/>
          <w:sz w:val="32"/>
          <w:szCs w:val="32"/>
        </w:rPr>
        <w:t>主要原因是</w:t>
      </w:r>
      <w:r>
        <w:rPr>
          <w:rFonts w:hint="eastAsia" w:ascii="Times New Roman" w:hAnsi="Times New Roman" w:eastAsia="方正仿宋_GBK" w:cs="方正仿宋_GBK"/>
          <w:sz w:val="32"/>
          <w:szCs w:val="32"/>
          <w:lang w:eastAsia="zh-CN"/>
        </w:rPr>
        <w:t>预算</w:t>
      </w:r>
      <w:r>
        <w:rPr>
          <w:rFonts w:hint="eastAsia" w:ascii="Times New Roman" w:hAnsi="Times New Roman" w:eastAsia="方正仿宋_GBK" w:cs="方正仿宋_GBK"/>
          <w:sz w:val="32"/>
          <w:szCs w:val="32"/>
        </w:rPr>
        <w:t>人</w:t>
      </w:r>
      <w:r>
        <w:rPr>
          <w:rFonts w:hint="eastAsia" w:ascii="Times New Roman" w:hAnsi="Times New Roman" w:eastAsia="方正仿宋_GBK" w:cs="方正仿宋_GBK"/>
          <w:sz w:val="32"/>
          <w:szCs w:val="32"/>
          <w:lang w:eastAsia="zh-CN"/>
        </w:rPr>
        <w:t>数增加</w:t>
      </w:r>
      <w:r>
        <w:rPr>
          <w:rFonts w:hint="eastAsia" w:ascii="Times New Roman" w:hAnsi="Times New Roman" w:eastAsia="方正仿宋_GBK" w:cs="方正仿宋_GBK"/>
          <w:sz w:val="32"/>
          <w:szCs w:val="32"/>
          <w:lang w:val="en-US" w:eastAsia="zh-CN"/>
        </w:rPr>
        <w:t>4人，</w:t>
      </w:r>
      <w:r>
        <w:rPr>
          <w:rFonts w:hint="eastAsia" w:ascii="Times New Roman" w:hAnsi="Times New Roman" w:eastAsia="方正仿宋_GBK" w:cs="方正仿宋_GBK"/>
          <w:sz w:val="32"/>
          <w:szCs w:val="32"/>
          <w:lang w:eastAsia="zh-CN"/>
        </w:rPr>
        <w:t>导致</w:t>
      </w:r>
      <w:r>
        <w:rPr>
          <w:rFonts w:hint="eastAsia" w:ascii="Times New Roman" w:hAnsi="Times New Roman" w:eastAsia="方正仿宋_GBK" w:cs="方正仿宋_GBK"/>
          <w:sz w:val="32"/>
          <w:szCs w:val="32"/>
        </w:rPr>
        <w:t>公用经费</w:t>
      </w:r>
      <w:r>
        <w:rPr>
          <w:rFonts w:hint="eastAsia" w:ascii="Times New Roman" w:hAnsi="Times New Roman" w:eastAsia="方正仿宋_GBK" w:cs="方正仿宋_GBK"/>
          <w:sz w:val="32"/>
          <w:szCs w:val="32"/>
          <w:lang w:eastAsia="zh-CN"/>
        </w:rPr>
        <w:t>及按工资收入计提的三费增加</w:t>
      </w:r>
      <w:r>
        <w:rPr>
          <w:rFonts w:hint="eastAsia" w:ascii="Times New Roman" w:hAnsi="Times New Roman" w:eastAsia="方正仿宋_GBK" w:cs="方正仿宋_GBK"/>
          <w:sz w:val="32"/>
          <w:szCs w:val="32"/>
        </w:rPr>
        <w:t>。机关运行经费主要用于办公费、印刷费、邮电费、水电费、物管费、差旅费、会议费、培训费及其他商品和服务支出等。</w:t>
      </w:r>
    </w:p>
    <w:p>
      <w:pPr>
        <w:keepNext w:val="0"/>
        <w:keepLines w:val="0"/>
        <w:pageBreakBefore w:val="0"/>
        <w:kinsoku/>
        <w:wordWrap/>
        <w:topLinePunct w:val="0"/>
        <w:autoSpaceDE/>
        <w:autoSpaceDN/>
        <w:bidi w:val="0"/>
        <w:adjustRightInd w:val="0"/>
        <w:spacing w:line="594" w:lineRule="exact"/>
        <w:ind w:firstLine="640" w:firstLineChars="200"/>
        <w:rPr>
          <w:rFonts w:ascii="Times New Roman" w:hAnsi="Times New Roman" w:eastAsia="方正仿宋_GBK"/>
          <w:sz w:val="32"/>
          <w:szCs w:val="32"/>
        </w:rPr>
      </w:pPr>
      <w:r>
        <w:rPr>
          <w:rFonts w:hint="eastAsia" w:ascii="Times New Roman" w:hAnsi="Times New Roman" w:eastAsia="方正楷体_GBK" w:cs="方正楷体_GBK"/>
          <w:b w:val="0"/>
          <w:bCs w:val="0"/>
          <w:kern w:val="2"/>
          <w:sz w:val="32"/>
          <w:szCs w:val="32"/>
          <w:lang w:val="en-US" w:eastAsia="zh-CN" w:bidi="ar-SA"/>
        </w:rPr>
        <w:t>（二）政府采购情况</w:t>
      </w:r>
      <w:r>
        <w:rPr>
          <w:rFonts w:ascii="Times New Roman" w:hAnsi="Times New Roman" w:eastAsia="方正仿宋_GBK"/>
          <w:sz w:val="32"/>
          <w:szCs w:val="32"/>
        </w:rPr>
        <w:t>。</w:t>
      </w:r>
      <w:r>
        <w:rPr>
          <w:rFonts w:hint="eastAsia" w:ascii="Times New Roman" w:hAnsi="Times New Roman" w:eastAsia="方正仿宋_GBK" w:cs="方正仿宋_GBK"/>
          <w:kern w:val="2"/>
          <w:sz w:val="32"/>
          <w:szCs w:val="32"/>
        </w:rPr>
        <w:t>202</w:t>
      </w:r>
      <w:r>
        <w:rPr>
          <w:rFonts w:hint="eastAsia" w:ascii="Times New Roman" w:hAnsi="Times New Roman" w:eastAsia="方正仿宋_GBK" w:cs="方正仿宋_GBK"/>
          <w:kern w:val="2"/>
          <w:sz w:val="32"/>
          <w:szCs w:val="32"/>
          <w:lang w:val="en-US" w:eastAsia="zh-CN"/>
        </w:rPr>
        <w:t>6</w:t>
      </w:r>
      <w:r>
        <w:rPr>
          <w:rFonts w:hint="eastAsia" w:ascii="Times New Roman" w:hAnsi="Times New Roman" w:eastAsia="方正仿宋_GBK" w:cs="方正仿宋_GBK"/>
          <w:kern w:val="2"/>
          <w:sz w:val="32"/>
          <w:szCs w:val="32"/>
        </w:rPr>
        <w:t>年单位政府采购预算总额</w:t>
      </w:r>
      <w:r>
        <w:rPr>
          <w:rFonts w:hint="eastAsia" w:ascii="Times New Roman" w:hAnsi="Times New Roman" w:eastAsia="方正仿宋_GBK" w:cs="方正仿宋_GBK"/>
          <w:sz w:val="32"/>
          <w:szCs w:val="32"/>
          <w:lang w:val="en-US" w:eastAsia="zh-CN"/>
        </w:rPr>
        <w:t>40.00</w:t>
      </w:r>
      <w:r>
        <w:rPr>
          <w:rFonts w:hint="eastAsia" w:ascii="Times New Roman" w:hAnsi="Times New Roman" w:eastAsia="方正仿宋_GBK" w:cs="方正仿宋_GBK"/>
          <w:sz w:val="32"/>
          <w:szCs w:val="32"/>
        </w:rPr>
        <w:t>万元：政府采购货物预算</w:t>
      </w:r>
      <w:r>
        <w:rPr>
          <w:rFonts w:hint="eastAsia" w:ascii="Times New Roman" w:hAnsi="Times New Roman" w:eastAsia="方正仿宋_GBK" w:cs="方正仿宋_GBK"/>
          <w:sz w:val="32"/>
          <w:szCs w:val="32"/>
          <w:lang w:val="en-US" w:eastAsia="zh-CN"/>
        </w:rPr>
        <w:t>25.00</w:t>
      </w:r>
      <w:r>
        <w:rPr>
          <w:rFonts w:hint="eastAsia" w:ascii="Times New Roman" w:hAnsi="Times New Roman" w:eastAsia="方正仿宋_GBK" w:cs="方正仿宋_GBK"/>
          <w:sz w:val="32"/>
          <w:szCs w:val="32"/>
        </w:rPr>
        <w:t>万元、政府采购工程预算</w:t>
      </w:r>
      <w:r>
        <w:rPr>
          <w:rFonts w:hint="eastAsia" w:ascii="Times New Roman" w:hAnsi="Times New Roman" w:eastAsia="方正仿宋_GBK" w:cs="方正仿宋_GBK"/>
          <w:sz w:val="32"/>
          <w:szCs w:val="32"/>
          <w:lang w:val="en-US" w:eastAsia="zh-CN"/>
        </w:rPr>
        <w:t>0</w:t>
      </w:r>
      <w:r>
        <w:rPr>
          <w:rFonts w:hint="eastAsia" w:ascii="Times New Roman" w:hAnsi="Times New Roman" w:eastAsia="方正仿宋_GBK" w:cs="方正仿宋_GBK"/>
          <w:sz w:val="32"/>
          <w:szCs w:val="32"/>
        </w:rPr>
        <w:t>万元、政府采购服务预算</w:t>
      </w:r>
      <w:r>
        <w:rPr>
          <w:rFonts w:hint="eastAsia" w:ascii="Times New Roman" w:hAnsi="Times New Roman" w:eastAsia="方正仿宋_GBK" w:cs="方正仿宋_GBK"/>
          <w:sz w:val="32"/>
          <w:szCs w:val="32"/>
          <w:lang w:val="en-US" w:eastAsia="zh-CN"/>
        </w:rPr>
        <w:t>15.00</w:t>
      </w:r>
      <w:r>
        <w:rPr>
          <w:rFonts w:hint="eastAsia" w:ascii="Times New Roman" w:hAnsi="Times New Roman" w:eastAsia="方正仿宋_GBK" w:cs="方正仿宋_GBK"/>
          <w:sz w:val="32"/>
          <w:szCs w:val="32"/>
        </w:rPr>
        <w:t>万元；其中一般公共预算拨款政府采购</w:t>
      </w:r>
      <w:r>
        <w:rPr>
          <w:rFonts w:hint="eastAsia" w:ascii="Times New Roman" w:hAnsi="Times New Roman" w:eastAsia="方正仿宋_GBK" w:cs="方正仿宋_GBK"/>
          <w:sz w:val="32"/>
          <w:szCs w:val="32"/>
          <w:lang w:val="en-US" w:eastAsia="zh-CN"/>
        </w:rPr>
        <w:t>40.00</w:t>
      </w:r>
      <w:r>
        <w:rPr>
          <w:rFonts w:hint="eastAsia" w:ascii="Times New Roman" w:hAnsi="Times New Roman" w:eastAsia="方正仿宋_GBK" w:cs="方正仿宋_GBK"/>
          <w:sz w:val="32"/>
          <w:szCs w:val="32"/>
        </w:rPr>
        <w:t>万元：政府采购货物预算</w:t>
      </w:r>
      <w:r>
        <w:rPr>
          <w:rFonts w:hint="eastAsia" w:ascii="Times New Roman" w:hAnsi="Times New Roman" w:eastAsia="方正仿宋_GBK" w:cs="方正仿宋_GBK"/>
          <w:sz w:val="32"/>
          <w:szCs w:val="32"/>
          <w:lang w:val="en-US" w:eastAsia="zh-CN"/>
        </w:rPr>
        <w:t>25.00</w:t>
      </w:r>
      <w:r>
        <w:rPr>
          <w:rFonts w:hint="eastAsia" w:ascii="Times New Roman" w:hAnsi="Times New Roman" w:eastAsia="方正仿宋_GBK" w:cs="方正仿宋_GBK"/>
          <w:sz w:val="32"/>
          <w:szCs w:val="32"/>
        </w:rPr>
        <w:t>万元、政府采购工程预算</w:t>
      </w:r>
      <w:r>
        <w:rPr>
          <w:rFonts w:hint="eastAsia" w:ascii="Times New Roman" w:hAnsi="Times New Roman" w:eastAsia="方正仿宋_GBK" w:cs="方正仿宋_GBK"/>
          <w:sz w:val="32"/>
          <w:szCs w:val="32"/>
          <w:lang w:val="en-US" w:eastAsia="zh-CN"/>
        </w:rPr>
        <w:t>0</w:t>
      </w:r>
      <w:r>
        <w:rPr>
          <w:rFonts w:hint="eastAsia" w:ascii="Times New Roman" w:hAnsi="Times New Roman" w:eastAsia="方正仿宋_GBK" w:cs="方正仿宋_GBK"/>
          <w:sz w:val="32"/>
          <w:szCs w:val="32"/>
        </w:rPr>
        <w:t>万元、政府采购服务预算</w:t>
      </w:r>
      <w:r>
        <w:rPr>
          <w:rFonts w:hint="eastAsia" w:ascii="Times New Roman" w:hAnsi="Times New Roman" w:eastAsia="方正仿宋_GBK" w:cs="方正仿宋_GBK"/>
          <w:sz w:val="32"/>
          <w:szCs w:val="32"/>
          <w:lang w:val="en-US" w:eastAsia="zh-CN"/>
        </w:rPr>
        <w:t>15.00</w:t>
      </w:r>
      <w:r>
        <w:rPr>
          <w:rFonts w:hint="eastAsia" w:ascii="Times New Roman" w:hAnsi="Times New Roman" w:eastAsia="方正仿宋_GBK" w:cs="方正仿宋_GBK"/>
          <w:sz w:val="32"/>
          <w:szCs w:val="32"/>
        </w:rPr>
        <w:t>万元。</w:t>
      </w:r>
    </w:p>
    <w:p>
      <w:pPr>
        <w:keepNext w:val="0"/>
        <w:keepLines w:val="0"/>
        <w:pageBreakBefore w:val="0"/>
        <w:kinsoku/>
        <w:wordWrap/>
        <w:topLinePunct w:val="0"/>
        <w:autoSpaceDE/>
        <w:autoSpaceDN/>
        <w:bidi w:val="0"/>
        <w:adjustRightInd w:val="0"/>
        <w:spacing w:line="594" w:lineRule="exact"/>
        <w:ind w:firstLine="640" w:firstLineChars="200"/>
        <w:rPr>
          <w:rFonts w:ascii="Times New Roman" w:hAnsi="Times New Roman" w:eastAsia="方正仿宋_GBK"/>
          <w:sz w:val="32"/>
          <w:szCs w:val="32"/>
        </w:rPr>
      </w:pPr>
      <w:r>
        <w:rPr>
          <w:rFonts w:hint="eastAsia" w:ascii="Times New Roman" w:hAnsi="Times New Roman" w:eastAsia="方正楷体_GBK" w:cs="方正楷体_GBK"/>
          <w:b w:val="0"/>
          <w:bCs w:val="0"/>
          <w:kern w:val="2"/>
          <w:sz w:val="32"/>
          <w:szCs w:val="32"/>
          <w:lang w:val="en-US" w:eastAsia="zh-CN" w:bidi="ar-SA"/>
        </w:rPr>
        <w:t>（三）绩效目标设置情况</w:t>
      </w:r>
      <w:r>
        <w:rPr>
          <w:rFonts w:ascii="Times New Roman" w:hAnsi="Times New Roman" w:eastAsia="方正仿宋_GBK"/>
          <w:sz w:val="32"/>
          <w:szCs w:val="32"/>
        </w:rPr>
        <w:t>。202</w:t>
      </w: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年项目支出均实行了绩效目标管理，涉及一般公共预算当年财政拨款</w:t>
      </w:r>
      <w:r>
        <w:rPr>
          <w:rFonts w:hint="eastAsia" w:ascii="Times New Roman" w:hAnsi="Times New Roman" w:eastAsia="方正仿宋_GBK"/>
          <w:sz w:val="32"/>
          <w:szCs w:val="32"/>
          <w:lang w:val="en-US" w:eastAsia="zh-CN"/>
        </w:rPr>
        <w:t>892.43</w:t>
      </w:r>
      <w:r>
        <w:rPr>
          <w:rFonts w:ascii="Times New Roman" w:hAnsi="Times New Roman" w:eastAsia="方正仿宋_GBK"/>
          <w:sz w:val="32"/>
          <w:szCs w:val="32"/>
        </w:rPr>
        <w:t>万元。</w:t>
      </w:r>
    </w:p>
    <w:p>
      <w:pPr>
        <w:keepNext w:val="0"/>
        <w:keepLines w:val="0"/>
        <w:pageBreakBefore w:val="0"/>
        <w:kinsoku/>
        <w:wordWrap/>
        <w:topLinePunct w:val="0"/>
        <w:autoSpaceDE/>
        <w:autoSpaceDN/>
        <w:bidi w:val="0"/>
        <w:adjustRightInd w:val="0"/>
        <w:spacing w:line="594"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楷体_GBK" w:cs="方正楷体_GBK"/>
          <w:b w:val="0"/>
          <w:bCs w:val="0"/>
          <w:kern w:val="2"/>
          <w:sz w:val="32"/>
          <w:szCs w:val="32"/>
          <w:lang w:val="en-US" w:eastAsia="zh-CN" w:bidi="ar-SA"/>
        </w:rPr>
        <w:t>（四）国有资产占有使用情况</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截</w:t>
      </w:r>
      <w:r>
        <w:rPr>
          <w:rFonts w:hint="eastAsia" w:ascii="Times New Roman" w:hAnsi="Times New Roman" w:eastAsia="方正仿宋_GBK"/>
          <w:sz w:val="32"/>
          <w:szCs w:val="32"/>
          <w:lang w:eastAsia="zh-CN"/>
        </w:rPr>
        <w:t>至</w:t>
      </w:r>
      <w:r>
        <w:rPr>
          <w:rFonts w:ascii="Times New Roman" w:hAnsi="Times New Roman" w:eastAsia="方正仿宋_GBK"/>
          <w:sz w:val="32"/>
          <w:szCs w:val="32"/>
        </w:rPr>
        <w:t>202</w:t>
      </w:r>
      <w:r>
        <w:rPr>
          <w:rFonts w:hint="eastAsia" w:ascii="Times New Roman" w:hAnsi="Times New Roman" w:eastAsia="方正仿宋_GBK"/>
          <w:sz w:val="32"/>
          <w:szCs w:val="32"/>
          <w:lang w:val="en-US" w:eastAsia="zh-CN"/>
        </w:rPr>
        <w:t>5</w:t>
      </w:r>
      <w:r>
        <w:rPr>
          <w:rFonts w:ascii="Times New Roman" w:hAnsi="Times New Roman" w:eastAsia="方正仿宋_GBK"/>
          <w:sz w:val="32"/>
          <w:szCs w:val="32"/>
        </w:rPr>
        <w:t>年12月，</w:t>
      </w:r>
      <w:r>
        <w:rPr>
          <w:rFonts w:hint="eastAsia" w:ascii="Times New Roman" w:hAnsi="Times New Roman" w:eastAsia="方正仿宋_GBK" w:cs="方正仿宋_GBK"/>
          <w:sz w:val="32"/>
          <w:szCs w:val="32"/>
        </w:rPr>
        <w:t>所属各预算单位共有车辆</w:t>
      </w:r>
      <w:r>
        <w:rPr>
          <w:rFonts w:hint="eastAsia" w:ascii="Times New Roman" w:hAnsi="Times New Roman" w:eastAsia="方正仿宋_GBK" w:cs="方正仿宋_GBK"/>
          <w:sz w:val="32"/>
          <w:szCs w:val="32"/>
          <w:lang w:val="en-US" w:eastAsia="zh-CN"/>
        </w:rPr>
        <w:t>11</w:t>
      </w:r>
      <w:r>
        <w:rPr>
          <w:rFonts w:hint="eastAsia" w:ascii="Times New Roman" w:hAnsi="Times New Roman" w:eastAsia="方正仿宋_GBK" w:cs="方正仿宋_GBK"/>
          <w:sz w:val="32"/>
          <w:szCs w:val="32"/>
        </w:rPr>
        <w:t>辆，其中一般公务用车</w:t>
      </w:r>
      <w:r>
        <w:rPr>
          <w:rFonts w:hint="eastAsia" w:ascii="Times New Roman" w:hAnsi="Times New Roman" w:eastAsia="方正仿宋_GBK" w:cs="方正仿宋_GBK"/>
          <w:sz w:val="32"/>
          <w:szCs w:val="32"/>
          <w:lang w:val="en-US" w:eastAsia="zh-CN"/>
        </w:rPr>
        <w:t>0</w:t>
      </w:r>
      <w:r>
        <w:rPr>
          <w:rFonts w:hint="eastAsia" w:ascii="Times New Roman" w:hAnsi="Times New Roman" w:eastAsia="方正仿宋_GBK" w:cs="方正仿宋_GBK"/>
          <w:sz w:val="32"/>
          <w:szCs w:val="32"/>
        </w:rPr>
        <w:t>辆、执勤执法用车</w:t>
      </w:r>
      <w:r>
        <w:rPr>
          <w:rFonts w:hint="eastAsia" w:ascii="Times New Roman" w:hAnsi="Times New Roman" w:eastAsia="方正仿宋_GBK" w:cs="方正仿宋_GBK"/>
          <w:sz w:val="32"/>
          <w:szCs w:val="32"/>
          <w:lang w:val="en-US" w:eastAsia="zh-CN"/>
        </w:rPr>
        <w:t>11</w:t>
      </w:r>
      <w:r>
        <w:rPr>
          <w:rFonts w:hint="eastAsia" w:ascii="Times New Roman" w:hAnsi="Times New Roman" w:eastAsia="方正仿宋_GBK" w:cs="方正仿宋_GBK"/>
          <w:sz w:val="32"/>
          <w:szCs w:val="32"/>
        </w:rPr>
        <w:t>辆、应急保障及特种车</w:t>
      </w:r>
      <w:r>
        <w:rPr>
          <w:rFonts w:hint="eastAsia" w:ascii="Times New Roman" w:hAnsi="Times New Roman" w:eastAsia="方正仿宋_GBK" w:cs="方正仿宋_GBK"/>
          <w:sz w:val="32"/>
          <w:szCs w:val="32"/>
          <w:lang w:val="en-US" w:eastAsia="zh-CN"/>
        </w:rPr>
        <w:t>0</w:t>
      </w:r>
      <w:r>
        <w:rPr>
          <w:rFonts w:hint="eastAsia" w:ascii="Times New Roman" w:hAnsi="Times New Roman" w:eastAsia="方正仿宋_GBK" w:cs="方正仿宋_GBK"/>
          <w:sz w:val="32"/>
          <w:szCs w:val="32"/>
        </w:rPr>
        <w:t>辆。</w:t>
      </w:r>
    </w:p>
    <w:p>
      <w:pPr>
        <w:keepNext w:val="0"/>
        <w:keepLines w:val="0"/>
        <w:pageBreakBefore w:val="0"/>
        <w:kinsoku/>
        <w:wordWrap/>
        <w:topLinePunct w:val="0"/>
        <w:autoSpaceDE/>
        <w:autoSpaceDN/>
        <w:bidi w:val="0"/>
        <w:adjustRightInd w:val="0"/>
        <w:spacing w:line="594"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lang w:val="en-US" w:eastAsia="zh-CN"/>
        </w:rPr>
        <w:t>七</w:t>
      </w:r>
      <w:r>
        <w:rPr>
          <w:rFonts w:ascii="Times New Roman" w:hAnsi="Times New Roman" w:eastAsia="方正黑体_GBK"/>
          <w:sz w:val="32"/>
          <w:szCs w:val="32"/>
        </w:rPr>
        <w:t>、专业性名词解释</w:t>
      </w:r>
    </w:p>
    <w:p>
      <w:pPr>
        <w:pStyle w:val="36"/>
        <w:keepNext w:val="0"/>
        <w:keepLines w:val="0"/>
        <w:pageBreakBefore w:val="0"/>
        <w:tabs>
          <w:tab w:val="center" w:pos="4153"/>
          <w:tab w:val="left" w:pos="7275"/>
        </w:tabs>
        <w:kinsoku/>
        <w:wordWrap/>
        <w:topLinePunct w:val="0"/>
        <w:autoSpaceDE/>
        <w:autoSpaceDN/>
        <w:bidi w:val="0"/>
        <w:adjustRightInd w:val="0"/>
        <w:spacing w:line="594" w:lineRule="exact"/>
        <w:ind w:firstLine="640" w:firstLineChars="200"/>
        <w:jc w:val="left"/>
        <w:rPr>
          <w:rFonts w:ascii="Times New Roman" w:hAnsi="Times New Roman" w:eastAsia="方正仿宋_GBK"/>
          <w:sz w:val="32"/>
          <w:szCs w:val="32"/>
        </w:rPr>
      </w:pPr>
      <w:r>
        <w:rPr>
          <w:rFonts w:hint="eastAsia" w:ascii="Times New Roman" w:hAnsi="Times New Roman" w:eastAsia="方正楷体_GBK" w:cs="方正楷体_GBK"/>
          <w:b w:val="0"/>
          <w:bCs w:val="0"/>
          <w:kern w:val="2"/>
          <w:sz w:val="32"/>
          <w:szCs w:val="32"/>
          <w:lang w:val="en-US" w:eastAsia="zh-CN" w:bidi="ar-SA"/>
        </w:rPr>
        <w:t>（一）财政拨款收入</w:t>
      </w:r>
      <w:r>
        <w:rPr>
          <w:rFonts w:ascii="Times New Roman" w:hAnsi="Times New Roman" w:eastAsia="方正仿宋_GBK"/>
          <w:sz w:val="32"/>
          <w:szCs w:val="32"/>
        </w:rPr>
        <w:t>：指本年度从本级财政部门取得的财政拨款，包括一般公共预算财政拨款和政府性基金预算财政拨款。</w:t>
      </w:r>
    </w:p>
    <w:p>
      <w:pPr>
        <w:pStyle w:val="36"/>
        <w:keepNext w:val="0"/>
        <w:keepLines w:val="0"/>
        <w:pageBreakBefore w:val="0"/>
        <w:tabs>
          <w:tab w:val="center" w:pos="4153"/>
          <w:tab w:val="left" w:pos="7275"/>
        </w:tabs>
        <w:kinsoku/>
        <w:wordWrap/>
        <w:topLinePunct w:val="0"/>
        <w:autoSpaceDE/>
        <w:autoSpaceDN/>
        <w:bidi w:val="0"/>
        <w:adjustRightInd w:val="0"/>
        <w:spacing w:line="594" w:lineRule="exact"/>
        <w:ind w:firstLine="640" w:firstLineChars="200"/>
        <w:jc w:val="left"/>
        <w:rPr>
          <w:rFonts w:ascii="Times New Roman" w:hAnsi="Times New Roman" w:eastAsia="方正仿宋_GBK"/>
          <w:sz w:val="32"/>
          <w:szCs w:val="32"/>
        </w:rPr>
      </w:pPr>
      <w:r>
        <w:rPr>
          <w:rFonts w:hint="eastAsia" w:ascii="Times New Roman" w:hAnsi="Times New Roman" w:eastAsia="方正楷体_GBK" w:cs="方正楷体_GBK"/>
          <w:b w:val="0"/>
          <w:bCs w:val="0"/>
          <w:kern w:val="2"/>
          <w:sz w:val="32"/>
          <w:szCs w:val="32"/>
          <w:lang w:val="en-US" w:eastAsia="zh-CN" w:bidi="ar-SA"/>
        </w:rPr>
        <w:t>（二）其他收入</w:t>
      </w:r>
      <w:r>
        <w:rPr>
          <w:rFonts w:ascii="Times New Roman" w:hAnsi="Times New Roman" w:eastAsia="方正仿宋_GBK"/>
          <w:sz w:val="32"/>
          <w:szCs w:val="32"/>
        </w:rPr>
        <w:t>：指单位取得的除“财政拨款收入”、“事业收入”、“经营收入”等以外的收入。</w:t>
      </w:r>
    </w:p>
    <w:p>
      <w:pPr>
        <w:pStyle w:val="36"/>
        <w:keepNext w:val="0"/>
        <w:keepLines w:val="0"/>
        <w:pageBreakBefore w:val="0"/>
        <w:tabs>
          <w:tab w:val="center" w:pos="4153"/>
          <w:tab w:val="left" w:pos="7275"/>
        </w:tabs>
        <w:kinsoku/>
        <w:wordWrap/>
        <w:topLinePunct w:val="0"/>
        <w:autoSpaceDE/>
        <w:autoSpaceDN/>
        <w:bidi w:val="0"/>
        <w:adjustRightInd w:val="0"/>
        <w:spacing w:line="594" w:lineRule="exact"/>
        <w:ind w:firstLine="640" w:firstLineChars="200"/>
        <w:jc w:val="left"/>
        <w:rPr>
          <w:rFonts w:ascii="Times New Roman" w:hAnsi="Times New Roman" w:eastAsia="方正仿宋_GBK"/>
          <w:sz w:val="32"/>
          <w:szCs w:val="32"/>
        </w:rPr>
      </w:pPr>
      <w:r>
        <w:rPr>
          <w:rFonts w:hint="eastAsia" w:ascii="Times New Roman" w:hAnsi="Times New Roman" w:eastAsia="方正楷体_GBK" w:cs="方正楷体_GBK"/>
          <w:b w:val="0"/>
          <w:bCs w:val="0"/>
          <w:kern w:val="2"/>
          <w:sz w:val="32"/>
          <w:szCs w:val="32"/>
          <w:lang w:val="en-US" w:eastAsia="zh-CN" w:bidi="ar-SA"/>
        </w:rPr>
        <w:t>（三）基本支出</w:t>
      </w:r>
      <w:r>
        <w:rPr>
          <w:rFonts w:ascii="Times New Roman" w:hAnsi="Times New Roman" w:eastAsia="方正仿宋_GBK"/>
          <w:sz w:val="32"/>
          <w:szCs w:val="32"/>
        </w:rPr>
        <w:t>：指为保障机构正常运转、完成日常工作任务而发生的人员经费和公用经费。</w:t>
      </w:r>
    </w:p>
    <w:p>
      <w:pPr>
        <w:pStyle w:val="36"/>
        <w:keepNext w:val="0"/>
        <w:keepLines w:val="0"/>
        <w:pageBreakBefore w:val="0"/>
        <w:tabs>
          <w:tab w:val="center" w:pos="4153"/>
          <w:tab w:val="left" w:pos="7275"/>
        </w:tabs>
        <w:kinsoku/>
        <w:wordWrap/>
        <w:topLinePunct w:val="0"/>
        <w:autoSpaceDE/>
        <w:autoSpaceDN/>
        <w:bidi w:val="0"/>
        <w:adjustRightInd w:val="0"/>
        <w:spacing w:line="594" w:lineRule="exact"/>
        <w:ind w:firstLine="640" w:firstLineChars="200"/>
        <w:jc w:val="left"/>
        <w:rPr>
          <w:rFonts w:ascii="Times New Roman" w:hAnsi="Times New Roman" w:eastAsia="方正仿宋_GBK"/>
          <w:sz w:val="32"/>
          <w:szCs w:val="32"/>
        </w:rPr>
      </w:pPr>
      <w:r>
        <w:rPr>
          <w:rFonts w:hint="eastAsia" w:ascii="Times New Roman" w:hAnsi="Times New Roman" w:eastAsia="方正楷体_GBK" w:cs="方正楷体_GBK"/>
          <w:b w:val="0"/>
          <w:bCs w:val="0"/>
          <w:kern w:val="2"/>
          <w:sz w:val="32"/>
          <w:szCs w:val="32"/>
          <w:lang w:val="en-US" w:eastAsia="zh-CN" w:bidi="ar-SA"/>
        </w:rPr>
        <w:t>（四）项目支出</w:t>
      </w:r>
      <w:r>
        <w:rPr>
          <w:rFonts w:ascii="Times New Roman" w:hAnsi="Times New Roman" w:eastAsia="方正仿宋_GBK"/>
          <w:sz w:val="32"/>
          <w:szCs w:val="32"/>
        </w:rPr>
        <w:t>：指在基本支出之外为完成特定行政任务和事业发展目标所发生的支出。</w:t>
      </w:r>
    </w:p>
    <w:p>
      <w:pPr>
        <w:keepNext w:val="0"/>
        <w:keepLines w:val="0"/>
        <w:pageBreakBefore w:val="0"/>
        <w:kinsoku/>
        <w:wordWrap/>
        <w:topLinePunct w:val="0"/>
        <w:autoSpaceDE/>
        <w:autoSpaceDN/>
        <w:bidi w:val="0"/>
        <w:adjustRightInd w:val="0"/>
        <w:spacing w:line="594" w:lineRule="exact"/>
        <w:ind w:firstLine="640" w:firstLineChars="200"/>
        <w:rPr>
          <w:rFonts w:ascii="Times New Roman" w:hAnsi="Times New Roman" w:eastAsia="方正仿宋_GBK"/>
          <w:sz w:val="32"/>
          <w:szCs w:val="32"/>
        </w:rPr>
      </w:pPr>
      <w:r>
        <w:rPr>
          <w:rFonts w:hint="eastAsia" w:ascii="Times New Roman" w:hAnsi="Times New Roman" w:eastAsia="方正楷体_GBK" w:cs="方正楷体_GBK"/>
          <w:b w:val="0"/>
          <w:bCs w:val="0"/>
          <w:sz w:val="32"/>
          <w:szCs w:val="32"/>
        </w:rPr>
        <w:t>（五）“三公”经费</w:t>
      </w:r>
      <w:r>
        <w:rPr>
          <w:rFonts w:ascii="Times New Roman" w:hAnsi="Times New Roman"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spacing w:line="600" w:lineRule="exact"/>
        <w:ind w:firstLine="707" w:firstLineChars="221"/>
        <w:rPr>
          <w:rFonts w:ascii="Times New Roman" w:hAnsi="Times New Roman" w:eastAsia="方正仿宋_GBK"/>
          <w:sz w:val="32"/>
          <w:szCs w:val="32"/>
        </w:rPr>
      </w:pPr>
    </w:p>
    <w:p>
      <w:pPr>
        <w:pStyle w:val="6"/>
        <w:spacing w:line="600" w:lineRule="exact"/>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rPr>
        <w:t>部门预算公开联系人：</w:t>
      </w:r>
      <w:r>
        <w:rPr>
          <w:rFonts w:hint="eastAsia" w:ascii="Times New Roman" w:hAnsi="Times New Roman" w:eastAsia="方正仿宋_GBK" w:cs="方正仿宋_GBK"/>
          <w:sz w:val="32"/>
          <w:szCs w:val="32"/>
          <w:lang w:eastAsia="zh-CN"/>
        </w:rPr>
        <w:t>王燕均</w:t>
      </w:r>
      <w:r>
        <w:rPr>
          <w:rFonts w:hint="eastAsia" w:ascii="Times New Roman" w:hAnsi="Times New Roman" w:eastAsia="方正仿宋_GBK" w:cs="方正仿宋_GBK"/>
          <w:sz w:val="32"/>
          <w:szCs w:val="32"/>
        </w:rPr>
        <w:t xml:space="preserve">                     联系方式：</w:t>
      </w:r>
      <w:r>
        <w:rPr>
          <w:rFonts w:hint="eastAsia" w:ascii="Times New Roman" w:hAnsi="Times New Roman" w:eastAsia="方正仿宋_GBK" w:cs="方正仿宋_GBK"/>
          <w:sz w:val="32"/>
          <w:szCs w:val="32"/>
          <w:lang w:val="en-US" w:eastAsia="zh-CN"/>
        </w:rPr>
        <w:t>023-44579663</w:t>
      </w:r>
    </w:p>
    <w:p>
      <w:pPr>
        <w:pStyle w:val="6"/>
        <w:spacing w:line="600" w:lineRule="exact"/>
        <w:rPr>
          <w:rFonts w:hint="eastAsia" w:ascii="Times New Roman" w:hAnsi="Times New Roman" w:eastAsia="方正仿宋_GBK" w:cs="方正仿宋_GBK"/>
          <w:sz w:val="32"/>
          <w:szCs w:val="32"/>
          <w:lang w:val="en-US" w:eastAsia="zh-CN"/>
        </w:rPr>
      </w:pPr>
    </w:p>
    <w:p>
      <w:pPr>
        <w:pStyle w:val="6"/>
        <w:spacing w:line="600" w:lineRule="exact"/>
        <w:rPr>
          <w:rFonts w:hint="eastAsia" w:ascii="Times New Roman" w:hAnsi="Times New Roman" w:eastAsia="方正仿宋_GBK" w:cs="方正仿宋_GBK"/>
          <w:sz w:val="32"/>
          <w:szCs w:val="32"/>
          <w:lang w:val="en-US" w:eastAsia="zh-CN"/>
        </w:rPr>
      </w:pPr>
    </w:p>
    <w:p>
      <w:pPr>
        <w:pStyle w:val="6"/>
        <w:spacing w:line="600" w:lineRule="exact"/>
        <w:rPr>
          <w:rFonts w:hint="eastAsia" w:ascii="Times New Roman" w:hAnsi="Times New Roman" w:eastAsia="方正仿宋_GBK" w:cs="方正仿宋_GBK"/>
          <w:sz w:val="32"/>
          <w:szCs w:val="32"/>
          <w:lang w:val="en-US" w:eastAsia="zh-CN"/>
        </w:rPr>
      </w:pPr>
    </w:p>
    <w:p>
      <w:pPr>
        <w:pStyle w:val="6"/>
        <w:spacing w:line="600" w:lineRule="exact"/>
        <w:rPr>
          <w:rFonts w:hint="eastAsia" w:ascii="Times New Roman" w:hAnsi="Times New Roman" w:eastAsia="方正仿宋_GBK" w:cs="方正仿宋_GBK"/>
          <w:sz w:val="32"/>
          <w:szCs w:val="32"/>
          <w:lang w:val="en-US" w:eastAsia="zh-CN"/>
        </w:rPr>
      </w:pPr>
    </w:p>
    <w:p>
      <w:pPr>
        <w:rPr>
          <w:rFonts w:ascii="Times New Roman" w:hAnsi="Times New Roman" w:eastAsia="方正黑体_GBK"/>
          <w:sz w:val="32"/>
          <w:szCs w:val="32"/>
        </w:rPr>
      </w:pPr>
      <w:r>
        <w:rPr>
          <w:rFonts w:hint="eastAsia" w:ascii="Times New Roman" w:hAnsi="Times New Roman" w:eastAsia="方正仿宋_GBK" w:cs="方正仿宋_GBK"/>
          <w:sz w:val="32"/>
          <w:szCs w:val="32"/>
          <w:lang w:val="en-US" w:eastAsia="zh-CN"/>
        </w:rPr>
        <w:br w:type="page"/>
      </w:r>
    </w:p>
    <w:tbl>
      <w:tblPr>
        <w:tblStyle w:val="9"/>
        <w:tblW w:w="139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5"/>
        <w:gridCol w:w="1515"/>
        <w:gridCol w:w="3014"/>
        <w:gridCol w:w="1515"/>
        <w:gridCol w:w="1515"/>
        <w:gridCol w:w="1567"/>
        <w:gridCol w:w="17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ascii="Times New Roman" w:hAnsi="Times New Roman" w:eastAsia="方正黑体_GBK" w:cs="方正黑体_GBK"/>
                <w:i w:val="0"/>
                <w:iCs w:val="0"/>
                <w:color w:val="000000"/>
                <w:sz w:val="32"/>
                <w:szCs w:val="32"/>
                <w:u w:val="none"/>
              </w:rPr>
            </w:pPr>
            <w:r>
              <w:rPr>
                <w:rFonts w:hint="eastAsia" w:ascii="Times New Roman" w:hAnsi="Times New Roman" w:eastAsia="方正黑体_GBK" w:cs="方正黑体_GBK"/>
                <w:i w:val="0"/>
                <w:iCs w:val="0"/>
                <w:color w:val="000000"/>
                <w:kern w:val="0"/>
                <w:sz w:val="32"/>
                <w:szCs w:val="32"/>
                <w:u w:val="none"/>
                <w:lang w:val="en-US" w:eastAsia="zh-CN" w:bidi="ar"/>
              </w:rPr>
              <w:t>附件1</w:t>
            </w:r>
          </w:p>
        </w:tc>
        <w:tc>
          <w:tcPr>
            <w:tcW w:w="151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301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68"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780"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hRule="atLeast"/>
        </w:trPr>
        <w:tc>
          <w:tcPr>
            <w:tcW w:w="13923" w:type="dxa"/>
            <w:gridSpan w:val="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Times New Roman" w:hAnsi="Times New Roman" w:eastAsia="方正小标宋_GBK" w:cs="方正小标宋_GBK"/>
                <w:i w:val="0"/>
                <w:iCs w:val="0"/>
                <w:color w:val="000000"/>
                <w:sz w:val="40"/>
                <w:szCs w:val="40"/>
                <w:u w:val="none"/>
              </w:rPr>
            </w:pPr>
            <w:r>
              <w:rPr>
                <w:rFonts w:hint="eastAsia" w:ascii="Times New Roman" w:hAnsi="Times New Roman" w:eastAsia="方正小标宋_GBK" w:cs="方正小标宋_GBK"/>
                <w:i w:val="0"/>
                <w:iCs w:val="0"/>
                <w:color w:val="000000"/>
                <w:kern w:val="0"/>
                <w:sz w:val="40"/>
                <w:szCs w:val="40"/>
                <w:u w:val="none"/>
                <w:lang w:val="en-US" w:eastAsia="zh-CN" w:bidi="ar"/>
              </w:rPr>
              <w:t>重庆市潼南区司法局2026年财政拨款收支总表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7" w:hRule="atLeast"/>
        </w:trPr>
        <w:tc>
          <w:tcPr>
            <w:tcW w:w="7545" w:type="dxa"/>
            <w:gridSpan w:val="3"/>
            <w:tcBorders>
              <w:top w:val="nil"/>
              <w:left w:val="nil"/>
              <w:bottom w:val="nil"/>
              <w:right w:val="nil"/>
            </w:tcBorders>
            <w:shd w:val="clear" w:color="auto" w:fill="auto"/>
            <w:vAlign w:val="center"/>
          </w:tcPr>
          <w:p>
            <w:pPr>
              <w:jc w:val="center"/>
              <w:rPr>
                <w:rFonts w:hint="eastAsia" w:ascii="Times New Roman" w:hAnsi="Times New Roman" w:eastAsia="宋体" w:cs="宋体"/>
                <w:i w:val="0"/>
                <w:iCs w:val="0"/>
                <w:color w:val="000000"/>
                <w:sz w:val="18"/>
                <w:szCs w:val="18"/>
                <w:u w:val="none"/>
              </w:rPr>
            </w:pPr>
          </w:p>
        </w:tc>
        <w:tc>
          <w:tcPr>
            <w:tcW w:w="151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3348" w:type="dxa"/>
            <w:gridSpan w:val="2"/>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1" w:hRule="atLeast"/>
        </w:trPr>
        <w:tc>
          <w:tcPr>
            <w:tcW w:w="4530" w:type="dxa"/>
            <w:gridSpan w:val="2"/>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收入</w:t>
            </w:r>
          </w:p>
        </w:tc>
        <w:tc>
          <w:tcPr>
            <w:tcW w:w="9393" w:type="dxa"/>
            <w:gridSpan w:val="5"/>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0" w:hRule="atLeast"/>
        </w:trPr>
        <w:tc>
          <w:tcPr>
            <w:tcW w:w="3015"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项目</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预算数</w:t>
            </w:r>
          </w:p>
        </w:tc>
        <w:tc>
          <w:tcPr>
            <w:tcW w:w="3015"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支出科目</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合计</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一般公共预算</w:t>
            </w:r>
          </w:p>
        </w:tc>
        <w:tc>
          <w:tcPr>
            <w:tcW w:w="1568"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政府性基金预算</w:t>
            </w:r>
          </w:p>
        </w:tc>
        <w:tc>
          <w:tcPr>
            <w:tcW w:w="1780"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0" w:hRule="atLeast"/>
        </w:trPr>
        <w:tc>
          <w:tcPr>
            <w:tcW w:w="3015"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3015"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1568"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1780"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一、本年收入</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3,186.13</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一、本年支出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3,186.13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3,186.13</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（一）一般公共预算拨款</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3,186.13</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（一）一般公共服务支出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（二）政府性基金预算拨款</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（二）外交支出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（三）国有资本经营预算拨款</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（三）国防支出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二、上年结转</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（四）公共安全支出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2,544.32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2,544.32</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（一）一般公共预算拨款</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（五）教育支出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（二）政府性基金预算拨款</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（六）科学技术支出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（三）国有资本经营预算拨款</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（七）文化旅游体育与传媒支出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（八）社会保障和就业支出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383.71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383.71</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（九）社会保险基金支出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（十）卫生健康支出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116.72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116.72</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（十一）节能环保支出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（十二）城乡社区支出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（十三）农林水支出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（十四）交通运输支出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（十五）资源勘探工业信息等支出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（十六）商业服务业等支出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（十七）金融支出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（十八）援助其他地区支出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（十九）自然资源海洋气象等支出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（二十）住房保障支出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141.38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141.38</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（二十一）粮油物资储备支出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（二十二）国有资本经营预算支出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（二十三）灾害防治及应急管理支出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（二十四）其他支出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（二十五）转移性支出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（二十六）债务付息支出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（二十七）债务发行费用支出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（二十八）抗疫特别国债安排的支出</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二、结转下年</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收入总计</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3,186.13</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支出总计</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3,186.13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3,186.13</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r>
    </w:tbl>
    <w:p>
      <w:pPr>
        <w:pStyle w:val="6"/>
        <w:spacing w:line="600" w:lineRule="exact"/>
        <w:rPr>
          <w:rFonts w:ascii="Times New Roman" w:hAnsi="Times New Roman" w:eastAsia="方正黑体_GBK"/>
          <w:sz w:val="32"/>
          <w:szCs w:val="32"/>
        </w:rPr>
      </w:pPr>
    </w:p>
    <w:p>
      <w:pPr>
        <w:pStyle w:val="6"/>
        <w:spacing w:line="600" w:lineRule="exact"/>
        <w:rPr>
          <w:rFonts w:ascii="Times New Roman" w:hAnsi="Times New Roman" w:eastAsia="方正黑体_GBK"/>
          <w:sz w:val="32"/>
          <w:szCs w:val="32"/>
        </w:rPr>
      </w:pPr>
    </w:p>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8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71"/>
        <w:gridCol w:w="4184"/>
        <w:gridCol w:w="2055"/>
        <w:gridCol w:w="2055"/>
        <w:gridCol w:w="2055"/>
        <w:gridCol w:w="20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47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ascii="Times New Roman" w:hAnsi="Times New Roman" w:eastAsia="方正黑体_GBK" w:cs="方正黑体_GBK"/>
                <w:i w:val="0"/>
                <w:iCs w:val="0"/>
                <w:color w:val="000000"/>
                <w:sz w:val="28"/>
                <w:szCs w:val="28"/>
                <w:u w:val="none"/>
              </w:rPr>
            </w:pPr>
            <w:r>
              <w:rPr>
                <w:rFonts w:hint="eastAsia" w:ascii="Times New Roman" w:hAnsi="Times New Roman" w:eastAsia="方正黑体_GBK" w:cs="方正黑体_GBK"/>
                <w:i w:val="0"/>
                <w:iCs w:val="0"/>
                <w:color w:val="000000"/>
                <w:kern w:val="0"/>
                <w:sz w:val="28"/>
                <w:szCs w:val="28"/>
                <w:u w:val="none"/>
                <w:lang w:val="en-US" w:eastAsia="zh-CN" w:bidi="ar"/>
              </w:rPr>
              <w:t>附件2</w:t>
            </w:r>
          </w:p>
        </w:tc>
        <w:tc>
          <w:tcPr>
            <w:tcW w:w="418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205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205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205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205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hRule="atLeast"/>
        </w:trPr>
        <w:tc>
          <w:tcPr>
            <w:tcW w:w="13876"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Times New Roman" w:hAnsi="Times New Roman" w:eastAsia="方正小标宋_GBK" w:cs="方正小标宋_GBK"/>
                <w:i w:val="0"/>
                <w:iCs w:val="0"/>
                <w:color w:val="000000"/>
                <w:sz w:val="40"/>
                <w:szCs w:val="40"/>
                <w:u w:val="none"/>
              </w:rPr>
            </w:pPr>
            <w:r>
              <w:rPr>
                <w:rFonts w:hint="eastAsia" w:ascii="Times New Roman" w:hAnsi="Times New Roman" w:eastAsia="方正小标宋_GBK" w:cs="方正小标宋_GBK"/>
                <w:i w:val="0"/>
                <w:iCs w:val="0"/>
                <w:color w:val="000000"/>
                <w:kern w:val="0"/>
                <w:sz w:val="40"/>
                <w:szCs w:val="40"/>
                <w:u w:val="none"/>
                <w:lang w:val="en-US" w:eastAsia="zh-CN" w:bidi="ar"/>
              </w:rPr>
              <w:t>重庆市潼南区司法局2026年一般公共预算财政拨款支出预算表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471"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6240" w:type="dxa"/>
            <w:gridSpan w:val="2"/>
            <w:tcBorders>
              <w:top w:val="nil"/>
              <w:left w:val="nil"/>
              <w:bottom w:val="nil"/>
              <w:right w:val="nil"/>
            </w:tcBorders>
            <w:shd w:val="clear" w:color="auto" w:fill="auto"/>
            <w:vAlign w:val="center"/>
          </w:tcPr>
          <w:p>
            <w:pPr>
              <w:jc w:val="center"/>
              <w:rPr>
                <w:rFonts w:hint="eastAsia" w:ascii="Times New Roman" w:hAnsi="Times New Roman"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4110" w:type="dxa"/>
            <w:gridSpan w:val="2"/>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单位/科目编码</w:t>
            </w:r>
          </w:p>
        </w:tc>
        <w:tc>
          <w:tcPr>
            <w:tcW w:w="4185"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单位/科目名称</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2025年预算数</w:t>
            </w:r>
          </w:p>
        </w:tc>
        <w:tc>
          <w:tcPr>
            <w:tcW w:w="6165" w:type="dxa"/>
            <w:gridSpan w:val="3"/>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2026年预算数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4185"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总计</w:t>
            </w:r>
          </w:p>
        </w:tc>
        <w:tc>
          <w:tcPr>
            <w:tcW w:w="205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基本支出</w:t>
            </w:r>
          </w:p>
        </w:tc>
        <w:tc>
          <w:tcPr>
            <w:tcW w:w="205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合计</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3307.74</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3,186.13</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2,293.70</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892.43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204</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公共安全支出</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2692.16</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2,544.32</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1,651.89</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892.43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司法</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2692.16</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2,544.32</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1,651.89</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892.43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2040601</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行政运行</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1364.39</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1,492.50</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1,492.49</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2040604</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基层司法业务</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105.69</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77.68</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77.68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2040605</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普法宣传</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77.65</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51.00</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2040607</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公共法律服务</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366.8</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231.40</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231.40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2040610</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社区矫正</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293.42</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310.19</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310.19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2040612</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法治建设</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337.93</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222.16</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222.16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2040650</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事业运行</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146.28</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159.40</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159.40</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208</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社会保障和就业支出</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369.79</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383.71</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383.71</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20805</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行政事业单位养老支出</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369.79</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383.71</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383.71</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2080505</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机关事业单位基本养老保险缴费支出</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140.12</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154.73</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154.73</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2080506</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机关事业单位职业年金缴费支出</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70.06</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77.36</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77.36</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2080599</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其他行政事业单位养老支出</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159.61</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151.62</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151.62</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210</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卫生健康支出</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116.98</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116.72</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116.72</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21011</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行政事业单位医疗</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116.98</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116.72</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116.72</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2101101</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行政单位医疗</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86.99</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86.08</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86.08</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2101102</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事业单位医疗</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6.79</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7.40</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7.40</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2101103</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公务员医疗补助</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9.76</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10.40</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10.40</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2101199</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其他行政事业单位医疗支出</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13.44</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12.84</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12.84</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221</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住房保障支出</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128.81</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141.38</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141.38</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22102</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住房改革支出</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128.81</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141.38</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141.38</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2210201</w:t>
            </w:r>
          </w:p>
        </w:tc>
        <w:tc>
          <w:tcPr>
            <w:tcW w:w="4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住房公积金</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128.81</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141.38</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141.38</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5656" w:type="dxa"/>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备注：本表反映当年一般公共预算财政拨款支出情况。</w:t>
            </w:r>
          </w:p>
        </w:tc>
        <w:tc>
          <w:tcPr>
            <w:tcW w:w="205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r>
    </w:tbl>
    <w:p>
      <w:pPr>
        <w:pStyle w:val="6"/>
        <w:spacing w:line="600" w:lineRule="exact"/>
        <w:rPr>
          <w:rFonts w:ascii="Times New Roman" w:hAnsi="Times New Roman" w:eastAsia="方正黑体_GBK"/>
          <w:sz w:val="32"/>
          <w:szCs w:val="32"/>
        </w:rPr>
      </w:pPr>
    </w:p>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9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46"/>
        <w:gridCol w:w="4306"/>
        <w:gridCol w:w="2594"/>
        <w:gridCol w:w="2594"/>
        <w:gridCol w:w="25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Times New Roman" w:hAnsi="Times New Roman" w:eastAsia="方正黑体_GBK" w:cs="方正黑体_GBK"/>
                <w:i w:val="0"/>
                <w:iCs w:val="0"/>
                <w:color w:val="000000"/>
                <w:sz w:val="28"/>
                <w:szCs w:val="28"/>
                <w:u w:val="none"/>
              </w:rPr>
            </w:pPr>
            <w:r>
              <w:rPr>
                <w:rFonts w:hint="eastAsia" w:ascii="Times New Roman" w:hAnsi="Times New Roman" w:eastAsia="方正黑体_GBK" w:cs="方正黑体_GBK"/>
                <w:i w:val="0"/>
                <w:iCs w:val="0"/>
                <w:color w:val="000000"/>
                <w:kern w:val="0"/>
                <w:sz w:val="28"/>
                <w:szCs w:val="28"/>
                <w:u w:val="none"/>
                <w:lang w:val="en-US" w:eastAsia="zh-CN" w:bidi="ar"/>
              </w:rPr>
              <w:t>附件3</w:t>
            </w:r>
          </w:p>
        </w:tc>
        <w:tc>
          <w:tcPr>
            <w:tcW w:w="4308" w:type="dxa"/>
            <w:tcBorders>
              <w:top w:val="nil"/>
              <w:left w:val="nil"/>
              <w:bottom w:val="nil"/>
              <w:right w:val="nil"/>
            </w:tcBorders>
            <w:shd w:val="clear" w:color="auto" w:fill="auto"/>
            <w:vAlign w:val="center"/>
          </w:tcPr>
          <w:p>
            <w:pPr>
              <w:rPr>
                <w:rFonts w:hint="eastAsia" w:ascii="Times New Roman" w:hAnsi="Times New Roman" w:eastAsia="方正黑体_GBK" w:cs="方正黑体_GBK"/>
                <w:i w:val="0"/>
                <w:iCs w:val="0"/>
                <w:color w:val="000000"/>
                <w:sz w:val="32"/>
                <w:szCs w:val="32"/>
                <w:u w:val="none"/>
              </w:rPr>
            </w:pPr>
          </w:p>
        </w:tc>
        <w:tc>
          <w:tcPr>
            <w:tcW w:w="2595" w:type="dxa"/>
            <w:tcBorders>
              <w:top w:val="nil"/>
              <w:left w:val="nil"/>
              <w:bottom w:val="nil"/>
              <w:right w:val="nil"/>
            </w:tcBorders>
            <w:shd w:val="clear" w:color="auto" w:fill="auto"/>
            <w:vAlign w:val="center"/>
          </w:tcPr>
          <w:p>
            <w:pPr>
              <w:rPr>
                <w:rFonts w:hint="eastAsia" w:ascii="Times New Roman" w:hAnsi="Times New Roman" w:eastAsia="方正黑体_GBK" w:cs="方正黑体_GBK"/>
                <w:i w:val="0"/>
                <w:iCs w:val="0"/>
                <w:color w:val="000000"/>
                <w:sz w:val="32"/>
                <w:szCs w:val="32"/>
                <w:u w:val="none"/>
              </w:rPr>
            </w:pPr>
          </w:p>
        </w:tc>
        <w:tc>
          <w:tcPr>
            <w:tcW w:w="2595" w:type="dxa"/>
            <w:tcBorders>
              <w:top w:val="nil"/>
              <w:left w:val="nil"/>
              <w:bottom w:val="nil"/>
              <w:right w:val="nil"/>
            </w:tcBorders>
            <w:shd w:val="clear" w:color="auto" w:fill="auto"/>
            <w:vAlign w:val="center"/>
          </w:tcPr>
          <w:p>
            <w:pPr>
              <w:rPr>
                <w:rFonts w:hint="eastAsia" w:ascii="Times New Roman" w:hAnsi="Times New Roman" w:eastAsia="方正黑体_GBK" w:cs="方正黑体_GBK"/>
                <w:i w:val="0"/>
                <w:iCs w:val="0"/>
                <w:color w:val="000000"/>
                <w:sz w:val="32"/>
                <w:szCs w:val="32"/>
                <w:u w:val="none"/>
              </w:rPr>
            </w:pPr>
          </w:p>
        </w:tc>
        <w:tc>
          <w:tcPr>
            <w:tcW w:w="2595" w:type="dxa"/>
            <w:tcBorders>
              <w:top w:val="nil"/>
              <w:left w:val="nil"/>
              <w:bottom w:val="nil"/>
              <w:right w:val="nil"/>
            </w:tcBorders>
            <w:shd w:val="clear" w:color="auto" w:fill="auto"/>
            <w:vAlign w:val="center"/>
          </w:tcPr>
          <w:p>
            <w:pPr>
              <w:rPr>
                <w:rFonts w:hint="eastAsia" w:ascii="Times New Roman" w:hAnsi="Times New Roman" w:eastAsia="方正黑体_GBK" w:cs="方正黑体_GBK"/>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hRule="atLeast"/>
        </w:trPr>
        <w:tc>
          <w:tcPr>
            <w:tcW w:w="13939" w:type="dxa"/>
            <w:gridSpan w:val="5"/>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Times New Roman" w:hAnsi="Times New Roman" w:eastAsia="方正小标宋_GBK" w:cs="方正小标宋_GBK"/>
                <w:i w:val="0"/>
                <w:iCs w:val="0"/>
                <w:color w:val="000000"/>
                <w:sz w:val="40"/>
                <w:szCs w:val="40"/>
                <w:u w:val="none"/>
              </w:rPr>
            </w:pPr>
            <w:r>
              <w:rPr>
                <w:rFonts w:hint="eastAsia" w:ascii="Times New Roman" w:hAnsi="Times New Roman" w:eastAsia="方正小标宋_GBK" w:cs="方正小标宋_GBK"/>
                <w:i w:val="0"/>
                <w:iCs w:val="0"/>
                <w:color w:val="000000"/>
                <w:kern w:val="0"/>
                <w:sz w:val="40"/>
                <w:szCs w:val="40"/>
                <w:u w:val="none"/>
                <w:lang w:val="en-US" w:eastAsia="zh-CN" w:bidi="ar"/>
              </w:rPr>
              <w:t>重庆市潼南区司法局2026年一般公共预算财政拨款基本支出预算表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4308" w:type="dxa"/>
            <w:tcBorders>
              <w:top w:val="nil"/>
              <w:left w:val="nil"/>
              <w:bottom w:val="nil"/>
              <w:right w:val="nil"/>
            </w:tcBorders>
            <w:shd w:val="clear" w:color="auto" w:fill="auto"/>
            <w:vAlign w:val="center"/>
          </w:tcPr>
          <w:p>
            <w:pPr>
              <w:jc w:val="center"/>
              <w:rPr>
                <w:rFonts w:hint="eastAsia" w:ascii="Times New Roman" w:hAnsi="Times New Roman" w:eastAsia="宋体" w:cs="宋体"/>
                <w:i w:val="0"/>
                <w:iCs w:val="0"/>
                <w:color w:val="000000"/>
                <w:sz w:val="18"/>
                <w:szCs w:val="18"/>
                <w:u w:val="none"/>
              </w:rPr>
            </w:pPr>
          </w:p>
        </w:tc>
        <w:tc>
          <w:tcPr>
            <w:tcW w:w="259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5190" w:type="dxa"/>
            <w:gridSpan w:val="2"/>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单位/科目编码</w:t>
            </w:r>
          </w:p>
        </w:tc>
        <w:tc>
          <w:tcPr>
            <w:tcW w:w="4308"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单位/科目名称</w:t>
            </w:r>
          </w:p>
        </w:tc>
        <w:tc>
          <w:tcPr>
            <w:tcW w:w="7785" w:type="dxa"/>
            <w:gridSpan w:val="3"/>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4308"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总计</w:t>
            </w:r>
          </w:p>
        </w:tc>
        <w:tc>
          <w:tcPr>
            <w:tcW w:w="259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人员经费</w:t>
            </w:r>
          </w:p>
        </w:tc>
        <w:tc>
          <w:tcPr>
            <w:tcW w:w="259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合计</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2,293.70</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1,910.34</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383.36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301</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工资福利支出</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1,740.33</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1,740.33</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30101</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基本工资</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378.36</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378.36</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30102</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津贴补贴</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341.75</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341.75</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30103</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奖金</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456.36</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456.36</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30107</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绩效工资</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81.53</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81.53</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30108</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机关事业单位基本养老保险缴费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154.73</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154.73</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30109</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职业年金缴费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77.36</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77.36</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30110</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职工基本医疗保险缴费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93.48</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93.48</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30111</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公务员医疗补助缴费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30112</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其他社会保障缴费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3.54</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3.54</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30113</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住房公积金</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141.38</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141.38</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30114</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医疗费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11.84</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11.84</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302</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商品和服务支出</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383.36</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b/>
                <w:bCs/>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383.36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30201</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办公费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36.88</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36.88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30202</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印刷费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2.20</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30204</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手续费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30205</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水费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0.75</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0.75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30206</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电费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10.10</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30207</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邮电费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23.15</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23.15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30208</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取暖费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30209</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物业管理费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19.10</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30211</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差旅费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7.80</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30212</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因公出国（境）费用</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30213</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维修（护）费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30214</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租赁费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30215</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会议费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1.00</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30216</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培训费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10.40</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10.40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30217</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公务接待费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30218</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专用材料费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30224</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被装购置费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30225</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专用燃料费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30226</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劳务费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23.00</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30227</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委托业务费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30228</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工会经费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55.73</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55.73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30231</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公务用车运行维护费</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40.00</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30239</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其他交通费用</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55.20</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30240</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税金及附加费用</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30299</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其他商品和服务支出</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88.05</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88.05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303</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对个人和家庭的补助</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170.01</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170.01</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30305</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生活补助</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158.61</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158.61</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30307</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医疗费补助</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11.40</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11.40</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30399</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其他对个人和家庭的补助</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310</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资本性支出</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31001</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房屋建筑物购建</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31002</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办公设备购置</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31003</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专用设备购置</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31005</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基础设施建设</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31006</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大型修缮</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31007</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信息网络及软件购置更新</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31008</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物资储备</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31009</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土地补偿</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31010</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安置补助</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31011</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地上附着物和青苗补偿</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31012</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拆迁补偿</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31013</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公务用车购置</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31019</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其他交通工具购置</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31021</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文物和陈列品购置</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31022</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无形资产购置</w:t>
            </w: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bl>
    <w:p>
      <w:pPr>
        <w:pStyle w:val="6"/>
        <w:spacing w:line="600" w:lineRule="exact"/>
        <w:rPr>
          <w:rFonts w:ascii="Times New Roman" w:hAnsi="Times New Roman" w:eastAsia="方正黑体_GBK"/>
          <w:sz w:val="32"/>
          <w:szCs w:val="32"/>
        </w:rPr>
      </w:pPr>
    </w:p>
    <w:p>
      <w:pPr>
        <w:pStyle w:val="6"/>
        <w:spacing w:line="600" w:lineRule="exact"/>
        <w:rPr>
          <w:rFonts w:ascii="Times New Roman" w:hAnsi="Times New Roman" w:eastAsia="方正黑体_GBK"/>
          <w:sz w:val="32"/>
          <w:szCs w:val="32"/>
        </w:rPr>
      </w:pPr>
    </w:p>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7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5"/>
        <w:gridCol w:w="1125"/>
        <w:gridCol w:w="915"/>
        <w:gridCol w:w="915"/>
        <w:gridCol w:w="915"/>
        <w:gridCol w:w="915"/>
        <w:gridCol w:w="975"/>
        <w:gridCol w:w="1125"/>
        <w:gridCol w:w="915"/>
        <w:gridCol w:w="915"/>
        <w:gridCol w:w="915"/>
        <w:gridCol w:w="915"/>
        <w:gridCol w:w="975"/>
        <w:gridCol w:w="11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125"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ascii="Times New Roman" w:hAnsi="Times New Roman" w:eastAsia="方正黑体_GBK" w:cs="方正黑体_GBK"/>
                <w:i w:val="0"/>
                <w:iCs w:val="0"/>
                <w:color w:val="000000"/>
                <w:sz w:val="28"/>
                <w:szCs w:val="28"/>
                <w:u w:val="none"/>
              </w:rPr>
            </w:pPr>
            <w:r>
              <w:rPr>
                <w:rFonts w:hint="eastAsia" w:ascii="Times New Roman" w:hAnsi="Times New Roman" w:eastAsia="方正黑体_GBK" w:cs="方正黑体_GBK"/>
                <w:i w:val="0"/>
                <w:iCs w:val="0"/>
                <w:color w:val="000000"/>
                <w:kern w:val="0"/>
                <w:sz w:val="28"/>
                <w:szCs w:val="28"/>
                <w:u w:val="none"/>
                <w:lang w:val="en-US" w:eastAsia="zh-CN" w:bidi="ar"/>
              </w:rPr>
              <w:t>附件4</w:t>
            </w:r>
          </w:p>
        </w:tc>
        <w:tc>
          <w:tcPr>
            <w:tcW w:w="1125" w:type="dxa"/>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22"/>
                <w:szCs w:val="22"/>
                <w:u w:val="none"/>
              </w:rPr>
            </w:pPr>
          </w:p>
        </w:tc>
        <w:tc>
          <w:tcPr>
            <w:tcW w:w="915" w:type="dxa"/>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22"/>
                <w:szCs w:val="22"/>
                <w:u w:val="none"/>
              </w:rPr>
            </w:pPr>
          </w:p>
        </w:tc>
        <w:tc>
          <w:tcPr>
            <w:tcW w:w="915" w:type="dxa"/>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22"/>
                <w:szCs w:val="22"/>
                <w:u w:val="none"/>
              </w:rPr>
            </w:pPr>
          </w:p>
        </w:tc>
        <w:tc>
          <w:tcPr>
            <w:tcW w:w="915" w:type="dxa"/>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22"/>
                <w:szCs w:val="22"/>
                <w:u w:val="none"/>
              </w:rPr>
            </w:pPr>
          </w:p>
        </w:tc>
        <w:tc>
          <w:tcPr>
            <w:tcW w:w="915" w:type="dxa"/>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22"/>
                <w:szCs w:val="22"/>
                <w:u w:val="none"/>
              </w:rPr>
            </w:pPr>
          </w:p>
        </w:tc>
        <w:tc>
          <w:tcPr>
            <w:tcW w:w="975" w:type="dxa"/>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22"/>
                <w:szCs w:val="22"/>
                <w:u w:val="none"/>
              </w:rPr>
            </w:pPr>
          </w:p>
        </w:tc>
        <w:tc>
          <w:tcPr>
            <w:tcW w:w="112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1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1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1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1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7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12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hRule="atLeast"/>
        </w:trPr>
        <w:tc>
          <w:tcPr>
            <w:tcW w:w="13770" w:type="dxa"/>
            <w:gridSpan w:val="14"/>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Times New Roman" w:hAnsi="Times New Roman" w:eastAsia="方正小标宋_GBK" w:cs="方正小标宋_GBK"/>
                <w:i w:val="0"/>
                <w:iCs w:val="0"/>
                <w:color w:val="000000"/>
                <w:sz w:val="40"/>
                <w:szCs w:val="40"/>
                <w:u w:val="none"/>
              </w:rPr>
            </w:pPr>
            <w:r>
              <w:rPr>
                <w:rFonts w:hint="eastAsia" w:ascii="Times New Roman" w:hAnsi="Times New Roman" w:eastAsia="方正小标宋_GBK" w:cs="方正小标宋_GBK"/>
                <w:i w:val="0"/>
                <w:iCs w:val="0"/>
                <w:color w:val="000000"/>
                <w:kern w:val="0"/>
                <w:sz w:val="40"/>
                <w:szCs w:val="40"/>
                <w:u w:val="none"/>
                <w:lang w:val="en-US" w:eastAsia="zh-CN" w:bidi="ar"/>
              </w:rPr>
              <w:t>重庆市潼南区司法局2026年一般公共预算支出“三公”经费预算表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12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6885" w:type="dxa"/>
            <w:gridSpan w:val="7"/>
            <w:tcBorders>
              <w:top w:val="nil"/>
              <w:left w:val="nil"/>
              <w:bottom w:val="nil"/>
              <w:right w:val="nil"/>
            </w:tcBorders>
            <w:shd w:val="clear" w:color="auto" w:fill="auto"/>
            <w:vAlign w:val="center"/>
          </w:tcPr>
          <w:p>
            <w:pPr>
              <w:jc w:val="center"/>
              <w:rPr>
                <w:rFonts w:hint="eastAsia" w:ascii="Times New Roman" w:hAnsi="Times New Roman" w:eastAsia="宋体" w:cs="宋体"/>
                <w:i w:val="0"/>
                <w:iCs w:val="0"/>
                <w:color w:val="000000"/>
                <w:sz w:val="18"/>
                <w:szCs w:val="18"/>
                <w:u w:val="none"/>
              </w:rPr>
            </w:pPr>
          </w:p>
        </w:tc>
        <w:tc>
          <w:tcPr>
            <w:tcW w:w="5760" w:type="dxa"/>
            <w:gridSpan w:val="6"/>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60" w:hRule="atLeast"/>
        </w:trPr>
        <w:tc>
          <w:tcPr>
            <w:tcW w:w="1125"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部门编码</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部门名称</w:t>
            </w:r>
          </w:p>
        </w:tc>
        <w:tc>
          <w:tcPr>
            <w:tcW w:w="5760" w:type="dxa"/>
            <w:gridSpan w:val="6"/>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2025年预算数</w:t>
            </w:r>
          </w:p>
        </w:tc>
        <w:tc>
          <w:tcPr>
            <w:tcW w:w="5760" w:type="dxa"/>
            <w:gridSpan w:val="6"/>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2026年预算数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60" w:hRule="atLeast"/>
        </w:trPr>
        <w:tc>
          <w:tcPr>
            <w:tcW w:w="1125"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915"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总计</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因公出国（境）费用</w:t>
            </w:r>
          </w:p>
        </w:tc>
        <w:tc>
          <w:tcPr>
            <w:tcW w:w="2805" w:type="dxa"/>
            <w:gridSpan w:val="3"/>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公务用车购置及运行费</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公务接待费</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总计</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因公出国（境）费用</w:t>
            </w:r>
          </w:p>
        </w:tc>
        <w:tc>
          <w:tcPr>
            <w:tcW w:w="2805" w:type="dxa"/>
            <w:gridSpan w:val="3"/>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公务用车购置及运行费</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60" w:hRule="atLeast"/>
        </w:trPr>
        <w:tc>
          <w:tcPr>
            <w:tcW w:w="1125"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小计</w:t>
            </w:r>
          </w:p>
        </w:tc>
        <w:tc>
          <w:tcPr>
            <w:tcW w:w="91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公务用车购置</w:t>
            </w:r>
          </w:p>
        </w:tc>
        <w:tc>
          <w:tcPr>
            <w:tcW w:w="97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公务用车运行维护费</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小计</w:t>
            </w:r>
          </w:p>
        </w:tc>
        <w:tc>
          <w:tcPr>
            <w:tcW w:w="91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公务用车购置</w:t>
            </w:r>
          </w:p>
        </w:tc>
        <w:tc>
          <w:tcPr>
            <w:tcW w:w="97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公务用车运行维护费</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合计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91.49</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86.49</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44.49</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42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95.00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90.00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40.00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60" w:hRule="atLeast"/>
        </w:trPr>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325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司法局</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91.49</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86.49</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44.49</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42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95.00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90.00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40.00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w:t>
            </w:r>
          </w:p>
        </w:tc>
      </w:tr>
    </w:tbl>
    <w:p>
      <w:pPr>
        <w:pStyle w:val="6"/>
        <w:spacing w:line="600" w:lineRule="exact"/>
        <w:rPr>
          <w:rFonts w:ascii="Times New Roman" w:hAnsi="Times New Roman" w:eastAsia="方正黑体_GBK"/>
          <w:sz w:val="32"/>
          <w:szCs w:val="32"/>
        </w:rPr>
      </w:pPr>
    </w:p>
    <w:p>
      <w:pPr>
        <w:pStyle w:val="6"/>
        <w:spacing w:line="600" w:lineRule="exact"/>
        <w:rPr>
          <w:rFonts w:ascii="Times New Roman" w:hAnsi="Times New Roman" w:eastAsia="方正黑体_GBK"/>
          <w:sz w:val="32"/>
          <w:szCs w:val="32"/>
        </w:rPr>
      </w:pPr>
    </w:p>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8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85"/>
        <w:gridCol w:w="4307"/>
        <w:gridCol w:w="2384"/>
        <w:gridCol w:w="2384"/>
        <w:gridCol w:w="23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2385"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ascii="Times New Roman" w:hAnsi="Times New Roman" w:eastAsia="方正黑体_GBK" w:cs="方正黑体_GBK"/>
                <w:i w:val="0"/>
                <w:iCs w:val="0"/>
                <w:color w:val="000000"/>
                <w:sz w:val="28"/>
                <w:szCs w:val="28"/>
                <w:u w:val="none"/>
              </w:rPr>
            </w:pPr>
            <w:r>
              <w:rPr>
                <w:rFonts w:hint="eastAsia" w:ascii="Times New Roman" w:hAnsi="Times New Roman" w:eastAsia="方正黑体_GBK" w:cs="方正黑体_GBK"/>
                <w:i w:val="0"/>
                <w:iCs w:val="0"/>
                <w:color w:val="000000"/>
                <w:kern w:val="0"/>
                <w:sz w:val="28"/>
                <w:szCs w:val="28"/>
                <w:u w:val="none"/>
                <w:lang w:val="en-US" w:eastAsia="zh-CN" w:bidi="ar"/>
              </w:rPr>
              <w:t>附件5</w:t>
            </w:r>
          </w:p>
        </w:tc>
        <w:tc>
          <w:tcPr>
            <w:tcW w:w="4308"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238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238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238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hRule="atLeast"/>
        </w:trPr>
        <w:tc>
          <w:tcPr>
            <w:tcW w:w="13848" w:type="dxa"/>
            <w:gridSpan w:val="5"/>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Times New Roman" w:hAnsi="Times New Roman" w:eastAsia="方正小标宋_GBK" w:cs="方正小标宋_GBK"/>
                <w:i w:val="0"/>
                <w:iCs w:val="0"/>
                <w:color w:val="000000"/>
                <w:sz w:val="40"/>
                <w:szCs w:val="40"/>
                <w:u w:val="none"/>
              </w:rPr>
            </w:pPr>
            <w:r>
              <w:rPr>
                <w:rFonts w:hint="eastAsia" w:ascii="Times New Roman" w:hAnsi="Times New Roman" w:eastAsia="方正小标宋_GBK" w:cs="方正小标宋_GBK"/>
                <w:i w:val="0"/>
                <w:iCs w:val="0"/>
                <w:color w:val="000000"/>
                <w:kern w:val="0"/>
                <w:sz w:val="40"/>
                <w:szCs w:val="40"/>
                <w:u w:val="none"/>
                <w:lang w:val="en-US" w:eastAsia="zh-CN" w:bidi="ar"/>
              </w:rPr>
              <w:t>重庆市潼南区司法局2026年政府性基金预算财政拨款支出预算表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2385" w:type="dxa"/>
            <w:tcBorders>
              <w:top w:val="nil"/>
              <w:left w:val="nil"/>
              <w:bottom w:val="nil"/>
              <w:right w:val="nil"/>
            </w:tcBorders>
            <w:shd w:val="clear" w:color="auto" w:fill="FFFFFF"/>
            <w:vAlign w:val="center"/>
          </w:tcPr>
          <w:p>
            <w:pPr>
              <w:rPr>
                <w:rFonts w:hint="default" w:ascii="Times New Roman" w:hAnsi="Times New Roman" w:eastAsia="宋体" w:cs="Times New Roman"/>
                <w:i w:val="0"/>
                <w:iCs w:val="0"/>
                <w:color w:val="000000"/>
                <w:sz w:val="22"/>
                <w:szCs w:val="22"/>
                <w:u w:val="none"/>
              </w:rPr>
            </w:pPr>
          </w:p>
        </w:tc>
        <w:tc>
          <w:tcPr>
            <w:tcW w:w="4308" w:type="dxa"/>
            <w:tcBorders>
              <w:top w:val="nil"/>
              <w:left w:val="nil"/>
              <w:bottom w:val="nil"/>
              <w:right w:val="nil"/>
            </w:tcBorders>
            <w:shd w:val="clear" w:color="auto" w:fill="FFFFFF"/>
            <w:vAlign w:val="center"/>
          </w:tcPr>
          <w:p>
            <w:pPr>
              <w:jc w:val="center"/>
              <w:rPr>
                <w:rFonts w:hint="default" w:ascii="Times New Roman" w:hAnsi="Times New Roman" w:eastAsia="宋体" w:cs="Times New Roman"/>
                <w:i w:val="0"/>
                <w:iCs w:val="0"/>
                <w:color w:val="000000"/>
                <w:sz w:val="22"/>
                <w:szCs w:val="22"/>
                <w:u w:val="none"/>
              </w:rPr>
            </w:pPr>
          </w:p>
        </w:tc>
        <w:tc>
          <w:tcPr>
            <w:tcW w:w="2385" w:type="dxa"/>
            <w:tcBorders>
              <w:top w:val="nil"/>
              <w:left w:val="nil"/>
              <w:bottom w:val="nil"/>
              <w:right w:val="nil"/>
            </w:tcBorders>
            <w:shd w:val="clear" w:color="auto" w:fill="FFFFFF"/>
            <w:vAlign w:val="center"/>
          </w:tcPr>
          <w:p>
            <w:pPr>
              <w:rPr>
                <w:rFonts w:hint="default" w:ascii="Times New Roman" w:hAnsi="Times New Roman" w:eastAsia="宋体" w:cs="Times New Roman"/>
                <w:i w:val="0"/>
                <w:iCs w:val="0"/>
                <w:color w:val="000000"/>
                <w:sz w:val="22"/>
                <w:szCs w:val="22"/>
                <w:u w:val="none"/>
              </w:rPr>
            </w:pPr>
          </w:p>
        </w:tc>
        <w:tc>
          <w:tcPr>
            <w:tcW w:w="4770" w:type="dxa"/>
            <w:gridSpan w:val="2"/>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2385" w:type="dxa"/>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单位/科目编码</w:t>
            </w:r>
          </w:p>
        </w:tc>
        <w:tc>
          <w:tcPr>
            <w:tcW w:w="4308" w:type="dxa"/>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单位/科目名称</w:t>
            </w:r>
          </w:p>
        </w:tc>
        <w:tc>
          <w:tcPr>
            <w:tcW w:w="7155" w:type="dxa"/>
            <w:gridSpan w:val="3"/>
            <w:tcBorders>
              <w:top w:val="single" w:color="000000" w:sz="4" w:space="0"/>
              <w:left w:val="single" w:color="000000" w:sz="4" w:space="0"/>
              <w:bottom w:val="single" w:color="000000" w:sz="4" w:space="0"/>
              <w:right w:val="single" w:color="000000" w:sz="4" w:space="0"/>
            </w:tcBorders>
            <w:shd w:val="clear" w:color="F0F0F0" w:fill="FFFFFF"/>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2385" w:type="dxa"/>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pPr>
              <w:jc w:val="center"/>
              <w:rPr>
                <w:rFonts w:hint="eastAsia" w:ascii="Times New Roman" w:hAnsi="Times New Roman" w:eastAsia="宋体" w:cs="宋体"/>
                <w:i w:val="0"/>
                <w:iCs w:val="0"/>
                <w:color w:val="000000"/>
                <w:sz w:val="22"/>
                <w:szCs w:val="22"/>
                <w:u w:val="none"/>
              </w:rPr>
            </w:pPr>
          </w:p>
        </w:tc>
        <w:tc>
          <w:tcPr>
            <w:tcW w:w="4308" w:type="dxa"/>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pPr>
              <w:jc w:val="center"/>
              <w:rPr>
                <w:rFonts w:hint="eastAsia" w:ascii="Times New Roman" w:hAnsi="Times New Roman" w:eastAsia="宋体" w:cs="宋体"/>
                <w:i w:val="0"/>
                <w:iCs w:val="0"/>
                <w:color w:val="000000"/>
                <w:sz w:val="22"/>
                <w:szCs w:val="22"/>
                <w:u w:val="none"/>
              </w:rPr>
            </w:pPr>
          </w:p>
        </w:tc>
        <w:tc>
          <w:tcPr>
            <w:tcW w:w="2385" w:type="dxa"/>
            <w:tcBorders>
              <w:top w:val="single" w:color="000000" w:sz="4" w:space="0"/>
              <w:left w:val="single" w:color="000000" w:sz="4" w:space="0"/>
              <w:bottom w:val="single" w:color="000000" w:sz="4" w:space="0"/>
              <w:right w:val="single" w:color="000000" w:sz="4" w:space="0"/>
            </w:tcBorders>
            <w:shd w:val="clear" w:color="F0F0F0" w:fill="FFFFFF"/>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总计</w:t>
            </w:r>
          </w:p>
        </w:tc>
        <w:tc>
          <w:tcPr>
            <w:tcW w:w="2385" w:type="dxa"/>
            <w:tcBorders>
              <w:top w:val="single" w:color="000000" w:sz="4" w:space="0"/>
              <w:left w:val="single" w:color="000000" w:sz="4" w:space="0"/>
              <w:bottom w:val="single" w:color="000000" w:sz="4" w:space="0"/>
              <w:right w:val="single" w:color="000000" w:sz="4" w:space="0"/>
            </w:tcBorders>
            <w:shd w:val="clear" w:color="F0F0F0" w:fill="FFFFFF"/>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基本支出</w:t>
            </w:r>
          </w:p>
        </w:tc>
        <w:tc>
          <w:tcPr>
            <w:tcW w:w="2385" w:type="dxa"/>
            <w:tcBorders>
              <w:top w:val="single" w:color="000000" w:sz="4" w:space="0"/>
              <w:left w:val="single" w:color="000000" w:sz="4" w:space="0"/>
              <w:bottom w:val="single" w:color="000000" w:sz="4" w:space="0"/>
              <w:right w:val="single" w:color="000000" w:sz="4" w:space="0"/>
            </w:tcBorders>
            <w:shd w:val="clear" w:color="F0F0F0" w:fill="FFFFFF"/>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23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Times New Roman" w:hAnsi="Times New Roman" w:eastAsia="宋体" w:cs="宋体"/>
                <w:i w:val="0"/>
                <w:iCs w:val="0"/>
                <w:color w:val="000000"/>
                <w:sz w:val="22"/>
                <w:szCs w:val="22"/>
                <w:u w:val="none"/>
              </w:rPr>
            </w:pPr>
          </w:p>
        </w:tc>
        <w:tc>
          <w:tcPr>
            <w:tcW w:w="43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合计</w:t>
            </w:r>
          </w:p>
        </w:tc>
        <w:tc>
          <w:tcPr>
            <w:tcW w:w="23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Times New Roman" w:hAnsi="Times New Roman" w:eastAsia="宋体" w:cs="宋体"/>
                <w:i w:val="0"/>
                <w:iCs w:val="0"/>
                <w:color w:val="000000"/>
                <w:sz w:val="22"/>
                <w:szCs w:val="22"/>
                <w:u w:val="none"/>
              </w:rPr>
            </w:pPr>
          </w:p>
        </w:tc>
        <w:tc>
          <w:tcPr>
            <w:tcW w:w="23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Times New Roman" w:hAnsi="Times New Roman" w:eastAsia="宋体" w:cs="宋体"/>
                <w:i w:val="0"/>
                <w:iCs w:val="0"/>
                <w:color w:val="000000"/>
                <w:sz w:val="22"/>
                <w:szCs w:val="22"/>
                <w:u w:val="none"/>
              </w:rPr>
            </w:pPr>
          </w:p>
        </w:tc>
        <w:tc>
          <w:tcPr>
            <w:tcW w:w="23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Times New Roman" w:hAnsi="Times New Roman"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23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imes New Roman" w:hAnsi="Times New Roman" w:eastAsia="宋体" w:cs="宋体"/>
                <w:i w:val="0"/>
                <w:iCs w:val="0"/>
                <w:color w:val="000000"/>
                <w:sz w:val="22"/>
                <w:szCs w:val="22"/>
                <w:u w:val="none"/>
              </w:rPr>
            </w:pPr>
          </w:p>
        </w:tc>
        <w:tc>
          <w:tcPr>
            <w:tcW w:w="43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imes New Roman" w:hAnsi="Times New Roman" w:eastAsia="宋体" w:cs="宋体"/>
                <w:i w:val="0"/>
                <w:iCs w:val="0"/>
                <w:color w:val="000000"/>
                <w:sz w:val="22"/>
                <w:szCs w:val="22"/>
                <w:u w:val="none"/>
              </w:rPr>
            </w:pPr>
          </w:p>
        </w:tc>
        <w:tc>
          <w:tcPr>
            <w:tcW w:w="23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Times New Roman" w:hAnsi="Times New Roman" w:eastAsia="宋体" w:cs="宋体"/>
                <w:i w:val="0"/>
                <w:iCs w:val="0"/>
                <w:color w:val="000000"/>
                <w:sz w:val="22"/>
                <w:szCs w:val="22"/>
                <w:u w:val="none"/>
              </w:rPr>
            </w:pPr>
          </w:p>
        </w:tc>
        <w:tc>
          <w:tcPr>
            <w:tcW w:w="23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Times New Roman" w:hAnsi="Times New Roman" w:eastAsia="宋体" w:cs="宋体"/>
                <w:i w:val="0"/>
                <w:iCs w:val="0"/>
                <w:color w:val="000000"/>
                <w:sz w:val="22"/>
                <w:szCs w:val="22"/>
                <w:u w:val="none"/>
              </w:rPr>
            </w:pPr>
          </w:p>
        </w:tc>
        <w:tc>
          <w:tcPr>
            <w:tcW w:w="23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Times New Roman" w:hAnsi="Times New Roman"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23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imes New Roman" w:hAnsi="Times New Roman" w:eastAsia="宋体" w:cs="宋体"/>
                <w:i w:val="0"/>
                <w:iCs w:val="0"/>
                <w:color w:val="000000"/>
                <w:sz w:val="22"/>
                <w:szCs w:val="22"/>
                <w:u w:val="none"/>
              </w:rPr>
            </w:pPr>
          </w:p>
        </w:tc>
        <w:tc>
          <w:tcPr>
            <w:tcW w:w="43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imes New Roman" w:hAnsi="Times New Roman" w:eastAsia="宋体" w:cs="宋体"/>
                <w:i w:val="0"/>
                <w:iCs w:val="0"/>
                <w:color w:val="000000"/>
                <w:sz w:val="22"/>
                <w:szCs w:val="22"/>
                <w:u w:val="none"/>
              </w:rPr>
            </w:pPr>
          </w:p>
        </w:tc>
        <w:tc>
          <w:tcPr>
            <w:tcW w:w="23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Times New Roman" w:hAnsi="Times New Roman" w:eastAsia="宋体" w:cs="宋体"/>
                <w:i w:val="0"/>
                <w:iCs w:val="0"/>
                <w:color w:val="000000"/>
                <w:sz w:val="22"/>
                <w:szCs w:val="22"/>
                <w:u w:val="none"/>
              </w:rPr>
            </w:pPr>
          </w:p>
        </w:tc>
        <w:tc>
          <w:tcPr>
            <w:tcW w:w="23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Times New Roman" w:hAnsi="Times New Roman" w:eastAsia="宋体" w:cs="宋体"/>
                <w:i w:val="0"/>
                <w:iCs w:val="0"/>
                <w:color w:val="000000"/>
                <w:sz w:val="22"/>
                <w:szCs w:val="22"/>
                <w:u w:val="none"/>
              </w:rPr>
            </w:pPr>
          </w:p>
        </w:tc>
        <w:tc>
          <w:tcPr>
            <w:tcW w:w="23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Times New Roman" w:hAnsi="Times New Roman"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23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imes New Roman" w:hAnsi="Times New Roman" w:eastAsia="宋体" w:cs="宋体"/>
                <w:i w:val="0"/>
                <w:iCs w:val="0"/>
                <w:color w:val="000000"/>
                <w:sz w:val="22"/>
                <w:szCs w:val="22"/>
                <w:u w:val="none"/>
              </w:rPr>
            </w:pPr>
          </w:p>
        </w:tc>
        <w:tc>
          <w:tcPr>
            <w:tcW w:w="43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Times New Roman" w:hAnsi="Times New Roman" w:eastAsia="宋体" w:cs="宋体"/>
                <w:i w:val="0"/>
                <w:iCs w:val="0"/>
                <w:color w:val="000000"/>
                <w:sz w:val="22"/>
                <w:szCs w:val="22"/>
                <w:u w:val="none"/>
              </w:rPr>
            </w:pPr>
          </w:p>
        </w:tc>
        <w:tc>
          <w:tcPr>
            <w:tcW w:w="23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Times New Roman" w:hAnsi="Times New Roman" w:eastAsia="宋体" w:cs="宋体"/>
                <w:i w:val="0"/>
                <w:iCs w:val="0"/>
                <w:color w:val="000000"/>
                <w:sz w:val="22"/>
                <w:szCs w:val="22"/>
                <w:u w:val="none"/>
              </w:rPr>
            </w:pPr>
          </w:p>
        </w:tc>
        <w:tc>
          <w:tcPr>
            <w:tcW w:w="23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Times New Roman" w:hAnsi="Times New Roman" w:eastAsia="宋体" w:cs="宋体"/>
                <w:i w:val="0"/>
                <w:iCs w:val="0"/>
                <w:color w:val="000000"/>
                <w:sz w:val="22"/>
                <w:szCs w:val="22"/>
                <w:u w:val="none"/>
              </w:rPr>
            </w:pPr>
          </w:p>
        </w:tc>
        <w:tc>
          <w:tcPr>
            <w:tcW w:w="23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Times New Roman" w:hAnsi="Times New Roman"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3848" w:type="dxa"/>
            <w:gridSpan w:val="5"/>
            <w:tcBorders>
              <w:top w:val="single" w:color="000000" w:sz="4" w:space="0"/>
              <w:left w:val="single" w:color="000000" w:sz="4" w:space="0"/>
              <w:bottom w:val="single" w:color="000000" w:sz="4" w:space="0"/>
              <w:right w:val="single" w:color="000000" w:sz="4" w:space="0"/>
            </w:tcBorders>
            <w:shd w:val="clear" w:color="F0F0F0" w:fill="FFFFFF"/>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（备注：本单位无政府性基金收支，故此表无数据。）</w:t>
            </w:r>
          </w:p>
        </w:tc>
      </w:tr>
    </w:tbl>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7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20"/>
        <w:gridCol w:w="2865"/>
        <w:gridCol w:w="4020"/>
        <w:gridCol w:w="28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ascii="Times New Roman" w:hAnsi="Times New Roman" w:eastAsia="方正黑体_GBK" w:cs="方正黑体_GBK"/>
                <w:i w:val="0"/>
                <w:iCs w:val="0"/>
                <w:color w:val="000000"/>
                <w:sz w:val="28"/>
                <w:szCs w:val="28"/>
                <w:u w:val="none"/>
              </w:rPr>
            </w:pPr>
            <w:r>
              <w:rPr>
                <w:rFonts w:hint="eastAsia" w:ascii="Times New Roman" w:hAnsi="Times New Roman" w:eastAsia="方正黑体_GBK" w:cs="方正黑体_GBK"/>
                <w:i w:val="0"/>
                <w:iCs w:val="0"/>
                <w:color w:val="000000"/>
                <w:kern w:val="0"/>
                <w:sz w:val="28"/>
                <w:szCs w:val="28"/>
                <w:u w:val="none"/>
                <w:lang w:val="en-US" w:eastAsia="zh-CN" w:bidi="ar"/>
              </w:rPr>
              <w:t>附件6</w:t>
            </w:r>
          </w:p>
        </w:tc>
        <w:tc>
          <w:tcPr>
            <w:tcW w:w="286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4020"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286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hRule="atLeast"/>
        </w:trPr>
        <w:tc>
          <w:tcPr>
            <w:tcW w:w="13770" w:type="dxa"/>
            <w:gridSpan w:val="4"/>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Times New Roman" w:hAnsi="Times New Roman" w:eastAsia="方正小标宋_GBK" w:cs="方正小标宋_GBK"/>
                <w:i w:val="0"/>
                <w:iCs w:val="0"/>
                <w:color w:val="000000"/>
                <w:sz w:val="40"/>
                <w:szCs w:val="40"/>
                <w:u w:val="none"/>
              </w:rPr>
            </w:pPr>
            <w:r>
              <w:rPr>
                <w:rFonts w:hint="eastAsia" w:ascii="Times New Roman" w:hAnsi="Times New Roman" w:eastAsia="方正小标宋_GBK" w:cs="方正小标宋_GBK"/>
                <w:i w:val="0"/>
                <w:iCs w:val="0"/>
                <w:color w:val="000000"/>
                <w:kern w:val="0"/>
                <w:sz w:val="40"/>
                <w:szCs w:val="40"/>
                <w:u w:val="none"/>
                <w:lang w:val="en-US" w:eastAsia="zh-CN" w:bidi="ar"/>
              </w:rPr>
              <w:t>重庆市潼南区司法局2026年部门收支总表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7" w:hRule="atLeast"/>
        </w:trPr>
        <w:tc>
          <w:tcPr>
            <w:tcW w:w="6885" w:type="dxa"/>
            <w:gridSpan w:val="2"/>
            <w:tcBorders>
              <w:top w:val="nil"/>
              <w:left w:val="nil"/>
              <w:bottom w:val="nil"/>
              <w:right w:val="nil"/>
            </w:tcBorders>
            <w:shd w:val="clear" w:color="auto" w:fill="auto"/>
            <w:vAlign w:val="center"/>
          </w:tcPr>
          <w:p>
            <w:pPr>
              <w:jc w:val="center"/>
              <w:rPr>
                <w:rFonts w:hint="eastAsia" w:ascii="Times New Roman" w:hAnsi="Times New Roman" w:eastAsia="宋体" w:cs="宋体"/>
                <w:i w:val="0"/>
                <w:iCs w:val="0"/>
                <w:color w:val="000000"/>
                <w:sz w:val="18"/>
                <w:szCs w:val="18"/>
                <w:u w:val="none"/>
              </w:rPr>
            </w:pPr>
          </w:p>
        </w:tc>
        <w:tc>
          <w:tcPr>
            <w:tcW w:w="6885" w:type="dxa"/>
            <w:gridSpan w:val="2"/>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5" w:hRule="atLeast"/>
        </w:trPr>
        <w:tc>
          <w:tcPr>
            <w:tcW w:w="6885" w:type="dxa"/>
            <w:gridSpan w:val="2"/>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收入</w:t>
            </w:r>
          </w:p>
        </w:tc>
        <w:tc>
          <w:tcPr>
            <w:tcW w:w="6885" w:type="dxa"/>
            <w:gridSpan w:val="2"/>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5" w:hRule="atLeast"/>
        </w:trPr>
        <w:tc>
          <w:tcPr>
            <w:tcW w:w="4020"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项目</w:t>
            </w:r>
          </w:p>
        </w:tc>
        <w:tc>
          <w:tcPr>
            <w:tcW w:w="286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预算数</w:t>
            </w:r>
          </w:p>
        </w:tc>
        <w:tc>
          <w:tcPr>
            <w:tcW w:w="4020"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支出科目</w:t>
            </w:r>
          </w:p>
        </w:tc>
        <w:tc>
          <w:tcPr>
            <w:tcW w:w="286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一般公共预算拨款收入</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3,186.13</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一、一般公共服务支出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政府性基金预算拨款收入</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二、外交支出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国有资本经营预算拨款收入</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三、国防支出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财政专户管理资金收入</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四、公共安全支出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2,544.32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事业收入</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五、教育支出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上级补助收入</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六、科学技术支出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附属单位上缴收入</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七、文化旅游体育与传媒支出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事业单位经营收入</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八、社会保障和就业支出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383.71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其他收入</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九、社会保险基金支出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十、卫生健康支出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116.72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十一、节能环保支出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十二、城乡社区支出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十三、农林水支出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十四、交通运输支出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十五、资源勘探工业信息等支出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十六、商业服务业等支出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十七、金融支出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十八、援助其他地区支出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十九、自然资源海洋气象等支出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二十、住房保障支出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141.38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二十一、粮油物资储备支出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二十二、国有资本经营预算支出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二十三、灾害防治及应急管理支出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二十四、其他支出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二十五、转移性支出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二十六、债务付息支出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二十七、债务发行费用支出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二十八、抗疫特别国债安排的支出</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本年收入合计</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3,186.13</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本年支出合计</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3,186.13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上年结转</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b/>
                <w:bCs/>
                <w:i w:val="0"/>
                <w:iCs w:val="0"/>
                <w:color w:val="000000"/>
                <w:sz w:val="18"/>
                <w:szCs w:val="18"/>
                <w:u w:val="none"/>
              </w:rPr>
            </w:pP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结转下年</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收入总计</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3,186.13</w:t>
            </w:r>
          </w:p>
        </w:tc>
        <w:tc>
          <w:tcPr>
            <w:tcW w:w="4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支出总计</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3,186.13</w:t>
            </w:r>
          </w:p>
        </w:tc>
      </w:tr>
    </w:tbl>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40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80"/>
        <w:gridCol w:w="3302"/>
        <w:gridCol w:w="1105"/>
        <w:gridCol w:w="790"/>
        <w:gridCol w:w="1105"/>
        <w:gridCol w:w="791"/>
        <w:gridCol w:w="791"/>
        <w:gridCol w:w="791"/>
        <w:gridCol w:w="791"/>
        <w:gridCol w:w="791"/>
        <w:gridCol w:w="791"/>
        <w:gridCol w:w="791"/>
        <w:gridCol w:w="7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380"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ascii="Times New Roman" w:hAnsi="Times New Roman" w:eastAsia="方正黑体_GBK" w:cs="方正黑体_GBK"/>
                <w:i w:val="0"/>
                <w:iCs w:val="0"/>
                <w:color w:val="000000"/>
                <w:sz w:val="28"/>
                <w:szCs w:val="28"/>
                <w:u w:val="none"/>
              </w:rPr>
            </w:pPr>
            <w:r>
              <w:rPr>
                <w:rFonts w:hint="eastAsia" w:ascii="Times New Roman" w:hAnsi="Times New Roman" w:eastAsia="方正黑体_GBK" w:cs="方正黑体_GBK"/>
                <w:i w:val="0"/>
                <w:iCs w:val="0"/>
                <w:color w:val="000000"/>
                <w:kern w:val="0"/>
                <w:sz w:val="28"/>
                <w:szCs w:val="28"/>
                <w:u w:val="none"/>
                <w:lang w:val="en-US" w:eastAsia="zh-CN" w:bidi="ar"/>
              </w:rPr>
              <w:t>附件7</w:t>
            </w:r>
          </w:p>
        </w:tc>
        <w:tc>
          <w:tcPr>
            <w:tcW w:w="355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82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82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82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82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82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82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82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82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82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82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82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hRule="atLeast"/>
        </w:trPr>
        <w:tc>
          <w:tcPr>
            <w:tcW w:w="14010" w:type="dxa"/>
            <w:gridSpan w:val="13"/>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Times New Roman" w:hAnsi="Times New Roman" w:eastAsia="方正小标宋_GBK" w:cs="方正小标宋_GBK"/>
                <w:i w:val="0"/>
                <w:iCs w:val="0"/>
                <w:color w:val="000000"/>
                <w:sz w:val="40"/>
                <w:szCs w:val="40"/>
                <w:u w:val="none"/>
              </w:rPr>
            </w:pPr>
            <w:r>
              <w:rPr>
                <w:rFonts w:hint="eastAsia" w:ascii="Times New Roman" w:hAnsi="Times New Roman" w:eastAsia="方正小标宋_GBK" w:cs="方正小标宋_GBK"/>
                <w:i w:val="0"/>
                <w:iCs w:val="0"/>
                <w:color w:val="000000"/>
                <w:kern w:val="0"/>
                <w:sz w:val="40"/>
                <w:szCs w:val="40"/>
                <w:u w:val="none"/>
                <w:lang w:val="en-US" w:eastAsia="zh-CN" w:bidi="ar"/>
              </w:rPr>
              <w:t>重庆市潼南区司法局2026年部门收入总表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7" w:hRule="atLeast"/>
        </w:trPr>
        <w:tc>
          <w:tcPr>
            <w:tcW w:w="1380"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3555" w:type="dxa"/>
            <w:tcBorders>
              <w:top w:val="nil"/>
              <w:left w:val="nil"/>
              <w:bottom w:val="nil"/>
              <w:right w:val="nil"/>
            </w:tcBorders>
            <w:shd w:val="clear" w:color="auto" w:fill="auto"/>
            <w:vAlign w:val="center"/>
          </w:tcPr>
          <w:p>
            <w:pPr>
              <w:jc w:val="center"/>
              <w:rPr>
                <w:rFonts w:hint="eastAsia" w:ascii="Times New Roman" w:hAnsi="Times New Roman" w:eastAsia="宋体" w:cs="宋体"/>
                <w:i w:val="0"/>
                <w:iCs w:val="0"/>
                <w:color w:val="000000"/>
                <w:sz w:val="18"/>
                <w:szCs w:val="18"/>
                <w:u w:val="none"/>
              </w:rPr>
            </w:pPr>
          </w:p>
        </w:tc>
        <w:tc>
          <w:tcPr>
            <w:tcW w:w="82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82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82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82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82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82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82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82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475" w:type="dxa"/>
            <w:gridSpan w:val="3"/>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20" w:hRule="atLeast"/>
        </w:trPr>
        <w:tc>
          <w:tcPr>
            <w:tcW w:w="1380"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单位/科目编码</w:t>
            </w:r>
          </w:p>
        </w:tc>
        <w:tc>
          <w:tcPr>
            <w:tcW w:w="355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单位/科目名称</w:t>
            </w:r>
          </w:p>
        </w:tc>
        <w:tc>
          <w:tcPr>
            <w:tcW w:w="82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总计</w:t>
            </w:r>
          </w:p>
        </w:tc>
        <w:tc>
          <w:tcPr>
            <w:tcW w:w="82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上年结转结余资金</w:t>
            </w:r>
          </w:p>
        </w:tc>
        <w:tc>
          <w:tcPr>
            <w:tcW w:w="82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一般公共预算拨款收入</w:t>
            </w:r>
          </w:p>
        </w:tc>
        <w:tc>
          <w:tcPr>
            <w:tcW w:w="82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政府性基金预算拨款收入</w:t>
            </w:r>
          </w:p>
        </w:tc>
        <w:tc>
          <w:tcPr>
            <w:tcW w:w="82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国有资本经营预算拨款收入</w:t>
            </w:r>
          </w:p>
        </w:tc>
        <w:tc>
          <w:tcPr>
            <w:tcW w:w="82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事业收入</w:t>
            </w:r>
          </w:p>
        </w:tc>
        <w:tc>
          <w:tcPr>
            <w:tcW w:w="82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财政专户管理收入</w:t>
            </w:r>
          </w:p>
        </w:tc>
        <w:tc>
          <w:tcPr>
            <w:tcW w:w="82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上级补助收入</w:t>
            </w:r>
          </w:p>
        </w:tc>
        <w:tc>
          <w:tcPr>
            <w:tcW w:w="82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附属单位上缴收入</w:t>
            </w:r>
          </w:p>
        </w:tc>
        <w:tc>
          <w:tcPr>
            <w:tcW w:w="82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事业单位经营收入</w:t>
            </w:r>
          </w:p>
        </w:tc>
        <w:tc>
          <w:tcPr>
            <w:tcW w:w="82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合计</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3,186.13</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b/>
                <w:bCs/>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3,186.13</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公共安全支出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2,544.32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b/>
                <w:bCs/>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2,544.32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司法</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2,544.32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b/>
                <w:bCs/>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2,544.32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行政运行</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1,492.49</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1,492.49</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2040604</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基层司法业务</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77.68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77.68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普法宣传</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2040607</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公共法律服务</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231.40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231.40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社区矫正</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310.19</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310.19</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2040612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法治建设</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222.16</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222.16</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2040650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事业运行</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159.40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159.40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208</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社会保障和就业支出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383.71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b/>
                <w:bCs/>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383.71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20805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行政事业单位养老支出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383.71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b/>
                <w:bCs/>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383.71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2080505</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机关事业单位基本养老保险缴费支出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154.73</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154.73</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2080506</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机关事业单位职业年金缴费支出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77.36</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77.36</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2080599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其他行政事业单位养老支出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151.62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151.62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210</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卫生健康支出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116.72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b/>
                <w:bCs/>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116.72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21011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行政事业单位医疗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116.72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b/>
                <w:bCs/>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116.72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2101101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行政单位医疗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86.08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86.08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2101102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事业单位医疗</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7.40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7.40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2101103</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公务员医疗补助</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10.40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10.40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2101199</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其他行政事业单位医疗支出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12.84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12.84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221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住房保障支出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141.38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b/>
                <w:bCs/>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141.38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22102</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住房改革支出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141.38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b/>
                <w:bCs/>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141.38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2210201</w:t>
            </w:r>
          </w:p>
        </w:tc>
        <w:tc>
          <w:tcPr>
            <w:tcW w:w="3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住房公积金</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141.38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141.38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bl>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9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00"/>
        <w:gridCol w:w="4306"/>
        <w:gridCol w:w="2400"/>
        <w:gridCol w:w="2400"/>
        <w:gridCol w:w="23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2400"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ascii="Times New Roman" w:hAnsi="Times New Roman" w:eastAsia="方正黑体_GBK" w:cs="方正黑体_GBK"/>
                <w:i w:val="0"/>
                <w:iCs w:val="0"/>
                <w:color w:val="000000"/>
                <w:sz w:val="28"/>
                <w:szCs w:val="28"/>
                <w:u w:val="none"/>
              </w:rPr>
            </w:pPr>
            <w:r>
              <w:rPr>
                <w:rFonts w:hint="eastAsia" w:ascii="Times New Roman" w:hAnsi="Times New Roman" w:eastAsia="方正黑体_GBK" w:cs="方正黑体_GBK"/>
                <w:i w:val="0"/>
                <w:iCs w:val="0"/>
                <w:color w:val="000000"/>
                <w:kern w:val="0"/>
                <w:sz w:val="28"/>
                <w:szCs w:val="28"/>
                <w:u w:val="none"/>
                <w:lang w:val="en-US" w:eastAsia="zh-CN" w:bidi="ar"/>
              </w:rPr>
              <w:t>附件8</w:t>
            </w:r>
          </w:p>
        </w:tc>
        <w:tc>
          <w:tcPr>
            <w:tcW w:w="4308"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2400"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2400"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2400"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0" w:hRule="atLeast"/>
        </w:trPr>
        <w:tc>
          <w:tcPr>
            <w:tcW w:w="13908" w:type="dxa"/>
            <w:gridSpan w:val="5"/>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Times New Roman" w:hAnsi="Times New Roman" w:eastAsia="方正小标宋_GBK" w:cs="方正小标宋_GBK"/>
                <w:i w:val="0"/>
                <w:iCs w:val="0"/>
                <w:color w:val="000000"/>
                <w:sz w:val="40"/>
                <w:szCs w:val="40"/>
                <w:u w:val="none"/>
              </w:rPr>
            </w:pPr>
            <w:r>
              <w:rPr>
                <w:rFonts w:hint="eastAsia" w:ascii="Times New Roman" w:hAnsi="Times New Roman" w:eastAsia="方正小标宋_GBK" w:cs="方正小标宋_GBK"/>
                <w:i w:val="0"/>
                <w:iCs w:val="0"/>
                <w:color w:val="000000"/>
                <w:kern w:val="0"/>
                <w:sz w:val="40"/>
                <w:szCs w:val="40"/>
                <w:u w:val="none"/>
                <w:lang w:val="en-US" w:eastAsia="zh-CN" w:bidi="ar"/>
              </w:rPr>
              <w:t>重庆市潼南区司法局2026年部门支出总表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7" w:hRule="atLeast"/>
        </w:trPr>
        <w:tc>
          <w:tcPr>
            <w:tcW w:w="2400"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4308" w:type="dxa"/>
            <w:tcBorders>
              <w:top w:val="nil"/>
              <w:left w:val="nil"/>
              <w:bottom w:val="nil"/>
              <w:right w:val="nil"/>
            </w:tcBorders>
            <w:shd w:val="clear" w:color="auto" w:fill="auto"/>
            <w:vAlign w:val="center"/>
          </w:tcPr>
          <w:p>
            <w:pPr>
              <w:jc w:val="center"/>
              <w:rPr>
                <w:rFonts w:hint="eastAsia" w:ascii="Times New Roman" w:hAnsi="Times New Roman" w:eastAsia="宋体" w:cs="宋体"/>
                <w:i w:val="0"/>
                <w:iCs w:val="0"/>
                <w:color w:val="000000"/>
                <w:sz w:val="18"/>
                <w:szCs w:val="18"/>
                <w:u w:val="none"/>
              </w:rPr>
            </w:pPr>
          </w:p>
        </w:tc>
        <w:tc>
          <w:tcPr>
            <w:tcW w:w="2400"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4800" w:type="dxa"/>
            <w:gridSpan w:val="2"/>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1" w:hRule="atLeast"/>
        </w:trPr>
        <w:tc>
          <w:tcPr>
            <w:tcW w:w="2400"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单位/科目编码</w:t>
            </w:r>
          </w:p>
        </w:tc>
        <w:tc>
          <w:tcPr>
            <w:tcW w:w="4308"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单位/科目名称</w:t>
            </w:r>
          </w:p>
        </w:tc>
        <w:tc>
          <w:tcPr>
            <w:tcW w:w="2400"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合计</w:t>
            </w:r>
          </w:p>
        </w:tc>
        <w:tc>
          <w:tcPr>
            <w:tcW w:w="2400"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基本支出</w:t>
            </w:r>
          </w:p>
        </w:tc>
        <w:tc>
          <w:tcPr>
            <w:tcW w:w="2400"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18"/>
                <w:szCs w:val="18"/>
                <w:u w:val="none"/>
              </w:rPr>
            </w:pP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合计</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3,186.13</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2,293.70</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892.43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204</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公共安全支出</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2,544.32</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1,651.89</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892.43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司法</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2,544.32</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1,651.89</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892.43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2040601</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行政运行</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1,492.49</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1,492.49</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2040604</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基层司法业务</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77.68</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77.68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2040605</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普法宣传</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51.00</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2040607</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公共法律服务</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231.40</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231.40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2040610</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社区矫正</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310.19</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310.19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2040612</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法治建设</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222.16</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222.16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2040650</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事业运行</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159.40</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159.40</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208</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社会保障和就业支出</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383.71</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383.71</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20805</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行政事业单位养老支出</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383.71</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383.71</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2080505</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机关事业单位基本养老保险缴费支出</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154.73</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154.73</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2080506</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机关事业单位职业年金缴费支出</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77.36</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77.36</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2080599</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其他行政事业单位养老支出</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151.62</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151.62</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210</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卫生健康支出</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116.72</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116.72</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21011</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行政事业单位医疗</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116.72</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116.72</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2101101</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行政单位医疗</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86.08</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86.08</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2101102</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事业单位医疗</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7.40</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7.40</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2101103</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公务员医疗补助</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10.40</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10.40</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2101199</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其他行政事业单位医疗支出</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12.84</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12.84</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221</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住房保障支出</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141.38</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141.38</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22102</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住房改革支出</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141.38</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141.38</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2210201</w:t>
            </w:r>
          </w:p>
        </w:tc>
        <w:tc>
          <w:tcPr>
            <w:tcW w:w="4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   住房公积金</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141.38</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141.38</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bl>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55"/>
        <w:gridCol w:w="1155"/>
        <w:gridCol w:w="1155"/>
        <w:gridCol w:w="1155"/>
        <w:gridCol w:w="1155"/>
        <w:gridCol w:w="1155"/>
        <w:gridCol w:w="1155"/>
        <w:gridCol w:w="1155"/>
        <w:gridCol w:w="1155"/>
        <w:gridCol w:w="1155"/>
        <w:gridCol w:w="1155"/>
        <w:gridCol w:w="11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155"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ascii="Times New Roman" w:hAnsi="Times New Roman" w:eastAsia="方正黑体_GBK" w:cs="方正黑体_GBK"/>
                <w:i w:val="0"/>
                <w:iCs w:val="0"/>
                <w:color w:val="000000"/>
                <w:sz w:val="28"/>
                <w:szCs w:val="28"/>
                <w:u w:val="none"/>
              </w:rPr>
            </w:pPr>
            <w:r>
              <w:rPr>
                <w:rFonts w:hint="eastAsia" w:ascii="Times New Roman" w:hAnsi="Times New Roman" w:eastAsia="方正黑体_GBK" w:cs="方正黑体_GBK"/>
                <w:i w:val="0"/>
                <w:iCs w:val="0"/>
                <w:color w:val="000000"/>
                <w:kern w:val="0"/>
                <w:sz w:val="28"/>
                <w:szCs w:val="28"/>
                <w:u w:val="none"/>
                <w:lang w:val="en-US" w:eastAsia="zh-CN" w:bidi="ar"/>
              </w:rPr>
              <w:t>附件9</w:t>
            </w:r>
          </w:p>
        </w:tc>
        <w:tc>
          <w:tcPr>
            <w:tcW w:w="115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115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115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115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115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115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115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115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115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115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c>
          <w:tcPr>
            <w:tcW w:w="1155" w:type="dxa"/>
            <w:tcBorders>
              <w:top w:val="nil"/>
              <w:left w:val="nil"/>
              <w:bottom w:val="nil"/>
              <w:right w:val="nil"/>
            </w:tcBorders>
            <w:shd w:val="clear" w:color="auto" w:fill="FFFFFF"/>
            <w:vAlign w:val="center"/>
          </w:tcPr>
          <w:p>
            <w:pPr>
              <w:rPr>
                <w:rFonts w:hint="eastAsia" w:ascii="Times New Roman" w:hAnsi="Times New Roman" w:eastAsia="方正黑体_GBK" w:cs="方正黑体_GBK"/>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12" w:hRule="atLeast"/>
        </w:trPr>
        <w:tc>
          <w:tcPr>
            <w:tcW w:w="1386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Times New Roman" w:hAnsi="Times New Roman" w:eastAsia="方正小标宋_GBK" w:cs="方正小标宋_GBK"/>
                <w:i w:val="0"/>
                <w:iCs w:val="0"/>
                <w:color w:val="000000"/>
                <w:sz w:val="40"/>
                <w:szCs w:val="40"/>
                <w:u w:val="none"/>
              </w:rPr>
            </w:pPr>
            <w:r>
              <w:rPr>
                <w:rFonts w:hint="eastAsia" w:ascii="Times New Roman" w:hAnsi="Times New Roman" w:eastAsia="方正小标宋_GBK" w:cs="方正小标宋_GBK"/>
                <w:i w:val="0"/>
                <w:iCs w:val="0"/>
                <w:color w:val="000000"/>
                <w:kern w:val="0"/>
                <w:sz w:val="40"/>
                <w:szCs w:val="40"/>
                <w:u w:val="none"/>
                <w:lang w:val="en-US" w:eastAsia="zh-CN" w:bidi="ar"/>
              </w:rPr>
              <w:t>重庆市潼南区司法局2026年采购预算明细表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7" w:hRule="atLeast"/>
        </w:trPr>
        <w:tc>
          <w:tcPr>
            <w:tcW w:w="1155" w:type="dxa"/>
            <w:tcBorders>
              <w:top w:val="nil"/>
              <w:left w:val="nil"/>
              <w:bottom w:val="nil"/>
              <w:right w:val="nil"/>
            </w:tcBorders>
            <w:shd w:val="clear" w:color="auto" w:fill="auto"/>
            <w:vAlign w:val="center"/>
          </w:tcPr>
          <w:p>
            <w:pPr>
              <w:jc w:val="center"/>
              <w:rPr>
                <w:rFonts w:hint="eastAsia" w:ascii="Times New Roman" w:hAnsi="Times New Roman" w:eastAsia="宋体" w:cs="宋体"/>
                <w:i w:val="0"/>
                <w:iCs w:val="0"/>
                <w:color w:val="000000"/>
                <w:sz w:val="18"/>
                <w:szCs w:val="18"/>
                <w:u w:val="none"/>
              </w:rPr>
            </w:pPr>
          </w:p>
        </w:tc>
        <w:tc>
          <w:tcPr>
            <w:tcW w:w="115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310"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15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15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15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15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15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15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310" w:type="dxa"/>
            <w:gridSpan w:val="2"/>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2" w:hRule="atLeast"/>
        </w:trPr>
        <w:tc>
          <w:tcPr>
            <w:tcW w:w="115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项目</w:t>
            </w:r>
          </w:p>
        </w:tc>
        <w:tc>
          <w:tcPr>
            <w:tcW w:w="115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总计</w:t>
            </w:r>
          </w:p>
        </w:tc>
        <w:tc>
          <w:tcPr>
            <w:tcW w:w="115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上年结转结余资金</w:t>
            </w:r>
          </w:p>
        </w:tc>
        <w:tc>
          <w:tcPr>
            <w:tcW w:w="115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一般公共预算拨款收入</w:t>
            </w:r>
          </w:p>
        </w:tc>
        <w:tc>
          <w:tcPr>
            <w:tcW w:w="115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政府性基金预算拨款收入</w:t>
            </w:r>
          </w:p>
        </w:tc>
        <w:tc>
          <w:tcPr>
            <w:tcW w:w="115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国有资本经营预算拨款收入</w:t>
            </w:r>
          </w:p>
        </w:tc>
        <w:tc>
          <w:tcPr>
            <w:tcW w:w="115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财政专户管理收入</w:t>
            </w:r>
          </w:p>
        </w:tc>
        <w:tc>
          <w:tcPr>
            <w:tcW w:w="115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事业收入</w:t>
            </w:r>
          </w:p>
        </w:tc>
        <w:tc>
          <w:tcPr>
            <w:tcW w:w="115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上级补助收入</w:t>
            </w:r>
          </w:p>
        </w:tc>
        <w:tc>
          <w:tcPr>
            <w:tcW w:w="115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附属单位上缴收入</w:t>
            </w:r>
          </w:p>
        </w:tc>
        <w:tc>
          <w:tcPr>
            <w:tcW w:w="115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事业单位经营收入</w:t>
            </w:r>
          </w:p>
        </w:tc>
        <w:tc>
          <w:tcPr>
            <w:tcW w:w="115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60" w:hRule="atLeast"/>
        </w:trPr>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合计</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40.00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b/>
                <w:bCs/>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40.00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60" w:hRule="atLeast"/>
        </w:trPr>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货物类</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25.00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25.00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60" w:hRule="atLeast"/>
        </w:trPr>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工程类</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60" w:hRule="atLeast"/>
        </w:trPr>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服务类</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宋体" w:cs="宋体"/>
                <w:i w:val="0"/>
                <w:iCs w:val="0"/>
                <w:color w:val="000000"/>
                <w:sz w:val="18"/>
                <w:szCs w:val="18"/>
                <w:u w:val="none"/>
              </w:rPr>
            </w:pPr>
          </w:p>
        </w:tc>
      </w:tr>
    </w:tbl>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6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9"/>
        <w:gridCol w:w="2040"/>
        <w:gridCol w:w="3846"/>
        <w:gridCol w:w="846"/>
        <w:gridCol w:w="846"/>
        <w:gridCol w:w="846"/>
        <w:gridCol w:w="734"/>
        <w:gridCol w:w="846"/>
        <w:gridCol w:w="846"/>
        <w:gridCol w:w="846"/>
        <w:gridCol w:w="594"/>
        <w:gridCol w:w="8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2599" w:type="dxa"/>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Times New Roman" w:hAnsi="Times New Roman" w:eastAsia="方正黑体_GBK" w:cs="方正黑体_GBK"/>
                <w:i w:val="0"/>
                <w:iCs w:val="0"/>
                <w:color w:val="000000"/>
                <w:sz w:val="28"/>
                <w:szCs w:val="28"/>
                <w:u w:val="none"/>
              </w:rPr>
            </w:pPr>
            <w:r>
              <w:rPr>
                <w:rFonts w:hint="eastAsia" w:ascii="Times New Roman" w:hAnsi="Times New Roman" w:eastAsia="方正黑体_GBK" w:cs="方正黑体_GBK"/>
                <w:i w:val="0"/>
                <w:iCs w:val="0"/>
                <w:color w:val="000000"/>
                <w:kern w:val="0"/>
                <w:sz w:val="28"/>
                <w:szCs w:val="28"/>
                <w:u w:val="none"/>
                <w:lang w:val="en-US" w:eastAsia="zh-CN" w:bidi="ar"/>
              </w:rPr>
              <w:t>附件10</w:t>
            </w:r>
          </w:p>
        </w:tc>
        <w:tc>
          <w:tcPr>
            <w:tcW w:w="4485" w:type="dxa"/>
            <w:tcBorders>
              <w:top w:val="nil"/>
              <w:left w:val="nil"/>
              <w:bottom w:val="nil"/>
              <w:right w:val="nil"/>
            </w:tcBorders>
            <w:shd w:val="clear" w:color="auto" w:fill="auto"/>
            <w:vAlign w:val="center"/>
          </w:tcPr>
          <w:p>
            <w:pPr>
              <w:rPr>
                <w:rFonts w:hint="eastAsia" w:ascii="Times New Roman" w:hAnsi="Times New Roman" w:eastAsia="方正黑体_GBK" w:cs="方正黑体_GBK"/>
                <w:i w:val="0"/>
                <w:iCs w:val="0"/>
                <w:color w:val="000000"/>
                <w:sz w:val="32"/>
                <w:szCs w:val="32"/>
                <w:u w:val="none"/>
              </w:rPr>
            </w:pPr>
          </w:p>
        </w:tc>
        <w:tc>
          <w:tcPr>
            <w:tcW w:w="735" w:type="dxa"/>
            <w:tcBorders>
              <w:top w:val="nil"/>
              <w:left w:val="nil"/>
              <w:bottom w:val="nil"/>
              <w:right w:val="nil"/>
            </w:tcBorders>
            <w:shd w:val="clear" w:color="auto" w:fill="auto"/>
            <w:vAlign w:val="center"/>
          </w:tcPr>
          <w:p>
            <w:pPr>
              <w:rPr>
                <w:rFonts w:hint="eastAsia" w:ascii="Times New Roman" w:hAnsi="Times New Roman" w:eastAsia="方正黑体_GBK" w:cs="方正黑体_GBK"/>
                <w:i w:val="0"/>
                <w:iCs w:val="0"/>
                <w:color w:val="000000"/>
                <w:sz w:val="32"/>
                <w:szCs w:val="32"/>
                <w:u w:val="none"/>
              </w:rPr>
            </w:pPr>
          </w:p>
        </w:tc>
        <w:tc>
          <w:tcPr>
            <w:tcW w:w="735" w:type="dxa"/>
            <w:tcBorders>
              <w:top w:val="nil"/>
              <w:left w:val="nil"/>
              <w:bottom w:val="nil"/>
              <w:right w:val="nil"/>
            </w:tcBorders>
            <w:shd w:val="clear" w:color="auto" w:fill="auto"/>
            <w:vAlign w:val="center"/>
          </w:tcPr>
          <w:p>
            <w:pPr>
              <w:rPr>
                <w:rFonts w:hint="eastAsia" w:ascii="Times New Roman" w:hAnsi="Times New Roman" w:eastAsia="方正黑体_GBK" w:cs="方正黑体_GBK"/>
                <w:i w:val="0"/>
                <w:iCs w:val="0"/>
                <w:color w:val="000000"/>
                <w:sz w:val="32"/>
                <w:szCs w:val="32"/>
                <w:u w:val="none"/>
              </w:rPr>
            </w:pPr>
          </w:p>
        </w:tc>
        <w:tc>
          <w:tcPr>
            <w:tcW w:w="735" w:type="dxa"/>
            <w:tcBorders>
              <w:top w:val="nil"/>
              <w:left w:val="nil"/>
              <w:bottom w:val="nil"/>
              <w:right w:val="nil"/>
            </w:tcBorders>
            <w:shd w:val="clear" w:color="auto" w:fill="auto"/>
            <w:vAlign w:val="center"/>
          </w:tcPr>
          <w:p>
            <w:pPr>
              <w:rPr>
                <w:rFonts w:hint="eastAsia" w:ascii="Times New Roman" w:hAnsi="Times New Roman" w:eastAsia="方正黑体_GBK" w:cs="方正黑体_GBK"/>
                <w:i w:val="0"/>
                <w:iCs w:val="0"/>
                <w:color w:val="000000"/>
                <w:sz w:val="32"/>
                <w:szCs w:val="32"/>
                <w:u w:val="none"/>
              </w:rPr>
            </w:pPr>
          </w:p>
        </w:tc>
        <w:tc>
          <w:tcPr>
            <w:tcW w:w="735" w:type="dxa"/>
            <w:tcBorders>
              <w:top w:val="nil"/>
              <w:left w:val="nil"/>
              <w:bottom w:val="nil"/>
              <w:right w:val="nil"/>
            </w:tcBorders>
            <w:shd w:val="clear" w:color="auto" w:fill="auto"/>
            <w:vAlign w:val="center"/>
          </w:tcPr>
          <w:p>
            <w:pPr>
              <w:rPr>
                <w:rFonts w:hint="eastAsia" w:ascii="Times New Roman" w:hAnsi="Times New Roman" w:eastAsia="方正黑体_GBK" w:cs="方正黑体_GBK"/>
                <w:i w:val="0"/>
                <w:iCs w:val="0"/>
                <w:color w:val="000000"/>
                <w:sz w:val="32"/>
                <w:szCs w:val="32"/>
                <w:u w:val="none"/>
              </w:rPr>
            </w:pPr>
          </w:p>
        </w:tc>
        <w:tc>
          <w:tcPr>
            <w:tcW w:w="735" w:type="dxa"/>
            <w:tcBorders>
              <w:top w:val="nil"/>
              <w:left w:val="nil"/>
              <w:bottom w:val="nil"/>
              <w:right w:val="nil"/>
            </w:tcBorders>
            <w:shd w:val="clear" w:color="auto" w:fill="auto"/>
            <w:vAlign w:val="center"/>
          </w:tcPr>
          <w:p>
            <w:pPr>
              <w:rPr>
                <w:rFonts w:hint="eastAsia" w:ascii="Times New Roman" w:hAnsi="Times New Roman" w:eastAsia="方正黑体_GBK" w:cs="方正黑体_GBK"/>
                <w:i w:val="0"/>
                <w:iCs w:val="0"/>
                <w:color w:val="000000"/>
                <w:sz w:val="32"/>
                <w:szCs w:val="32"/>
                <w:u w:val="none"/>
              </w:rPr>
            </w:pPr>
          </w:p>
        </w:tc>
        <w:tc>
          <w:tcPr>
            <w:tcW w:w="735" w:type="dxa"/>
            <w:tcBorders>
              <w:top w:val="nil"/>
              <w:left w:val="nil"/>
              <w:bottom w:val="nil"/>
              <w:right w:val="nil"/>
            </w:tcBorders>
            <w:shd w:val="clear" w:color="auto" w:fill="auto"/>
            <w:vAlign w:val="center"/>
          </w:tcPr>
          <w:p>
            <w:pPr>
              <w:rPr>
                <w:rFonts w:hint="eastAsia" w:ascii="Times New Roman" w:hAnsi="Times New Roman" w:eastAsia="方正黑体_GBK" w:cs="方正黑体_GBK"/>
                <w:i w:val="0"/>
                <w:iCs w:val="0"/>
                <w:color w:val="000000"/>
                <w:sz w:val="32"/>
                <w:szCs w:val="32"/>
                <w:u w:val="none"/>
              </w:rPr>
            </w:pPr>
          </w:p>
        </w:tc>
        <w:tc>
          <w:tcPr>
            <w:tcW w:w="735" w:type="dxa"/>
            <w:tcBorders>
              <w:top w:val="nil"/>
              <w:left w:val="nil"/>
              <w:bottom w:val="nil"/>
              <w:right w:val="nil"/>
            </w:tcBorders>
            <w:shd w:val="clear" w:color="auto" w:fill="auto"/>
            <w:vAlign w:val="center"/>
          </w:tcPr>
          <w:p>
            <w:pPr>
              <w:rPr>
                <w:rFonts w:hint="eastAsia" w:ascii="Times New Roman" w:hAnsi="Times New Roman" w:eastAsia="方正黑体_GBK" w:cs="方正黑体_GBK"/>
                <w:i w:val="0"/>
                <w:iCs w:val="0"/>
                <w:color w:val="000000"/>
                <w:sz w:val="32"/>
                <w:szCs w:val="32"/>
                <w:u w:val="none"/>
              </w:rPr>
            </w:pPr>
          </w:p>
        </w:tc>
        <w:tc>
          <w:tcPr>
            <w:tcW w:w="735" w:type="dxa"/>
            <w:tcBorders>
              <w:top w:val="nil"/>
              <w:left w:val="nil"/>
              <w:bottom w:val="nil"/>
              <w:right w:val="nil"/>
            </w:tcBorders>
            <w:shd w:val="clear" w:color="auto" w:fill="auto"/>
            <w:vAlign w:val="center"/>
          </w:tcPr>
          <w:p>
            <w:pPr>
              <w:rPr>
                <w:rFonts w:hint="eastAsia" w:ascii="Times New Roman" w:hAnsi="Times New Roman" w:eastAsia="方正黑体_GBK" w:cs="方正黑体_GBK"/>
                <w:i w:val="0"/>
                <w:iCs w:val="0"/>
                <w:color w:val="000000"/>
                <w:sz w:val="32"/>
                <w:szCs w:val="32"/>
                <w:u w:val="none"/>
              </w:rPr>
            </w:pPr>
          </w:p>
        </w:tc>
        <w:tc>
          <w:tcPr>
            <w:tcW w:w="735" w:type="dxa"/>
            <w:tcBorders>
              <w:top w:val="nil"/>
              <w:left w:val="nil"/>
              <w:bottom w:val="nil"/>
              <w:right w:val="nil"/>
            </w:tcBorders>
            <w:shd w:val="clear" w:color="auto" w:fill="auto"/>
            <w:vAlign w:val="center"/>
          </w:tcPr>
          <w:p>
            <w:pPr>
              <w:rPr>
                <w:rFonts w:hint="eastAsia" w:ascii="Times New Roman" w:hAnsi="Times New Roman" w:eastAsia="方正黑体_GBK" w:cs="方正黑体_GBK"/>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hRule="atLeast"/>
        </w:trPr>
        <w:tc>
          <w:tcPr>
            <w:tcW w:w="0" w:type="auto"/>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22"/>
                <w:szCs w:val="22"/>
                <w:u w:val="none"/>
              </w:rPr>
            </w:pPr>
          </w:p>
        </w:tc>
        <w:tc>
          <w:tcPr>
            <w:tcW w:w="13140" w:type="dxa"/>
            <w:gridSpan w:val="11"/>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Times New Roman" w:hAnsi="Times New Roman" w:eastAsia="方正小标宋_GBK" w:cs="方正小标宋_GBK"/>
                <w:i w:val="0"/>
                <w:iCs w:val="0"/>
                <w:color w:val="000000"/>
                <w:sz w:val="40"/>
                <w:szCs w:val="40"/>
                <w:u w:val="none"/>
              </w:rPr>
            </w:pPr>
            <w:r>
              <w:rPr>
                <w:rFonts w:hint="eastAsia" w:ascii="Times New Roman" w:hAnsi="Times New Roman" w:eastAsia="方正小标宋_GBK" w:cs="方正小标宋_GBK"/>
                <w:i w:val="0"/>
                <w:iCs w:val="0"/>
                <w:color w:val="000000"/>
                <w:kern w:val="0"/>
                <w:sz w:val="40"/>
                <w:szCs w:val="40"/>
                <w:u w:val="none"/>
                <w:lang w:val="en-US" w:eastAsia="zh-CN" w:bidi="ar"/>
              </w:rPr>
              <w:t>重庆市潼南区司法局2026年项目支出明细表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7" w:hRule="atLeast"/>
        </w:trPr>
        <w:tc>
          <w:tcPr>
            <w:tcW w:w="559" w:type="dxa"/>
            <w:tcBorders>
              <w:top w:val="nil"/>
              <w:left w:val="nil"/>
              <w:bottom w:val="nil"/>
              <w:right w:val="nil"/>
            </w:tcBorders>
            <w:shd w:val="clear" w:color="auto" w:fill="auto"/>
            <w:vAlign w:val="center"/>
          </w:tcPr>
          <w:p>
            <w:pPr>
              <w:jc w:val="center"/>
              <w:rPr>
                <w:rFonts w:hint="eastAsia" w:ascii="Times New Roman" w:hAnsi="Times New Roman" w:eastAsia="宋体" w:cs="宋体"/>
                <w:i w:val="0"/>
                <w:iCs w:val="0"/>
                <w:color w:val="000000"/>
                <w:sz w:val="18"/>
                <w:szCs w:val="18"/>
                <w:u w:val="none"/>
              </w:rPr>
            </w:pPr>
          </w:p>
        </w:tc>
        <w:tc>
          <w:tcPr>
            <w:tcW w:w="2040"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5220"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470" w:type="dxa"/>
            <w:gridSpan w:val="2"/>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1" w:hRule="atLeast"/>
        </w:trPr>
        <w:tc>
          <w:tcPr>
            <w:tcW w:w="559"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序号</w:t>
            </w:r>
          </w:p>
        </w:tc>
        <w:tc>
          <w:tcPr>
            <w:tcW w:w="2040"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预算单位</w:t>
            </w:r>
          </w:p>
        </w:tc>
        <w:tc>
          <w:tcPr>
            <w:tcW w:w="4485"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项目名称</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合计</w:t>
            </w:r>
          </w:p>
        </w:tc>
        <w:tc>
          <w:tcPr>
            <w:tcW w:w="2940" w:type="dxa"/>
            <w:gridSpan w:val="4"/>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年初特定目标</w:t>
            </w:r>
          </w:p>
        </w:tc>
        <w:tc>
          <w:tcPr>
            <w:tcW w:w="2940" w:type="dxa"/>
            <w:gridSpan w:val="4"/>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上级专项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1" w:hRule="atLeast"/>
        </w:trPr>
        <w:tc>
          <w:tcPr>
            <w:tcW w:w="559"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4485"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F0F0F0" w:fill="F0F0F0"/>
            <w:vAlign w:val="center"/>
          </w:tcPr>
          <w:p>
            <w:pPr>
              <w:jc w:val="center"/>
              <w:rPr>
                <w:rFonts w:hint="eastAsia" w:ascii="Times New Roman" w:hAnsi="Times New Roman" w:eastAsia="宋体" w:cs="宋体"/>
                <w:b/>
                <w:bCs/>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小计</w:t>
            </w:r>
          </w:p>
        </w:tc>
        <w:tc>
          <w:tcPr>
            <w:tcW w:w="73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A</w:t>
            </w:r>
          </w:p>
        </w:tc>
        <w:tc>
          <w:tcPr>
            <w:tcW w:w="73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B</w:t>
            </w:r>
          </w:p>
        </w:tc>
        <w:tc>
          <w:tcPr>
            <w:tcW w:w="73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C</w:t>
            </w:r>
          </w:p>
        </w:tc>
        <w:tc>
          <w:tcPr>
            <w:tcW w:w="73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小计</w:t>
            </w:r>
          </w:p>
        </w:tc>
        <w:tc>
          <w:tcPr>
            <w:tcW w:w="73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提前下达专项</w:t>
            </w:r>
          </w:p>
        </w:tc>
        <w:tc>
          <w:tcPr>
            <w:tcW w:w="73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结转项目</w:t>
            </w:r>
          </w:p>
        </w:tc>
        <w:tc>
          <w:tcPr>
            <w:tcW w:w="735" w:type="dxa"/>
            <w:tcBorders>
              <w:top w:val="single" w:color="000000" w:sz="4" w:space="0"/>
              <w:left w:val="single" w:color="000000" w:sz="4" w:space="0"/>
              <w:bottom w:val="single" w:color="000000" w:sz="4" w:space="0"/>
              <w:right w:val="single" w:color="000000" w:sz="4" w:space="0"/>
            </w:tcBorders>
            <w:shd w:val="clear" w:color="F0F0F0" w:fill="F0F0F0"/>
            <w:vAlign w:val="center"/>
          </w:tcPr>
          <w:p>
            <w:pPr>
              <w:keepNext w:val="0"/>
              <w:keepLines w:val="0"/>
              <w:widowControl/>
              <w:suppressLineNumbers w:val="0"/>
              <w:jc w:val="center"/>
              <w:textAlignment w:val="center"/>
              <w:rPr>
                <w:rFonts w:ascii="Times New Roman" w:hAnsi="Times New Roman" w:eastAsia="宋体" w:cs="宋体"/>
                <w:b/>
                <w:bCs/>
                <w:i w:val="0"/>
                <w:iCs w:val="0"/>
                <w:color w:val="000000"/>
                <w:sz w:val="18"/>
                <w:szCs w:val="18"/>
                <w:u w:val="none"/>
              </w:rPr>
            </w:pPr>
            <w:r>
              <w:rPr>
                <w:rFonts w:ascii="Times New Roman" w:hAnsi="Times New Roman" w:eastAsia="宋体" w:cs="宋体"/>
                <w:b/>
                <w:bCs/>
                <w:i w:val="0"/>
                <w:iCs w:val="0"/>
                <w:color w:val="000000"/>
                <w:kern w:val="0"/>
                <w:sz w:val="18"/>
                <w:szCs w:val="18"/>
                <w:u w:val="none"/>
                <w:lang w:val="en-US" w:eastAsia="zh-CN" w:bidi="ar"/>
              </w:rPr>
              <w:t>市级专项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18"/>
                <w:szCs w:val="18"/>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合计</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892.43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325.00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135.00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80.00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110.00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567.43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464.00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103.43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325001-司法局（本级）</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50015224T000004242352-区级法律援助（常年性项目）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50.00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50.00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325001-司法局（本级）</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50015224T000004243165-区级人民调解（常年性项目）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10.00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10.00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10.00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325001-司法局（本级）</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50015224T000004243887-区级普法宣传（常年性项目）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30.00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30.00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30.00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4</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325001-司法局（本级）</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50015224T000004244166-聘请政府法律顾问（常年性项目）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30.00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30.00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30.00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325001-司法局（本级）</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50015224T000004244206-聘请村居法律顾问（常年性项目）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40.00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40.00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40.00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6</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325001-司法局（本级）</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50015224T000004244249-社区矫正购买服务（常年性项目）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135.00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135.00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135.00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325001-司法局（本级）</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50015224T000004244289-刑释帮教经费（常年性项目）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3.00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3.00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3.00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8</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325001-司法局（本级）</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50015224T000004244329-聘请专职人民调解员（常年性项目）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27.00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27.00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27.00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9</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325001-司法局（本级）</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50015224T000004244243-上级转移支付办案（业务）费-法律援助（常年性项目）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181.40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181.40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175.00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6.40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10</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325001-司法局（本级）</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50015224T000004244274-上级转移支付办案（业务）费-普法宣传（常年性项目）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21.00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21.00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21.00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11</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325001-司法局（本级）</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50015224T000004244307-上级转移支付办案（业务）费-社区矫正（常年性项目）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122.19</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122.19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69.00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53.19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12</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325001-司法局（本级）</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50015224T000004244332-上级转移支付办案（业务）费-人民调解（常年性项目）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40.68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40.68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40.00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0.68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13</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325001-司法局（本级）</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50015224T000004244633-上级转移支付业务装备经费（常年性项目）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78.16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78.16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35.00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43.16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14</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325001-司法局（本级）</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50015224T000004244646-上级转移支付办案（业务）费-法治建设（常年性项目）</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74.00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74.00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74.00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0" w:hRule="atLeast"/>
        </w:trPr>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15</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325001-司法局（本级）</w:t>
            </w:r>
          </w:p>
        </w:tc>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50015226T000005697910-“彩虹引航和光潼城”社区矫正对象教育帮扶</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50.00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50.00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 xml:space="preserve">50.00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18"/>
                <w:szCs w:val="18"/>
                <w:u w:val="none"/>
              </w:rPr>
            </w:pPr>
          </w:p>
        </w:tc>
      </w:tr>
    </w:tbl>
    <w:p>
      <w:pPr>
        <w:pStyle w:val="6"/>
        <w:spacing w:line="600" w:lineRule="exact"/>
        <w:rPr>
          <w:rFonts w:ascii="Times New Roman" w:hAnsi="Times New Roman" w:eastAsia="方正黑体_GBK"/>
          <w:sz w:val="32"/>
          <w:szCs w:val="32"/>
        </w:rPr>
      </w:pPr>
    </w:p>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9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55"/>
        <w:gridCol w:w="5985"/>
        <w:gridCol w:w="1470"/>
        <w:gridCol w:w="1470"/>
        <w:gridCol w:w="1470"/>
        <w:gridCol w:w="14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8040" w:type="dxa"/>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Times New Roman" w:hAnsi="Times New Roman" w:eastAsia="方正黑体_GBK" w:cs="方正黑体_GBK"/>
                <w:i w:val="0"/>
                <w:iCs w:val="0"/>
                <w:color w:val="000000"/>
                <w:sz w:val="28"/>
                <w:szCs w:val="28"/>
                <w:u w:val="none"/>
              </w:rPr>
            </w:pPr>
            <w:r>
              <w:rPr>
                <w:rFonts w:hint="eastAsia" w:ascii="Times New Roman" w:hAnsi="Times New Roman" w:eastAsia="方正黑体_GBK" w:cs="方正黑体_GBK"/>
                <w:i w:val="0"/>
                <w:iCs w:val="0"/>
                <w:color w:val="000000"/>
                <w:kern w:val="0"/>
                <w:sz w:val="28"/>
                <w:szCs w:val="28"/>
                <w:u w:val="none"/>
                <w:lang w:val="en-US" w:eastAsia="zh-CN" w:bidi="ar"/>
              </w:rPr>
              <w:t>附件11</w:t>
            </w:r>
          </w:p>
        </w:tc>
        <w:tc>
          <w:tcPr>
            <w:tcW w:w="1470" w:type="dxa"/>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22"/>
                <w:szCs w:val="22"/>
                <w:u w:val="none"/>
              </w:rPr>
            </w:pPr>
          </w:p>
        </w:tc>
        <w:tc>
          <w:tcPr>
            <w:tcW w:w="1470" w:type="dxa"/>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22"/>
                <w:szCs w:val="22"/>
                <w:u w:val="none"/>
              </w:rPr>
            </w:pPr>
          </w:p>
        </w:tc>
        <w:tc>
          <w:tcPr>
            <w:tcW w:w="1470" w:type="dxa"/>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22"/>
                <w:szCs w:val="22"/>
                <w:u w:val="none"/>
              </w:rPr>
            </w:pPr>
          </w:p>
        </w:tc>
        <w:tc>
          <w:tcPr>
            <w:tcW w:w="1470" w:type="dxa"/>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13920" w:type="dxa"/>
            <w:gridSpan w:val="6"/>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Times New Roman" w:hAnsi="Times New Roman" w:eastAsia="方正小标宋_GBK" w:cs="方正小标宋_GBK"/>
                <w:i w:val="0"/>
                <w:iCs w:val="0"/>
                <w:color w:val="000000"/>
                <w:sz w:val="40"/>
                <w:szCs w:val="40"/>
                <w:u w:val="none"/>
              </w:rPr>
            </w:pPr>
            <w:r>
              <w:rPr>
                <w:rFonts w:hint="eastAsia" w:ascii="Times New Roman" w:hAnsi="Times New Roman" w:eastAsia="方正小标宋_GBK" w:cs="方正小标宋_GBK"/>
                <w:i w:val="0"/>
                <w:iCs w:val="0"/>
                <w:color w:val="000000"/>
                <w:kern w:val="0"/>
                <w:sz w:val="40"/>
                <w:szCs w:val="40"/>
                <w:u w:val="none"/>
                <w:lang w:val="en-US" w:eastAsia="zh-CN" w:bidi="ar"/>
              </w:rPr>
              <w:t>重庆市潼南区司法局2026年预算整体绩效目标表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0" w:type="auto"/>
            <w:tcBorders>
              <w:top w:val="nil"/>
              <w:left w:val="nil"/>
              <w:bottom w:val="nil"/>
              <w:right w:val="nil"/>
            </w:tcBorders>
            <w:shd w:val="clear" w:color="auto" w:fill="auto"/>
            <w:noWrap/>
            <w:vAlign w:val="center"/>
          </w:tcPr>
          <w:p>
            <w:pPr>
              <w:jc w:val="center"/>
              <w:rPr>
                <w:rFonts w:hint="eastAsia" w:ascii="Times New Roman" w:hAnsi="Times New Roman"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22"/>
                <w:szCs w:val="22"/>
                <w:u w:val="none"/>
              </w:rPr>
            </w:pPr>
          </w:p>
        </w:tc>
        <w:tc>
          <w:tcPr>
            <w:tcW w:w="1470" w:type="dxa"/>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部门(单位)名称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重庆市潼南区司法局</w:t>
            </w:r>
          </w:p>
        </w:tc>
        <w:tc>
          <w:tcPr>
            <w:tcW w:w="29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部门支出预算数</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3,186.13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6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当年整体绩效目标</w:t>
            </w:r>
          </w:p>
        </w:tc>
        <w:tc>
          <w:tcPr>
            <w:tcW w:w="118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科学合理使用市级政法转移支付资金，节约效能，保障依法治区、法律援助、人民调解、社区矫正、普法宣传、律师管理等司法工作顺利开展，产生良好的司法效果，化解大量社会矛盾，切实提升法律服务供给能力，以适应人民群众对多层次、多领域、个性化的公共法律服务的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绩效指标</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指标</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指标权重</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计量单位</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指标性质</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产出指标</w:t>
            </w:r>
          </w:p>
        </w:tc>
        <w:tc>
          <w:tcPr>
            <w:tcW w:w="5985" w:type="dxa"/>
            <w:tcBorders>
              <w:top w:val="nil"/>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调解纠纷案件数</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件</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产出指标</w:t>
            </w:r>
          </w:p>
        </w:tc>
        <w:tc>
          <w:tcPr>
            <w:tcW w:w="598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法律援助受理案件数</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件</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产出指标</w:t>
            </w:r>
          </w:p>
        </w:tc>
        <w:tc>
          <w:tcPr>
            <w:tcW w:w="598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律师值班人次</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人次</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产出指标</w:t>
            </w:r>
          </w:p>
        </w:tc>
        <w:tc>
          <w:tcPr>
            <w:tcW w:w="598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购置电脑、打印机、空调、家具等办公设备数量</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台（套）</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产出指标</w:t>
            </w:r>
          </w:p>
        </w:tc>
        <w:tc>
          <w:tcPr>
            <w:tcW w:w="598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规范性文件、政府合同等法制审核件数</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份</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产出指标</w:t>
            </w:r>
          </w:p>
        </w:tc>
        <w:tc>
          <w:tcPr>
            <w:tcW w:w="598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开展法治宣传、宣讲场次</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场次</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产出指标</w:t>
            </w:r>
          </w:p>
        </w:tc>
        <w:tc>
          <w:tcPr>
            <w:tcW w:w="598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全年累计列管社区矫正人数</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人</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产出指标</w:t>
            </w:r>
          </w:p>
        </w:tc>
        <w:tc>
          <w:tcPr>
            <w:tcW w:w="598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全年累计列管安置帮教人数</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人</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3300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产出指标</w:t>
            </w:r>
          </w:p>
        </w:tc>
        <w:tc>
          <w:tcPr>
            <w:tcW w:w="598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行政复议案件办理件数</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件</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产出指标</w:t>
            </w:r>
          </w:p>
        </w:tc>
        <w:tc>
          <w:tcPr>
            <w:tcW w:w="598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印发宣传资料份数</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万份</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产出指标</w:t>
            </w:r>
          </w:p>
        </w:tc>
        <w:tc>
          <w:tcPr>
            <w:tcW w:w="598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执法执勤车辆购置数</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辆</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产出指标</w:t>
            </w:r>
          </w:p>
        </w:tc>
        <w:tc>
          <w:tcPr>
            <w:tcW w:w="598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指导、监督律师事务所和基层法律服务所家数</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家</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产出指标</w:t>
            </w:r>
          </w:p>
        </w:tc>
        <w:tc>
          <w:tcPr>
            <w:tcW w:w="598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管理律师和基层法律服务工作者人数</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人</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成本指标</w:t>
            </w:r>
          </w:p>
        </w:tc>
        <w:tc>
          <w:tcPr>
            <w:tcW w:w="598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全年司法运转成本</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万元</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3186.13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效益指标</w:t>
            </w:r>
          </w:p>
        </w:tc>
        <w:tc>
          <w:tcPr>
            <w:tcW w:w="598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依法行政、依法执政，减少财政损失和矛盾纠纷</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10</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定性</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cs="宋体"/>
                <w:i w:val="0"/>
                <w:iCs w:val="0"/>
                <w:color w:val="000000"/>
                <w:kern w:val="0"/>
                <w:sz w:val="18"/>
                <w:szCs w:val="18"/>
                <w:u w:val="none"/>
                <w:lang w:val="en-US" w:eastAsia="zh-CN" w:bidi="ar"/>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效益指标</w:t>
            </w:r>
          </w:p>
        </w:tc>
        <w:tc>
          <w:tcPr>
            <w:tcW w:w="598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提高全民法律素养，推进法治政府建设</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10</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定性</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cs="宋体"/>
                <w:i w:val="0"/>
                <w:iCs w:val="0"/>
                <w:color w:val="000000"/>
                <w:kern w:val="0"/>
                <w:sz w:val="18"/>
                <w:szCs w:val="18"/>
                <w:u w:val="none"/>
                <w:lang w:val="en-US" w:eastAsia="zh-CN" w:bidi="ar"/>
              </w:rPr>
              <w:t>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0" w:hRule="atLeast"/>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满意度指标</w:t>
            </w:r>
          </w:p>
        </w:tc>
        <w:tc>
          <w:tcPr>
            <w:tcW w:w="598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党委政府、人民群众满意度</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10</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18"/>
                <w:szCs w:val="18"/>
                <w:u w:val="none"/>
              </w:rPr>
            </w:pPr>
            <w:r>
              <w:rPr>
                <w:rFonts w:hint="eastAsia" w:ascii="Times New Roman" w:hAnsi="Times New Roman" w:eastAsia="宋体" w:cs="宋体"/>
                <w:i w:val="0"/>
                <w:iCs w:val="0"/>
                <w:color w:val="000000"/>
                <w:kern w:val="0"/>
                <w:sz w:val="18"/>
                <w:szCs w:val="18"/>
                <w:u w:val="none"/>
                <w:lang w:val="en-US" w:eastAsia="zh-CN" w:bidi="ar"/>
              </w:rPr>
              <w:t>95</w:t>
            </w:r>
          </w:p>
        </w:tc>
      </w:tr>
    </w:tbl>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9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21"/>
        <w:gridCol w:w="1455"/>
        <w:gridCol w:w="2040"/>
        <w:gridCol w:w="3665"/>
        <w:gridCol w:w="945"/>
        <w:gridCol w:w="945"/>
        <w:gridCol w:w="945"/>
        <w:gridCol w:w="945"/>
        <w:gridCol w:w="9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2021" w:type="dxa"/>
            <w:tcBorders>
              <w:top w:val="nil"/>
              <w:left w:val="nil"/>
              <w:bottom w:val="nil"/>
              <w:right w:val="nil"/>
            </w:tcBorders>
            <w:shd w:val="clear" w:color="auto" w:fill="auto"/>
            <w:noWrap/>
            <w:vAlign w:val="center"/>
          </w:tcPr>
          <w:p>
            <w:pPr>
              <w:keepNext w:val="0"/>
              <w:keepLines w:val="0"/>
              <w:widowControl/>
              <w:suppressLineNumbers w:val="0"/>
              <w:jc w:val="both"/>
              <w:textAlignment w:val="center"/>
              <w:rPr>
                <w:rFonts w:ascii="Times New Roman" w:hAnsi="Times New Roman" w:eastAsia="方正黑体_GBK" w:cs="方正黑体_GBK"/>
                <w:i w:val="0"/>
                <w:iCs w:val="0"/>
                <w:color w:val="000000"/>
                <w:sz w:val="28"/>
                <w:szCs w:val="28"/>
                <w:u w:val="none"/>
              </w:rPr>
            </w:pPr>
            <w:r>
              <w:rPr>
                <w:rFonts w:hint="eastAsia" w:ascii="Times New Roman" w:hAnsi="Times New Roman" w:eastAsia="方正黑体_GBK" w:cs="方正黑体_GBK"/>
                <w:i w:val="0"/>
                <w:iCs w:val="0"/>
                <w:color w:val="000000"/>
                <w:kern w:val="0"/>
                <w:sz w:val="28"/>
                <w:szCs w:val="28"/>
                <w:u w:val="none"/>
                <w:lang w:val="en-US" w:eastAsia="zh-CN" w:bidi="ar"/>
              </w:rPr>
              <w:t>附件12</w:t>
            </w:r>
          </w:p>
        </w:tc>
        <w:tc>
          <w:tcPr>
            <w:tcW w:w="1455" w:type="dxa"/>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18"/>
                <w:szCs w:val="18"/>
                <w:u w:val="none"/>
              </w:rPr>
            </w:pPr>
          </w:p>
        </w:tc>
        <w:tc>
          <w:tcPr>
            <w:tcW w:w="2040" w:type="dxa"/>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18"/>
                <w:szCs w:val="18"/>
                <w:u w:val="none"/>
              </w:rPr>
            </w:pPr>
          </w:p>
        </w:tc>
        <w:tc>
          <w:tcPr>
            <w:tcW w:w="3665" w:type="dxa"/>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noWrap/>
            <w:vAlign w:val="center"/>
          </w:tcPr>
          <w:p>
            <w:pPr>
              <w:rPr>
                <w:rFonts w:hint="eastAsia" w:ascii="Times New Roman" w:hAnsi="Times New Roman"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13906" w:type="dxa"/>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Times New Roman" w:hAnsi="Times New Roman" w:eastAsia="方正小标宋_GBK" w:cs="方正小标宋_GBK"/>
                <w:i w:val="0"/>
                <w:iCs w:val="0"/>
                <w:color w:val="000000"/>
                <w:sz w:val="40"/>
                <w:szCs w:val="40"/>
                <w:u w:val="none"/>
              </w:rPr>
            </w:pPr>
            <w:r>
              <w:rPr>
                <w:rFonts w:hint="eastAsia" w:ascii="Times New Roman" w:hAnsi="Times New Roman" w:eastAsia="方正小标宋_GBK" w:cs="方正小标宋_GBK"/>
                <w:i w:val="0"/>
                <w:iCs w:val="0"/>
                <w:color w:val="000000"/>
                <w:kern w:val="0"/>
                <w:sz w:val="36"/>
                <w:szCs w:val="36"/>
                <w:u w:val="none"/>
                <w:lang w:val="en-US" w:eastAsia="zh-CN" w:bidi="ar"/>
              </w:rPr>
              <w:t>重庆市潼南区司法局2026年预算项目绩效目标表-1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2021"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45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040"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366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35" w:type="dxa"/>
            <w:gridSpan w:val="3"/>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项目名称</w:t>
            </w:r>
          </w:p>
        </w:tc>
        <w:tc>
          <w:tcPr>
            <w:tcW w:w="118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50015224T000004242352-区级法律援助（常年性项目）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主管部门</w:t>
            </w:r>
          </w:p>
        </w:tc>
        <w:tc>
          <w:tcPr>
            <w:tcW w:w="3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325-司法局</w:t>
            </w:r>
          </w:p>
        </w:tc>
        <w:tc>
          <w:tcPr>
            <w:tcW w:w="4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实施单位</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325001-司法局（本级）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资金总额（万元)</w:t>
            </w:r>
          </w:p>
        </w:tc>
        <w:tc>
          <w:tcPr>
            <w:tcW w:w="3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 xml:space="preserve">50.00 </w:t>
            </w:r>
          </w:p>
        </w:tc>
        <w:tc>
          <w:tcPr>
            <w:tcW w:w="4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项目属性</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项目起始时间</w:t>
            </w:r>
          </w:p>
        </w:tc>
        <w:tc>
          <w:tcPr>
            <w:tcW w:w="3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2024年</w:t>
            </w:r>
          </w:p>
        </w:tc>
        <w:tc>
          <w:tcPr>
            <w:tcW w:w="46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项目终止时间</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80" w:hRule="atLeast"/>
        </w:trPr>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项目概况</w:t>
            </w:r>
          </w:p>
        </w:tc>
        <w:tc>
          <w:tcPr>
            <w:tcW w:w="118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做好请示支付劳动报酬、社会保险待遇、人身损害赔偿、赡养抚养扶养费、土地承包经营及流转权益等领域，农民工、农民、妇女、未成年人、残疾人、老年人群的法律援助工作。按照法律援助服务质量标准，着力抓好规范咨询、受理审查申请、指派办理案件、结案归档审查、补贴审核发放等工作，探索案件评查、庭审旁听、回访受援人、案件补贴与案件质量挂钩等监督管理措施，为受援人提供符合标准的法律援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5" w:hRule="atLeast"/>
        </w:trPr>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立项依据</w:t>
            </w:r>
          </w:p>
        </w:tc>
        <w:tc>
          <w:tcPr>
            <w:tcW w:w="118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渝财行【20</w:t>
            </w:r>
            <w:r>
              <w:rPr>
                <w:rFonts w:hint="eastAsia" w:ascii="Times New Roman" w:hAnsi="Times New Roman" w:cs="宋体"/>
                <w:i w:val="0"/>
                <w:iCs w:val="0"/>
                <w:color w:val="000000"/>
                <w:kern w:val="0"/>
                <w:sz w:val="20"/>
                <w:szCs w:val="20"/>
                <w:u w:val="none"/>
                <w:lang w:val="en-US" w:eastAsia="zh-CN" w:bidi="ar"/>
              </w:rPr>
              <w:t>20</w:t>
            </w:r>
            <w:r>
              <w:rPr>
                <w:rFonts w:ascii="Times New Roman" w:hAnsi="Times New Roman" w:eastAsia="宋体" w:cs="宋体"/>
                <w:i w:val="0"/>
                <w:iCs w:val="0"/>
                <w:color w:val="000000"/>
                <w:kern w:val="0"/>
                <w:sz w:val="20"/>
                <w:szCs w:val="20"/>
                <w:u w:val="none"/>
                <w:lang w:val="en-US" w:eastAsia="zh-CN" w:bidi="ar"/>
              </w:rPr>
              <w:t>】</w:t>
            </w:r>
            <w:r>
              <w:rPr>
                <w:rFonts w:hint="eastAsia" w:ascii="Times New Roman" w:hAnsi="Times New Roman" w:cs="宋体"/>
                <w:i w:val="0"/>
                <w:iCs w:val="0"/>
                <w:color w:val="000000"/>
                <w:kern w:val="0"/>
                <w:sz w:val="20"/>
                <w:szCs w:val="20"/>
                <w:u w:val="none"/>
                <w:lang w:val="en-US" w:eastAsia="zh-CN" w:bidi="ar"/>
              </w:rPr>
              <w:t>38</w:t>
            </w:r>
            <w:r>
              <w:rPr>
                <w:rFonts w:ascii="Times New Roman" w:hAnsi="Times New Roman" w:eastAsia="宋体" w:cs="宋体"/>
                <w:i w:val="0"/>
                <w:iCs w:val="0"/>
                <w:color w:val="000000"/>
                <w:kern w:val="0"/>
                <w:sz w:val="20"/>
                <w:szCs w:val="20"/>
                <w:u w:val="none"/>
                <w:lang w:val="en-US" w:eastAsia="zh-CN" w:bidi="ar"/>
              </w:rPr>
              <w:t>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0" w:hRule="atLeast"/>
        </w:trPr>
        <w:tc>
          <w:tcPr>
            <w:tcW w:w="2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项目当年绩效目标</w:t>
            </w:r>
          </w:p>
        </w:tc>
        <w:tc>
          <w:tcPr>
            <w:tcW w:w="118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为经济困难的公民和其他符合规定条件的公民提供法律援助，维护社会公平正义。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1" w:hRule="atLeast"/>
        </w:trPr>
        <w:tc>
          <w:tcPr>
            <w:tcW w:w="20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绩效指标</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一级指标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二级指标</w:t>
            </w:r>
          </w:p>
        </w:tc>
        <w:tc>
          <w:tcPr>
            <w:tcW w:w="3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三级指标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指标性质</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度量单位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权重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是否核心指标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20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3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律师值班人次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44</w:t>
            </w:r>
            <w:r>
              <w:rPr>
                <w:rFonts w:hint="eastAsia" w:ascii="Times New Roman" w:hAnsi="Times New Roman" w:cs="宋体"/>
                <w:i w:val="0"/>
                <w:iCs w:val="0"/>
                <w:color w:val="000000"/>
                <w:kern w:val="0"/>
                <w:sz w:val="20"/>
                <w:szCs w:val="20"/>
                <w:u w:val="none"/>
                <w:lang w:val="en-US" w:eastAsia="zh-CN" w:bidi="ar"/>
              </w:rPr>
              <w:t>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人次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20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3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受理法律援助案件数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宋体"/>
                <w:i w:val="0"/>
                <w:iCs w:val="0"/>
                <w:color w:val="000000"/>
                <w:sz w:val="20"/>
                <w:szCs w:val="20"/>
                <w:u w:val="none"/>
                <w:lang w:val="en-US"/>
              </w:rPr>
            </w:pPr>
            <w:r>
              <w:rPr>
                <w:rFonts w:hint="eastAsia" w:ascii="Times New Roman" w:hAnsi="Times New Roman" w:cs="宋体"/>
                <w:i w:val="0"/>
                <w:iCs w:val="0"/>
                <w:color w:val="000000"/>
                <w:kern w:val="0"/>
                <w:sz w:val="20"/>
                <w:szCs w:val="20"/>
                <w:u w:val="none"/>
                <w:lang w:val="en-US" w:eastAsia="zh-CN" w:bidi="ar"/>
              </w:rPr>
              <w:t>1500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件</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20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质量指标</w:t>
            </w:r>
          </w:p>
        </w:tc>
        <w:tc>
          <w:tcPr>
            <w:tcW w:w="3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保证受援人获得优质、高效的服务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20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时效指标</w:t>
            </w:r>
          </w:p>
        </w:tc>
        <w:tc>
          <w:tcPr>
            <w:tcW w:w="3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及时受理，及时指派援助律师</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20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社会效益指标</w:t>
            </w:r>
          </w:p>
        </w:tc>
        <w:tc>
          <w:tcPr>
            <w:tcW w:w="3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政府关心贫弱群体，保护合法权益，维护社会稳定</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20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可持续影响指标</w:t>
            </w:r>
          </w:p>
        </w:tc>
        <w:tc>
          <w:tcPr>
            <w:tcW w:w="3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维护困难群众的合法权益</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20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满意度指标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服务对象满意度指标</w:t>
            </w:r>
          </w:p>
        </w:tc>
        <w:tc>
          <w:tcPr>
            <w:tcW w:w="3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党委政府满意，人民群众满意</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95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20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成本指标</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经济成本指标</w:t>
            </w:r>
          </w:p>
        </w:tc>
        <w:tc>
          <w:tcPr>
            <w:tcW w:w="3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根据案件性质及件数支付法律援助办案补贴；根据值班人次支付法律援助律师值班补贴</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万元</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bl>
    <w:p>
      <w:pPr>
        <w:keepNext w:val="0"/>
        <w:keepLines w:val="0"/>
        <w:pageBreakBefore w:val="0"/>
        <w:kinsoku/>
        <w:wordWrap/>
        <w:overflowPunct/>
        <w:topLinePunct w:val="0"/>
        <w:autoSpaceDE/>
        <w:autoSpaceDN/>
        <w:bidi w:val="0"/>
        <w:adjustRightInd/>
        <w:snapToGrid/>
        <w:spacing w:line="240" w:lineRule="exact"/>
        <w:rPr>
          <w:rFonts w:ascii="Times New Roman" w:hAnsi="Times New Roman" w:eastAsia="方正黑体_GBK"/>
          <w:sz w:val="32"/>
          <w:szCs w:val="32"/>
        </w:rPr>
      </w:pPr>
      <w:r>
        <w:rPr>
          <w:rFonts w:ascii="Times New Roman" w:hAnsi="Times New Roman" w:eastAsia="方正黑体_GBK"/>
          <w:sz w:val="20"/>
          <w:szCs w:val="20"/>
        </w:rPr>
        <w:br w:type="page"/>
      </w:r>
    </w:p>
    <w:tbl>
      <w:tblPr>
        <w:tblStyle w:val="9"/>
        <w:tblW w:w="139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06"/>
        <w:gridCol w:w="180"/>
        <w:gridCol w:w="1005"/>
        <w:gridCol w:w="435"/>
        <w:gridCol w:w="1444"/>
        <w:gridCol w:w="716"/>
        <w:gridCol w:w="3694"/>
        <w:gridCol w:w="945"/>
        <w:gridCol w:w="945"/>
        <w:gridCol w:w="945"/>
        <w:gridCol w:w="945"/>
        <w:gridCol w:w="9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13905"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Times New Roman" w:hAnsi="Times New Roman" w:eastAsia="方正小标宋_GBK" w:cs="方正小标宋_GBK"/>
                <w:i w:val="0"/>
                <w:iCs w:val="0"/>
                <w:color w:val="000000"/>
                <w:sz w:val="40"/>
                <w:szCs w:val="40"/>
                <w:u w:val="none"/>
              </w:rPr>
            </w:pPr>
            <w:r>
              <w:rPr>
                <w:rFonts w:hint="eastAsia" w:ascii="Times New Roman" w:hAnsi="Times New Roman" w:eastAsia="方正小标宋_GBK" w:cs="方正小标宋_GBK"/>
                <w:i w:val="0"/>
                <w:iCs w:val="0"/>
                <w:color w:val="000000"/>
                <w:kern w:val="0"/>
                <w:sz w:val="36"/>
                <w:szCs w:val="36"/>
                <w:u w:val="none"/>
                <w:lang w:val="en-US" w:eastAsia="zh-CN" w:bidi="ar"/>
              </w:rPr>
              <w:t>重庆市潼南区司法局2026年预算项目绩效目标表-2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706"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185"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879"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4410"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35" w:type="dxa"/>
            <w:gridSpan w:val="3"/>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项目名称</w:t>
            </w:r>
          </w:p>
        </w:tc>
        <w:tc>
          <w:tcPr>
            <w:tcW w:w="120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50015224T000004243165-区级人民调解（常年性项目）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主管部门</w:t>
            </w:r>
          </w:p>
        </w:tc>
        <w:tc>
          <w:tcPr>
            <w:tcW w:w="36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325-司法局</w:t>
            </w:r>
          </w:p>
        </w:tc>
        <w:tc>
          <w:tcPr>
            <w:tcW w:w="4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实施单位</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325001-司法局（本级）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资金总额（万元)</w:t>
            </w:r>
          </w:p>
        </w:tc>
        <w:tc>
          <w:tcPr>
            <w:tcW w:w="36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 xml:space="preserve">10.00 </w:t>
            </w:r>
          </w:p>
        </w:tc>
        <w:tc>
          <w:tcPr>
            <w:tcW w:w="4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项目属性</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项目起始时间</w:t>
            </w:r>
          </w:p>
        </w:tc>
        <w:tc>
          <w:tcPr>
            <w:tcW w:w="36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2024年</w:t>
            </w:r>
          </w:p>
        </w:tc>
        <w:tc>
          <w:tcPr>
            <w:tcW w:w="4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项目终止时间</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62" w:hRule="atLeast"/>
        </w:trPr>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项目概况</w:t>
            </w:r>
          </w:p>
        </w:tc>
        <w:tc>
          <w:tcPr>
            <w:tcW w:w="120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培训和指导全区各级人民调解委员会；免费承担社会性事务、政策性事务和法律性事务的解答咨询服务，免费调解医患纠纷、物业纠纷、交通事故、人身损害赔偿等纠纷；根据诉调对接工作机制，受人民法院、人民检察院委托，参与简易民事案件、轻微刑事案件调解；对重大纠纷通过备案方式，实现法律约束和强制执行手段；收集整理社情民意，定期向相关部门报告相关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0" w:hRule="atLeast"/>
        </w:trPr>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立项依据</w:t>
            </w:r>
          </w:p>
        </w:tc>
        <w:tc>
          <w:tcPr>
            <w:tcW w:w="120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宋体"/>
                <w:i w:val="0"/>
                <w:iCs w:val="0"/>
                <w:color w:val="000000"/>
                <w:sz w:val="20"/>
                <w:szCs w:val="20"/>
                <w:u w:val="none"/>
                <w:lang w:val="en-US"/>
              </w:rPr>
            </w:pPr>
            <w:r>
              <w:rPr>
                <w:rFonts w:hint="eastAsia" w:ascii="Times New Roman" w:hAnsi="Times New Roman" w:cs="宋体"/>
                <w:i w:val="0"/>
                <w:iCs w:val="0"/>
                <w:color w:val="000000"/>
                <w:kern w:val="0"/>
                <w:sz w:val="20"/>
                <w:szCs w:val="20"/>
                <w:u w:val="none"/>
                <w:lang w:val="en-US" w:eastAsia="zh-CN" w:bidi="ar"/>
              </w:rPr>
              <w:t>潼司发【2025】20号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75" w:hRule="atLeast"/>
        </w:trPr>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项目当年绩效目标</w:t>
            </w:r>
          </w:p>
        </w:tc>
        <w:tc>
          <w:tcPr>
            <w:tcW w:w="120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减少矛盾纠纷，促进社会和谐稳定，提高调解员工作积极性，工作质量。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绩效指标</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一级指标</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二级指标</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三级指标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性质</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度量</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单位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权重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是否核心指标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调解纠纷件数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15000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件</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20" w:hRule="atLeast"/>
        </w:trPr>
        <w:tc>
          <w:tcPr>
            <w:tcW w:w="1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质量指标</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帮助当事人在平等协商、互谅互让的基础上自愿达成调解协议；对调解不成的，要引导当事人通过合法渠道解决</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时效指标</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依法及时调解</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0" w:hRule="atLeast"/>
        </w:trPr>
        <w:tc>
          <w:tcPr>
            <w:tcW w:w="1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社会效益指标</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减少矛盾纠纷，促进社会和谐稳定，确保矛盾纠纷化解在基层、消除在萌芽状,减少信访</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可持续影响指标</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维护社会稳定和谐，防止民转刑，减少上访</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满意度指标</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服务对象满意度指标</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党委政府满意，人民群众满意</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95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1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成本指标</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经济成本指标</w:t>
            </w: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根据案件难易度每件补贴15元、40元、60元、150元、200元、250元不等</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万元</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bl>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9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61"/>
        <w:gridCol w:w="315"/>
        <w:gridCol w:w="844"/>
        <w:gridCol w:w="401"/>
        <w:gridCol w:w="1549"/>
        <w:gridCol w:w="581"/>
        <w:gridCol w:w="3829"/>
        <w:gridCol w:w="945"/>
        <w:gridCol w:w="945"/>
        <w:gridCol w:w="945"/>
        <w:gridCol w:w="945"/>
        <w:gridCol w:w="9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13905"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Times New Roman" w:hAnsi="Times New Roman" w:eastAsia="方正小标宋_GBK" w:cs="方正小标宋_GBK"/>
                <w:i w:val="0"/>
                <w:iCs w:val="0"/>
                <w:color w:val="000000"/>
                <w:sz w:val="40"/>
                <w:szCs w:val="40"/>
                <w:u w:val="none"/>
              </w:rPr>
            </w:pPr>
            <w:r>
              <w:rPr>
                <w:rFonts w:hint="eastAsia" w:ascii="Times New Roman" w:hAnsi="Times New Roman" w:eastAsia="方正小标宋_GBK" w:cs="方正小标宋_GBK"/>
                <w:i w:val="0"/>
                <w:iCs w:val="0"/>
                <w:color w:val="000000"/>
                <w:kern w:val="0"/>
                <w:sz w:val="36"/>
                <w:szCs w:val="36"/>
                <w:u w:val="none"/>
                <w:lang w:val="en-US" w:eastAsia="zh-CN" w:bidi="ar"/>
              </w:rPr>
              <w:t>重庆市潼南区司法局2026年预算项目绩效目标表-3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661"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159"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950"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4410"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35" w:type="dxa"/>
            <w:gridSpan w:val="3"/>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项目名称</w:t>
            </w:r>
          </w:p>
        </w:tc>
        <w:tc>
          <w:tcPr>
            <w:tcW w:w="119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50015224T000004243887-区级普法宣传（常年性项目）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主管部门</w:t>
            </w:r>
          </w:p>
        </w:tc>
        <w:tc>
          <w:tcPr>
            <w:tcW w:w="33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325-司法局</w:t>
            </w:r>
          </w:p>
        </w:tc>
        <w:tc>
          <w:tcPr>
            <w:tcW w:w="4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实施单位</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325001-司法局（本级）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资金总额（万元)</w:t>
            </w:r>
          </w:p>
        </w:tc>
        <w:tc>
          <w:tcPr>
            <w:tcW w:w="33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 xml:space="preserve">30.00 </w:t>
            </w:r>
          </w:p>
        </w:tc>
        <w:tc>
          <w:tcPr>
            <w:tcW w:w="4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项目属性</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项目起始时间</w:t>
            </w:r>
          </w:p>
        </w:tc>
        <w:tc>
          <w:tcPr>
            <w:tcW w:w="33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2024年</w:t>
            </w:r>
          </w:p>
        </w:tc>
        <w:tc>
          <w:tcPr>
            <w:tcW w:w="4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项目终止时间</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80" w:hRule="atLeast"/>
        </w:trPr>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项目概况</w:t>
            </w:r>
          </w:p>
        </w:tc>
        <w:tc>
          <w:tcPr>
            <w:tcW w:w="119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全面落实“谁主管谁普法、谁执法谁普法”的普法责任制，深入开展“法律六进”（进机关、进乡村、进社区、进学校、进企业、进单位）活动，建立普法讲师团、普法志愿者队伍，抓好“宪法"等基本法律宣传教育、年度法治理论知识考试等工作，强化城乡公共场所及基层村居普法阵地建设，推动建立公共媒体公益普法制度，积极运用互联网等新媒体进行法治宣传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立项依据</w:t>
            </w:r>
          </w:p>
        </w:tc>
        <w:tc>
          <w:tcPr>
            <w:tcW w:w="119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潼南人发【2011】15号</w:t>
            </w:r>
            <w:r>
              <w:rPr>
                <w:rFonts w:hint="eastAsia" w:ascii="Times New Roman" w:hAnsi="Times New Roman" w:cs="宋体"/>
                <w:i w:val="0"/>
                <w:iCs w:val="0"/>
                <w:color w:val="000000"/>
                <w:kern w:val="0"/>
                <w:sz w:val="20"/>
                <w:szCs w:val="20"/>
                <w:u w:val="none"/>
                <w:lang w:val="en-US" w:eastAsia="zh-CN" w:bidi="ar"/>
              </w:rPr>
              <w:t>、《中华人民共和国法治宣传教育法》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5" w:hRule="atLeast"/>
        </w:trPr>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项目当年绩效目标</w:t>
            </w:r>
          </w:p>
        </w:tc>
        <w:tc>
          <w:tcPr>
            <w:tcW w:w="119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提高全民法律素质，</w:t>
            </w:r>
            <w:r>
              <w:rPr>
                <w:rFonts w:hint="eastAsia" w:ascii="Times New Roman" w:hAnsi="Times New Roman" w:cs="宋体"/>
                <w:i w:val="0"/>
                <w:iCs w:val="0"/>
                <w:color w:val="000000"/>
                <w:kern w:val="0"/>
                <w:sz w:val="20"/>
                <w:szCs w:val="20"/>
                <w:u w:val="none"/>
                <w:lang w:val="en-US" w:eastAsia="zh-CN" w:bidi="ar"/>
              </w:rPr>
              <w:t>推动</w:t>
            </w:r>
            <w:r>
              <w:rPr>
                <w:rFonts w:ascii="Times New Roman" w:hAnsi="Times New Roman" w:eastAsia="宋体" w:cs="宋体"/>
                <w:i w:val="0"/>
                <w:iCs w:val="0"/>
                <w:color w:val="000000"/>
                <w:kern w:val="0"/>
                <w:sz w:val="20"/>
                <w:szCs w:val="20"/>
                <w:u w:val="none"/>
                <w:lang w:val="en-US" w:eastAsia="zh-CN" w:bidi="ar"/>
              </w:rPr>
              <w:t>“</w:t>
            </w:r>
            <w:r>
              <w:rPr>
                <w:rFonts w:hint="eastAsia" w:ascii="Times New Roman" w:hAnsi="Times New Roman" w:cs="宋体"/>
                <w:i w:val="0"/>
                <w:iCs w:val="0"/>
                <w:color w:val="000000"/>
                <w:kern w:val="0"/>
                <w:sz w:val="20"/>
                <w:szCs w:val="20"/>
                <w:u w:val="none"/>
                <w:lang w:val="en-US" w:eastAsia="zh-CN" w:bidi="ar"/>
              </w:rPr>
              <w:t>九</w:t>
            </w:r>
            <w:r>
              <w:rPr>
                <w:rFonts w:ascii="Times New Roman" w:hAnsi="Times New Roman" w:eastAsia="宋体" w:cs="宋体"/>
                <w:i w:val="0"/>
                <w:iCs w:val="0"/>
                <w:color w:val="000000"/>
                <w:kern w:val="0"/>
                <w:sz w:val="20"/>
                <w:szCs w:val="20"/>
                <w:u w:val="none"/>
                <w:lang w:val="en-US" w:eastAsia="zh-CN" w:bidi="ar"/>
              </w:rPr>
              <w:t>五”普法</w:t>
            </w:r>
            <w:r>
              <w:rPr>
                <w:rFonts w:hint="eastAsia" w:ascii="Times New Roman" w:hAnsi="Times New Roman" w:cs="宋体"/>
                <w:i w:val="0"/>
                <w:iCs w:val="0"/>
                <w:color w:val="000000"/>
                <w:kern w:val="0"/>
                <w:sz w:val="20"/>
                <w:szCs w:val="20"/>
                <w:u w:val="none"/>
                <w:lang w:val="en-US" w:eastAsia="zh-CN" w:bidi="ar"/>
              </w:rPr>
              <w:t>进程，</w:t>
            </w:r>
            <w:r>
              <w:rPr>
                <w:rFonts w:ascii="Times New Roman" w:hAnsi="Times New Roman" w:eastAsia="宋体" w:cs="宋体"/>
                <w:i w:val="0"/>
                <w:iCs w:val="0"/>
                <w:color w:val="000000"/>
                <w:kern w:val="0"/>
                <w:sz w:val="20"/>
                <w:szCs w:val="20"/>
                <w:u w:val="none"/>
                <w:lang w:val="en-US" w:eastAsia="zh-CN" w:bidi="ar"/>
              </w:rPr>
              <w:t>通过精准普法、科技赋能和法治文化建设，提升全民法治素养。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1" w:hRule="atLeast"/>
        </w:trPr>
        <w:tc>
          <w:tcPr>
            <w:tcW w:w="19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绩效指标</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一级指标</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二级指标</w:t>
            </w:r>
          </w:p>
        </w:tc>
        <w:tc>
          <w:tcPr>
            <w:tcW w:w="3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三级指标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性质</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度量</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单位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权重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是否核心指标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3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开展法治宣传、宣讲场次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150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场次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3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培训普法骨干人数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400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3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印发宣传资料份数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万份</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质量指标</w:t>
            </w:r>
          </w:p>
        </w:tc>
        <w:tc>
          <w:tcPr>
            <w:tcW w:w="3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全民法治意识增强</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社会效益指标</w:t>
            </w:r>
          </w:p>
        </w:tc>
        <w:tc>
          <w:tcPr>
            <w:tcW w:w="3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全民尊法学法守法用法，保障全区经济社会平稳较快发展</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可持续影响指标</w:t>
            </w:r>
          </w:p>
        </w:tc>
        <w:tc>
          <w:tcPr>
            <w:tcW w:w="3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法治宣传形式丰富多样，法治宣传活动成效明显提升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满意度指标</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服务对象满意度指标</w:t>
            </w:r>
          </w:p>
        </w:tc>
        <w:tc>
          <w:tcPr>
            <w:tcW w:w="3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党委政府满意，人民群众满意</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95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成本指标</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经济成本指标</w:t>
            </w:r>
          </w:p>
        </w:tc>
        <w:tc>
          <w:tcPr>
            <w:tcW w:w="3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全区常</w:t>
            </w:r>
            <w:r>
              <w:rPr>
                <w:rFonts w:hint="eastAsia" w:cs="宋体"/>
                <w:i w:val="0"/>
                <w:iCs w:val="0"/>
                <w:color w:val="000000"/>
                <w:kern w:val="0"/>
                <w:sz w:val="20"/>
                <w:szCs w:val="20"/>
                <w:u w:val="none"/>
                <w:lang w:val="en-US" w:eastAsia="zh-CN" w:bidi="ar"/>
              </w:rPr>
              <w:t>住</w:t>
            </w:r>
            <w:r>
              <w:rPr>
                <w:rFonts w:ascii="Times New Roman" w:hAnsi="Times New Roman" w:eastAsia="宋体" w:cs="宋体"/>
                <w:i w:val="0"/>
                <w:iCs w:val="0"/>
                <w:color w:val="000000"/>
                <w:kern w:val="0"/>
                <w:sz w:val="20"/>
                <w:szCs w:val="20"/>
                <w:u w:val="none"/>
                <w:lang w:val="en-US" w:eastAsia="zh-CN" w:bidi="ar"/>
              </w:rPr>
              <w:t>人口人均1元</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万元</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bl>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9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76"/>
        <w:gridCol w:w="180"/>
        <w:gridCol w:w="964"/>
        <w:gridCol w:w="521"/>
        <w:gridCol w:w="1429"/>
        <w:gridCol w:w="791"/>
        <w:gridCol w:w="3619"/>
        <w:gridCol w:w="945"/>
        <w:gridCol w:w="945"/>
        <w:gridCol w:w="945"/>
        <w:gridCol w:w="945"/>
        <w:gridCol w:w="9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13905"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Times New Roman" w:hAnsi="Times New Roman" w:eastAsia="方正小标宋_GBK" w:cs="方正小标宋_GBK"/>
                <w:i w:val="0"/>
                <w:iCs w:val="0"/>
                <w:color w:val="000000"/>
                <w:sz w:val="40"/>
                <w:szCs w:val="40"/>
                <w:u w:val="none"/>
              </w:rPr>
            </w:pPr>
            <w:r>
              <w:rPr>
                <w:rFonts w:hint="eastAsia" w:ascii="Times New Roman" w:hAnsi="Times New Roman" w:eastAsia="方正小标宋_GBK" w:cs="方正小标宋_GBK"/>
                <w:i w:val="0"/>
                <w:iCs w:val="0"/>
                <w:color w:val="000000"/>
                <w:kern w:val="0"/>
                <w:sz w:val="36"/>
                <w:szCs w:val="36"/>
                <w:u w:val="none"/>
                <w:lang w:val="en-US" w:eastAsia="zh-CN" w:bidi="ar"/>
              </w:rPr>
              <w:t>重庆市潼南区司法局2026年预算项目绩效目标表-4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676"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144"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950"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4410"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35" w:type="dxa"/>
            <w:gridSpan w:val="3"/>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项目名称</w:t>
            </w:r>
          </w:p>
        </w:tc>
        <w:tc>
          <w:tcPr>
            <w:tcW w:w="1204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50015224T000004244166-聘请政府法律顾问（常年性项目）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主管部门</w:t>
            </w:r>
          </w:p>
        </w:tc>
        <w:tc>
          <w:tcPr>
            <w:tcW w:w="37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325-司法局</w:t>
            </w:r>
          </w:p>
        </w:tc>
        <w:tc>
          <w:tcPr>
            <w:tcW w:w="45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实施单位</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325001-司法局（本级）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资金总额（万元)</w:t>
            </w:r>
          </w:p>
        </w:tc>
        <w:tc>
          <w:tcPr>
            <w:tcW w:w="37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 xml:space="preserve">30.00 </w:t>
            </w:r>
          </w:p>
        </w:tc>
        <w:tc>
          <w:tcPr>
            <w:tcW w:w="45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项目属性</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项目起始时间</w:t>
            </w:r>
          </w:p>
        </w:tc>
        <w:tc>
          <w:tcPr>
            <w:tcW w:w="37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2024年</w:t>
            </w:r>
          </w:p>
        </w:tc>
        <w:tc>
          <w:tcPr>
            <w:tcW w:w="45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项目终止时间</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25" w:hRule="atLeast"/>
        </w:trPr>
        <w:tc>
          <w:tcPr>
            <w:tcW w:w="1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项目概况</w:t>
            </w:r>
          </w:p>
        </w:tc>
        <w:tc>
          <w:tcPr>
            <w:tcW w:w="1204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聘期律师事务所为我区提供日常法律服务。包括：对重大决策提供法律意见；对拟发布的规范性文件和草拟的重大合同提出合法性审查意见；提供法治培训；提供日常法律咨询服务；不定期提供有针对性、动态的政策、法规和投资环境、招商引资等方面的信息；其他涉法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4" w:hRule="atLeast"/>
        </w:trPr>
        <w:tc>
          <w:tcPr>
            <w:tcW w:w="1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立项依据</w:t>
            </w:r>
          </w:p>
        </w:tc>
        <w:tc>
          <w:tcPr>
            <w:tcW w:w="1204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宋体"/>
                <w:i w:val="0"/>
                <w:iCs w:val="0"/>
                <w:color w:val="000000"/>
                <w:sz w:val="20"/>
                <w:szCs w:val="20"/>
                <w:u w:val="none"/>
                <w:lang w:eastAsia="zh-CN"/>
              </w:rPr>
            </w:pPr>
            <w:r>
              <w:rPr>
                <w:rFonts w:hint="eastAsia" w:ascii="Times New Roman" w:hAnsi="Times New Roman" w:eastAsia="宋体" w:cs="宋体"/>
                <w:i w:val="0"/>
                <w:iCs w:val="0"/>
                <w:color w:val="000000"/>
                <w:kern w:val="0"/>
                <w:sz w:val="20"/>
                <w:szCs w:val="20"/>
                <w:u w:val="none"/>
                <w:lang w:val="en-US" w:eastAsia="zh-CN" w:bidi="ar"/>
              </w:rPr>
              <w:t>潼南府办发【2018】1号、潼南区第十七届人民政府第20次常务会议纪要（会议纪要2017-65）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0" w:hRule="atLeast"/>
        </w:trPr>
        <w:tc>
          <w:tcPr>
            <w:tcW w:w="1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项目当年绩效目标</w:t>
            </w:r>
          </w:p>
        </w:tc>
        <w:tc>
          <w:tcPr>
            <w:tcW w:w="1204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有效防范行政管理的法律风险，切实推动法治政府建设 ，促进经济和社会稳步发展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1" w:hRule="atLeast"/>
        </w:trPr>
        <w:tc>
          <w:tcPr>
            <w:tcW w:w="18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绩效指标</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一级指标</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二级指标</w:t>
            </w:r>
          </w:p>
        </w:tc>
        <w:tc>
          <w:tcPr>
            <w:tcW w:w="3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三级指标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性质</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度量</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单位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权重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是否核心指标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3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聘请律师事务所个数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18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质量指标</w:t>
            </w:r>
          </w:p>
        </w:tc>
        <w:tc>
          <w:tcPr>
            <w:tcW w:w="3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准确解答法律问题，提供实用法律依据，专业的完成交办任务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0" w:hRule="atLeast"/>
        </w:trPr>
        <w:tc>
          <w:tcPr>
            <w:tcW w:w="18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时效指标</w:t>
            </w:r>
          </w:p>
        </w:tc>
        <w:tc>
          <w:tcPr>
            <w:tcW w:w="3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按照要求时限及时反馈法律意见</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75" w:hRule="atLeast"/>
        </w:trPr>
        <w:tc>
          <w:tcPr>
            <w:tcW w:w="18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社会效益指标</w:t>
            </w:r>
          </w:p>
        </w:tc>
        <w:tc>
          <w:tcPr>
            <w:tcW w:w="3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依法行政、依法执政，减少财政损失和矛盾纠纷</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15" w:hRule="atLeast"/>
        </w:trPr>
        <w:tc>
          <w:tcPr>
            <w:tcW w:w="18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可持续影响指标</w:t>
            </w:r>
          </w:p>
        </w:tc>
        <w:tc>
          <w:tcPr>
            <w:tcW w:w="3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推进法治政府建设</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90" w:hRule="atLeast"/>
        </w:trPr>
        <w:tc>
          <w:tcPr>
            <w:tcW w:w="18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满意度指标</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服务对象满意度指标</w:t>
            </w:r>
          </w:p>
        </w:tc>
        <w:tc>
          <w:tcPr>
            <w:tcW w:w="3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党委政府、人民群众满意度</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95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成本指标</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经济成本指标</w:t>
            </w:r>
          </w:p>
        </w:tc>
        <w:tc>
          <w:tcPr>
            <w:tcW w:w="3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5个律师事务所法律顾问费</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万元</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bl>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9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1"/>
        <w:gridCol w:w="165"/>
        <w:gridCol w:w="1050"/>
        <w:gridCol w:w="300"/>
        <w:gridCol w:w="1635"/>
        <w:gridCol w:w="585"/>
        <w:gridCol w:w="3724"/>
        <w:gridCol w:w="945"/>
        <w:gridCol w:w="945"/>
        <w:gridCol w:w="945"/>
        <w:gridCol w:w="945"/>
        <w:gridCol w:w="9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13905"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Times New Roman" w:hAnsi="Times New Roman" w:eastAsia="方正小标宋_GBK" w:cs="方正小标宋_GBK"/>
                <w:b/>
                <w:bCs/>
                <w:i w:val="0"/>
                <w:iCs w:val="0"/>
                <w:color w:val="000000"/>
                <w:sz w:val="40"/>
                <w:szCs w:val="40"/>
                <w:u w:val="none"/>
              </w:rPr>
            </w:pPr>
            <w:r>
              <w:rPr>
                <w:rFonts w:hint="eastAsia" w:ascii="Times New Roman" w:hAnsi="Times New Roman" w:eastAsia="方正小标宋_GBK" w:cs="方正小标宋_GBK"/>
                <w:b w:val="0"/>
                <w:bCs w:val="0"/>
                <w:i w:val="0"/>
                <w:iCs w:val="0"/>
                <w:color w:val="000000"/>
                <w:kern w:val="0"/>
                <w:sz w:val="36"/>
                <w:szCs w:val="36"/>
                <w:u w:val="none"/>
                <w:lang w:val="en-US" w:eastAsia="zh-CN" w:bidi="ar"/>
              </w:rPr>
              <w:t>重庆市潼南区司法局2026年预算项目绩效目标表-5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721"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215"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935"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4309"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35" w:type="dxa"/>
            <w:gridSpan w:val="3"/>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项目名称</w:t>
            </w:r>
          </w:p>
        </w:tc>
        <w:tc>
          <w:tcPr>
            <w:tcW w:w="120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50015224T000004244206-聘请村居法律顾问（常年性项目）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主管部门</w:t>
            </w:r>
          </w:p>
        </w:tc>
        <w:tc>
          <w:tcPr>
            <w:tcW w:w="35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325-司法局</w:t>
            </w:r>
          </w:p>
        </w:tc>
        <w:tc>
          <w:tcPr>
            <w:tcW w:w="46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实施单位</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325001-司法局（本级）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资金总额（万元)</w:t>
            </w:r>
          </w:p>
        </w:tc>
        <w:tc>
          <w:tcPr>
            <w:tcW w:w="35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 xml:space="preserve">40.00 </w:t>
            </w:r>
          </w:p>
        </w:tc>
        <w:tc>
          <w:tcPr>
            <w:tcW w:w="46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项目属性</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项目起始时间</w:t>
            </w:r>
          </w:p>
        </w:tc>
        <w:tc>
          <w:tcPr>
            <w:tcW w:w="35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2024年</w:t>
            </w:r>
          </w:p>
        </w:tc>
        <w:tc>
          <w:tcPr>
            <w:tcW w:w="46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项目终止时间</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85" w:hRule="atLeast"/>
        </w:trPr>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项目概况</w:t>
            </w:r>
          </w:p>
        </w:tc>
        <w:tc>
          <w:tcPr>
            <w:tcW w:w="120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为全面深入贯彻党的十八大、十八届三中四中全会和市委四届五次全会关于公共法律服务体系建设的决策部署，切实满足广大人民群众日益增长的法律服务需求，做强公益法律服务，引导鼓励律师、基层法律服务工作者进村（社区）担任法律顾问，逐步实现“一村（社区）一法律顾问”，定期驻点或者利用QQ群、微信群等为村（居）民提供法律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0" w:hRule="atLeast"/>
        </w:trPr>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立项依据</w:t>
            </w:r>
          </w:p>
        </w:tc>
        <w:tc>
          <w:tcPr>
            <w:tcW w:w="120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宋体"/>
                <w:i w:val="0"/>
                <w:iCs w:val="0"/>
                <w:color w:val="000000"/>
                <w:sz w:val="20"/>
                <w:szCs w:val="20"/>
                <w:u w:val="none"/>
                <w:lang w:eastAsia="zh-CN"/>
              </w:rPr>
            </w:pPr>
            <w:r>
              <w:rPr>
                <w:rFonts w:hint="eastAsia" w:ascii="Times New Roman" w:hAnsi="Times New Roman" w:eastAsia="宋体" w:cs="宋体"/>
                <w:i w:val="0"/>
                <w:iCs w:val="0"/>
                <w:color w:val="000000"/>
                <w:kern w:val="0"/>
                <w:sz w:val="20"/>
                <w:szCs w:val="20"/>
                <w:u w:val="none"/>
                <w:lang w:val="en-US" w:eastAsia="zh-CN" w:bidi="ar"/>
              </w:rPr>
              <w:t>渝司发【2021】48号、潼司法【2022】9号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75" w:hRule="atLeast"/>
        </w:trPr>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项目当年绩效目标</w:t>
            </w:r>
          </w:p>
        </w:tc>
        <w:tc>
          <w:tcPr>
            <w:tcW w:w="120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提升村（社区）基层组织依法自治意识和能力，增加群众法律知识，增强群众的法律意识，积极调解基层矛盾纠纷，将信访事件消灭在萌芽状态。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1" w:hRule="atLeast"/>
        </w:trPr>
        <w:tc>
          <w:tcPr>
            <w:tcW w:w="18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绩效指标</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一级指标</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二级指标</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三级指标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性质</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度量</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单位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权重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是否核心指标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聘请村居法律顾问人数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304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1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质量指标</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以全面履行村（社区）法律顾问工作职责为内容和标准进行严格考核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时效指标</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及时提供各种法律服务，化解矛盾</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社会效益指标</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化解各种矛盾，推进平安潼南建设</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1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可持续影响指标</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群众法治观念增加，社会和谐稳定，减少村居和村民损失，减少社会矛盾</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满意度指标</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服务对象满意度指标</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党委政府满意，人民群众满意</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95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1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成本指标</w:t>
            </w:r>
          </w:p>
        </w:tc>
        <w:tc>
          <w:tcPr>
            <w:tcW w:w="22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经济成本指标</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聘请304个法律顾问，按每村（社区）每年3600的标准预算，由区、镇财政共同承担</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40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万元</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bl>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9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1"/>
        <w:gridCol w:w="270"/>
        <w:gridCol w:w="885"/>
        <w:gridCol w:w="495"/>
        <w:gridCol w:w="1399"/>
        <w:gridCol w:w="461"/>
        <w:gridCol w:w="3949"/>
        <w:gridCol w:w="945"/>
        <w:gridCol w:w="945"/>
        <w:gridCol w:w="945"/>
        <w:gridCol w:w="945"/>
        <w:gridCol w:w="9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13905"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Times New Roman" w:hAnsi="Times New Roman" w:eastAsia="方正小标宋_GBK" w:cs="方正小标宋_GBK"/>
                <w:b/>
                <w:bCs/>
                <w:i w:val="0"/>
                <w:iCs w:val="0"/>
                <w:color w:val="000000"/>
                <w:sz w:val="40"/>
                <w:szCs w:val="40"/>
                <w:u w:val="none"/>
              </w:rPr>
            </w:pPr>
            <w:r>
              <w:rPr>
                <w:rFonts w:hint="eastAsia" w:ascii="Times New Roman" w:hAnsi="Times New Roman" w:eastAsia="方正小标宋_GBK" w:cs="方正小标宋_GBK"/>
                <w:b w:val="0"/>
                <w:bCs w:val="0"/>
                <w:i w:val="0"/>
                <w:iCs w:val="0"/>
                <w:color w:val="000000"/>
                <w:kern w:val="0"/>
                <w:sz w:val="36"/>
                <w:szCs w:val="36"/>
                <w:u w:val="none"/>
                <w:lang w:val="en-US" w:eastAsia="zh-CN" w:bidi="ar"/>
              </w:rPr>
              <w:t>重庆市潼南区司法局2026年预算项目绩效目标表-6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721"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155"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894"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4410"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35" w:type="dxa"/>
            <w:gridSpan w:val="3"/>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项目名称</w:t>
            </w:r>
          </w:p>
        </w:tc>
        <w:tc>
          <w:tcPr>
            <w:tcW w:w="1191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50015224T000004244243-上级转移支付办案（业务）费-法律援助（常年性项目）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主管部门</w:t>
            </w:r>
          </w:p>
        </w:tc>
        <w:tc>
          <w:tcPr>
            <w:tcW w:w="32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325-司法局</w:t>
            </w:r>
          </w:p>
        </w:tc>
        <w:tc>
          <w:tcPr>
            <w:tcW w:w="48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实施单位</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325001-司法局（本级）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资金总额（万元)</w:t>
            </w:r>
          </w:p>
        </w:tc>
        <w:tc>
          <w:tcPr>
            <w:tcW w:w="32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181.4</w:t>
            </w:r>
          </w:p>
        </w:tc>
        <w:tc>
          <w:tcPr>
            <w:tcW w:w="48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项目属性</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项目起始时间</w:t>
            </w:r>
          </w:p>
        </w:tc>
        <w:tc>
          <w:tcPr>
            <w:tcW w:w="32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2024年</w:t>
            </w:r>
          </w:p>
        </w:tc>
        <w:tc>
          <w:tcPr>
            <w:tcW w:w="48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项目终止时间</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15" w:hRule="atLeast"/>
        </w:trPr>
        <w:tc>
          <w:tcPr>
            <w:tcW w:w="1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项目概况</w:t>
            </w:r>
          </w:p>
        </w:tc>
        <w:tc>
          <w:tcPr>
            <w:tcW w:w="1191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做好请示支付劳动报酬、社会保险待遇、人身损害赔偿、赡养抚养扶养费、土地承包经营及流转权益等领域，农民工、农民、妇女、未成年人、残疾人、老年人群的法律援助工作。按照法律援助服务质量标准，着力抓好规范咨询、受理审查申请、指派办理案件、结案归档审查、补贴审核发放等工作，探索案件评查、庭审旁听、回访受援人、案件补贴与案件质量挂钩等监督管理措施，为受援人提供符合标准的法律援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5" w:hRule="atLeast"/>
        </w:trPr>
        <w:tc>
          <w:tcPr>
            <w:tcW w:w="1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立项依据</w:t>
            </w:r>
          </w:p>
        </w:tc>
        <w:tc>
          <w:tcPr>
            <w:tcW w:w="1191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渝财行【20</w:t>
            </w:r>
            <w:r>
              <w:rPr>
                <w:rFonts w:hint="eastAsia" w:ascii="Times New Roman" w:hAnsi="Times New Roman" w:cs="宋体"/>
                <w:i w:val="0"/>
                <w:iCs w:val="0"/>
                <w:color w:val="000000"/>
                <w:kern w:val="0"/>
                <w:sz w:val="20"/>
                <w:szCs w:val="20"/>
                <w:u w:val="none"/>
                <w:lang w:val="en-US" w:eastAsia="zh-CN" w:bidi="ar"/>
              </w:rPr>
              <w:t>20</w:t>
            </w:r>
            <w:r>
              <w:rPr>
                <w:rFonts w:ascii="Times New Roman" w:hAnsi="Times New Roman" w:eastAsia="宋体" w:cs="宋体"/>
                <w:i w:val="0"/>
                <w:iCs w:val="0"/>
                <w:color w:val="000000"/>
                <w:kern w:val="0"/>
                <w:sz w:val="20"/>
                <w:szCs w:val="20"/>
                <w:u w:val="none"/>
                <w:lang w:val="en-US" w:eastAsia="zh-CN" w:bidi="ar"/>
              </w:rPr>
              <w:t>】</w:t>
            </w:r>
            <w:r>
              <w:rPr>
                <w:rFonts w:hint="eastAsia" w:ascii="Times New Roman" w:hAnsi="Times New Roman" w:cs="宋体"/>
                <w:i w:val="0"/>
                <w:iCs w:val="0"/>
                <w:color w:val="000000"/>
                <w:kern w:val="0"/>
                <w:sz w:val="20"/>
                <w:szCs w:val="20"/>
                <w:u w:val="none"/>
                <w:lang w:val="en-US" w:eastAsia="zh-CN" w:bidi="ar"/>
              </w:rPr>
              <w:t>38</w:t>
            </w:r>
            <w:r>
              <w:rPr>
                <w:rFonts w:ascii="Times New Roman" w:hAnsi="Times New Roman" w:eastAsia="宋体" w:cs="宋体"/>
                <w:i w:val="0"/>
                <w:iCs w:val="0"/>
                <w:color w:val="000000"/>
                <w:kern w:val="0"/>
                <w:sz w:val="20"/>
                <w:szCs w:val="20"/>
                <w:u w:val="none"/>
                <w:lang w:val="en-US" w:eastAsia="zh-CN" w:bidi="ar"/>
              </w:rPr>
              <w:t>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0" w:hRule="atLeast"/>
        </w:trPr>
        <w:tc>
          <w:tcPr>
            <w:tcW w:w="1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项目当年绩效目标</w:t>
            </w:r>
          </w:p>
        </w:tc>
        <w:tc>
          <w:tcPr>
            <w:tcW w:w="1191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为经济困难的公民和其他符合规定条件的公民提供法律援助，维护社会公平正义。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1" w:hRule="atLeast"/>
        </w:trPr>
        <w:tc>
          <w:tcPr>
            <w:tcW w:w="19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绩效指标</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一级指标</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二级指标</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三级指标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性质</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度量</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单位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权重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是否核心指标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律师值班人次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440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人次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受理法律援助案件数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宋体"/>
                <w:i w:val="0"/>
                <w:iCs w:val="0"/>
                <w:color w:val="000000"/>
                <w:sz w:val="20"/>
                <w:szCs w:val="20"/>
                <w:u w:val="none"/>
                <w:lang w:val="en-US"/>
              </w:rPr>
            </w:pPr>
            <w:r>
              <w:rPr>
                <w:rFonts w:ascii="Times New Roman" w:hAnsi="Times New Roman" w:eastAsia="宋体" w:cs="宋体"/>
                <w:i w:val="0"/>
                <w:iCs w:val="0"/>
                <w:color w:val="000000"/>
                <w:kern w:val="0"/>
                <w:sz w:val="20"/>
                <w:szCs w:val="20"/>
                <w:u w:val="none"/>
                <w:lang w:val="en-US" w:eastAsia="zh-CN" w:bidi="ar"/>
              </w:rPr>
              <w:t>150</w:t>
            </w:r>
            <w:r>
              <w:rPr>
                <w:rFonts w:hint="eastAsia" w:ascii="Times New Roman" w:hAnsi="Times New Roman" w:cs="宋体"/>
                <w:i w:val="0"/>
                <w:iCs w:val="0"/>
                <w:color w:val="000000"/>
                <w:kern w:val="0"/>
                <w:sz w:val="20"/>
                <w:szCs w:val="20"/>
                <w:u w:val="none"/>
                <w:lang w:val="en-US" w:eastAsia="zh-CN" w:bidi="ar"/>
              </w:rPr>
              <w:t>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件</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质量指标</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保证受援人获得优质、高效的服务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时效指标</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及时受理，及时指派援助律师</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社会效益指标</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政府关心贫弱群体，保护合法权益，维护社会稳定</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可持续影响指标</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维护困难群众的合法权益</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满意度指标</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满意度指标</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党委政府满意，人民群众满意</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95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成本指标</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经济成本指标</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根据案件性质及件数支付法律援助办案补贴</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181.4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万元</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bl>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9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76"/>
        <w:gridCol w:w="225"/>
        <w:gridCol w:w="919"/>
        <w:gridCol w:w="476"/>
        <w:gridCol w:w="1474"/>
        <w:gridCol w:w="761"/>
        <w:gridCol w:w="3649"/>
        <w:gridCol w:w="945"/>
        <w:gridCol w:w="945"/>
        <w:gridCol w:w="945"/>
        <w:gridCol w:w="945"/>
        <w:gridCol w:w="9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13905"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Times New Roman" w:hAnsi="Times New Roman" w:eastAsia="方正小标宋_GBK" w:cs="方正小标宋_GBK"/>
                <w:b/>
                <w:bCs/>
                <w:i w:val="0"/>
                <w:iCs w:val="0"/>
                <w:color w:val="000000"/>
                <w:sz w:val="40"/>
                <w:szCs w:val="40"/>
                <w:u w:val="none"/>
              </w:rPr>
            </w:pPr>
            <w:r>
              <w:rPr>
                <w:rFonts w:hint="eastAsia" w:ascii="Times New Roman" w:hAnsi="Times New Roman" w:eastAsia="方正小标宋_GBK" w:cs="方正小标宋_GBK"/>
                <w:b w:val="0"/>
                <w:bCs w:val="0"/>
                <w:i w:val="0"/>
                <w:iCs w:val="0"/>
                <w:color w:val="000000"/>
                <w:kern w:val="0"/>
                <w:sz w:val="36"/>
                <w:szCs w:val="36"/>
                <w:u w:val="none"/>
                <w:lang w:val="en-US" w:eastAsia="zh-CN" w:bidi="ar"/>
              </w:rPr>
              <w:t>重庆市潼南区司法局2026年预算项目绩效目标表-7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676"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144"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950"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4410"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35" w:type="dxa"/>
            <w:gridSpan w:val="3"/>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项目名称</w:t>
            </w:r>
          </w:p>
        </w:tc>
        <w:tc>
          <w:tcPr>
            <w:tcW w:w="1200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50015224T000004244249-社区矫正购买服务（常年性项目）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主管部门</w:t>
            </w:r>
          </w:p>
        </w:tc>
        <w:tc>
          <w:tcPr>
            <w:tcW w:w="36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325-司法局</w:t>
            </w:r>
          </w:p>
        </w:tc>
        <w:tc>
          <w:tcPr>
            <w:tcW w:w="4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实施单位</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325001-司法局（本级）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资金总额（万元)</w:t>
            </w:r>
          </w:p>
        </w:tc>
        <w:tc>
          <w:tcPr>
            <w:tcW w:w="36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 xml:space="preserve">135.00 </w:t>
            </w:r>
          </w:p>
        </w:tc>
        <w:tc>
          <w:tcPr>
            <w:tcW w:w="4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项目属性</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项目起始时间</w:t>
            </w:r>
          </w:p>
        </w:tc>
        <w:tc>
          <w:tcPr>
            <w:tcW w:w="36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2024年</w:t>
            </w:r>
          </w:p>
        </w:tc>
        <w:tc>
          <w:tcPr>
            <w:tcW w:w="4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项目终止时间</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75" w:hRule="atLeast"/>
        </w:trPr>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项目概况</w:t>
            </w:r>
          </w:p>
        </w:tc>
        <w:tc>
          <w:tcPr>
            <w:tcW w:w="1200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通过重庆国邦保安服务有限公司购买23名社会工作者的服务，承担社区矫正刑事执行辅助工作，为社区矫正对象提供教育、心理辅导、社会关系改善等必要的帮扶，促进司法行政工作高效有序运行。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95" w:hRule="atLeast"/>
        </w:trPr>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立项依据</w:t>
            </w:r>
          </w:p>
        </w:tc>
        <w:tc>
          <w:tcPr>
            <w:tcW w:w="1200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宋体"/>
                <w:i w:val="0"/>
                <w:iCs w:val="0"/>
                <w:color w:val="000000"/>
                <w:sz w:val="20"/>
                <w:szCs w:val="20"/>
                <w:u w:val="none"/>
                <w:lang w:eastAsia="zh-CN"/>
              </w:rPr>
            </w:pPr>
            <w:r>
              <w:rPr>
                <w:rFonts w:hint="eastAsia" w:ascii="Times New Roman" w:hAnsi="Times New Roman" w:eastAsia="宋体" w:cs="宋体"/>
                <w:i w:val="0"/>
                <w:iCs w:val="0"/>
                <w:color w:val="000000"/>
                <w:kern w:val="0"/>
                <w:sz w:val="20"/>
                <w:szCs w:val="20"/>
                <w:u w:val="none"/>
                <w:lang w:val="en-US" w:eastAsia="zh-CN" w:bidi="ar"/>
              </w:rPr>
              <w:t>渝司发【2015】166号、渝司发【2015】43号、渝司发【2015】53号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0" w:hRule="atLeast"/>
        </w:trPr>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项目当年绩效目标</w:t>
            </w:r>
          </w:p>
        </w:tc>
        <w:tc>
          <w:tcPr>
            <w:tcW w:w="1200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深入贯彻《中华人民共和国社区矫正法》和《中华人民共和国社区矫正法实施办法》，协助开展拟适用社区矫正社会调查评估，完成对社区矫正对象的接收报到、入矫宣告、初始教育、个别教育、训诫、上门走访、档案管理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1" w:hRule="atLeast"/>
        </w:trPr>
        <w:tc>
          <w:tcPr>
            <w:tcW w:w="190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绩效指标</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一级指标</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二级指标</w:t>
            </w:r>
          </w:p>
        </w:tc>
        <w:tc>
          <w:tcPr>
            <w:tcW w:w="3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三级指标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性质</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度量</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单位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权重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是否核心指标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3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购买社会工作者服务人数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23</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19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质量指标</w:t>
            </w:r>
          </w:p>
        </w:tc>
        <w:tc>
          <w:tcPr>
            <w:tcW w:w="3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开展社区矫正和安置帮教日常工作，无因未落实工作职责而出现脱漏管和其他违法犯罪的情况</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19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时效指标</w:t>
            </w:r>
          </w:p>
        </w:tc>
        <w:tc>
          <w:tcPr>
            <w:tcW w:w="3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在法律规定的时效内，完成调查评估、接收报到、执行地变更、解除矫正等</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社会效益指标</w:t>
            </w:r>
          </w:p>
        </w:tc>
        <w:tc>
          <w:tcPr>
            <w:tcW w:w="3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促使和帮助社区矫正对象回归社会，成为守法公民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0" w:hRule="atLeast"/>
        </w:trPr>
        <w:tc>
          <w:tcPr>
            <w:tcW w:w="19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可持续影响指标</w:t>
            </w:r>
          </w:p>
        </w:tc>
        <w:tc>
          <w:tcPr>
            <w:tcW w:w="3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增强社区矫正对象法治和道德观念，减少和预防重新犯罪</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满意度指标</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服务对象满意度指标</w:t>
            </w:r>
          </w:p>
        </w:tc>
        <w:tc>
          <w:tcPr>
            <w:tcW w:w="3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党委政府满意，人民群众满意，家庭满意</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95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成本指标</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经济成本指标</w:t>
            </w:r>
          </w:p>
        </w:tc>
        <w:tc>
          <w:tcPr>
            <w:tcW w:w="3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参照当地政府购买专职消防队服务人员薪酬标准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135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万元</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bl>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9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61"/>
        <w:gridCol w:w="165"/>
        <w:gridCol w:w="994"/>
        <w:gridCol w:w="386"/>
        <w:gridCol w:w="1564"/>
        <w:gridCol w:w="536"/>
        <w:gridCol w:w="3874"/>
        <w:gridCol w:w="945"/>
        <w:gridCol w:w="945"/>
        <w:gridCol w:w="945"/>
        <w:gridCol w:w="945"/>
        <w:gridCol w:w="9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13905"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Times New Roman" w:hAnsi="Times New Roman" w:eastAsia="方正小标宋_GBK" w:cs="方正小标宋_GBK"/>
                <w:b/>
                <w:bCs/>
                <w:i w:val="0"/>
                <w:iCs w:val="0"/>
                <w:color w:val="000000"/>
                <w:sz w:val="40"/>
                <w:szCs w:val="40"/>
                <w:u w:val="none"/>
              </w:rPr>
            </w:pPr>
            <w:r>
              <w:rPr>
                <w:rFonts w:hint="eastAsia" w:ascii="Times New Roman" w:hAnsi="Times New Roman" w:eastAsia="方正小标宋_GBK" w:cs="方正小标宋_GBK"/>
                <w:b w:val="0"/>
                <w:bCs w:val="0"/>
                <w:i w:val="0"/>
                <w:iCs w:val="0"/>
                <w:color w:val="000000"/>
                <w:kern w:val="0"/>
                <w:sz w:val="36"/>
                <w:szCs w:val="36"/>
                <w:u w:val="none"/>
                <w:lang w:val="en-US" w:eastAsia="zh-CN" w:bidi="ar"/>
              </w:rPr>
              <w:t>重庆市潼南区司法局2026年预算项目绩效目标表-8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661"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159"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950"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4410"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35" w:type="dxa"/>
            <w:gridSpan w:val="3"/>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8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项目名称</w:t>
            </w:r>
          </w:p>
        </w:tc>
        <w:tc>
          <w:tcPr>
            <w:tcW w:w="1207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50015224T000004244274-上级转移支付办案（业务）费-普法宣传（常年性项目）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主管部门</w:t>
            </w:r>
          </w:p>
        </w:tc>
        <w:tc>
          <w:tcPr>
            <w:tcW w:w="34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325-司法局</w:t>
            </w:r>
          </w:p>
        </w:tc>
        <w:tc>
          <w:tcPr>
            <w:tcW w:w="48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实施单位</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325001-司法局（本级）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资金总额（万元)</w:t>
            </w:r>
          </w:p>
        </w:tc>
        <w:tc>
          <w:tcPr>
            <w:tcW w:w="34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 xml:space="preserve">21.00 </w:t>
            </w:r>
          </w:p>
        </w:tc>
        <w:tc>
          <w:tcPr>
            <w:tcW w:w="48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项目属性</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项目起始时间</w:t>
            </w:r>
          </w:p>
        </w:tc>
        <w:tc>
          <w:tcPr>
            <w:tcW w:w="34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2024年</w:t>
            </w:r>
          </w:p>
        </w:tc>
        <w:tc>
          <w:tcPr>
            <w:tcW w:w="48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项目终止时间</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77" w:hRule="atLeast"/>
        </w:trPr>
        <w:tc>
          <w:tcPr>
            <w:tcW w:w="18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项目概况</w:t>
            </w:r>
          </w:p>
        </w:tc>
        <w:tc>
          <w:tcPr>
            <w:tcW w:w="1207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全面落实“谁主管谁普法、谁执法谁普法”的普法责任制，深入开展“法律六进”（进机关、进乡村、进社区、进学校、进企业、进单位）活动，建立普法讲师团、普法志愿者队伍，抓好“宪法"等基本法律宣传教育、年度法治理论知识考试等工作，强化城乡公共场所及基层村居普法阵地建设，推动建立公共媒体公益普法制度，积极运用互联网等新媒体进行法治宣传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10" w:hRule="atLeast"/>
        </w:trPr>
        <w:tc>
          <w:tcPr>
            <w:tcW w:w="18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立项依据</w:t>
            </w:r>
          </w:p>
        </w:tc>
        <w:tc>
          <w:tcPr>
            <w:tcW w:w="1207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潼南人发【2011】15号</w:t>
            </w:r>
            <w:r>
              <w:rPr>
                <w:rFonts w:hint="eastAsia" w:ascii="Times New Roman" w:hAnsi="Times New Roman" w:eastAsia="宋体" w:cs="宋体"/>
                <w:i w:val="0"/>
                <w:iCs w:val="0"/>
                <w:color w:val="000000"/>
                <w:kern w:val="0"/>
                <w:sz w:val="20"/>
                <w:szCs w:val="20"/>
                <w:u w:val="none"/>
                <w:lang w:val="en-US" w:eastAsia="zh-CN" w:bidi="ar"/>
              </w:rPr>
              <w:t>、《中华人民共和国法治宣传教育法》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0" w:hRule="atLeast"/>
        </w:trPr>
        <w:tc>
          <w:tcPr>
            <w:tcW w:w="18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项目当年绩效目标</w:t>
            </w:r>
          </w:p>
        </w:tc>
        <w:tc>
          <w:tcPr>
            <w:tcW w:w="1207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提高全民法律素质，</w:t>
            </w:r>
            <w:r>
              <w:rPr>
                <w:rFonts w:hint="eastAsia" w:ascii="Times New Roman" w:hAnsi="Times New Roman" w:cs="宋体"/>
                <w:i w:val="0"/>
                <w:iCs w:val="0"/>
                <w:color w:val="000000"/>
                <w:kern w:val="0"/>
                <w:sz w:val="20"/>
                <w:szCs w:val="20"/>
                <w:u w:val="none"/>
                <w:lang w:val="en-US" w:eastAsia="zh-CN" w:bidi="ar"/>
              </w:rPr>
              <w:t>推动</w:t>
            </w:r>
            <w:r>
              <w:rPr>
                <w:rFonts w:ascii="Times New Roman" w:hAnsi="Times New Roman" w:eastAsia="宋体" w:cs="宋体"/>
                <w:i w:val="0"/>
                <w:iCs w:val="0"/>
                <w:color w:val="000000"/>
                <w:kern w:val="0"/>
                <w:sz w:val="20"/>
                <w:szCs w:val="20"/>
                <w:u w:val="none"/>
                <w:lang w:val="en-US" w:eastAsia="zh-CN" w:bidi="ar"/>
              </w:rPr>
              <w:t>“</w:t>
            </w:r>
            <w:r>
              <w:rPr>
                <w:rFonts w:hint="eastAsia" w:ascii="Times New Roman" w:hAnsi="Times New Roman" w:cs="宋体"/>
                <w:i w:val="0"/>
                <w:iCs w:val="0"/>
                <w:color w:val="000000"/>
                <w:kern w:val="0"/>
                <w:sz w:val="20"/>
                <w:szCs w:val="20"/>
                <w:u w:val="none"/>
                <w:lang w:val="en-US" w:eastAsia="zh-CN" w:bidi="ar"/>
              </w:rPr>
              <w:t>九</w:t>
            </w:r>
            <w:r>
              <w:rPr>
                <w:rFonts w:ascii="Times New Roman" w:hAnsi="Times New Roman" w:eastAsia="宋体" w:cs="宋体"/>
                <w:i w:val="0"/>
                <w:iCs w:val="0"/>
                <w:color w:val="000000"/>
                <w:kern w:val="0"/>
                <w:sz w:val="20"/>
                <w:szCs w:val="20"/>
                <w:u w:val="none"/>
                <w:lang w:val="en-US" w:eastAsia="zh-CN" w:bidi="ar"/>
              </w:rPr>
              <w:t>五”普法</w:t>
            </w:r>
            <w:r>
              <w:rPr>
                <w:rFonts w:hint="eastAsia" w:ascii="Times New Roman" w:hAnsi="Times New Roman" w:cs="宋体"/>
                <w:i w:val="0"/>
                <w:iCs w:val="0"/>
                <w:color w:val="000000"/>
                <w:kern w:val="0"/>
                <w:sz w:val="20"/>
                <w:szCs w:val="20"/>
                <w:u w:val="none"/>
                <w:lang w:val="en-US" w:eastAsia="zh-CN" w:bidi="ar"/>
              </w:rPr>
              <w:t>进程，</w:t>
            </w:r>
            <w:r>
              <w:rPr>
                <w:rFonts w:ascii="Times New Roman" w:hAnsi="Times New Roman" w:eastAsia="宋体" w:cs="宋体"/>
                <w:i w:val="0"/>
                <w:iCs w:val="0"/>
                <w:color w:val="000000"/>
                <w:kern w:val="0"/>
                <w:sz w:val="20"/>
                <w:szCs w:val="20"/>
                <w:u w:val="none"/>
                <w:lang w:val="en-US" w:eastAsia="zh-CN" w:bidi="ar"/>
              </w:rPr>
              <w:t>通过精准普法、科技赋能和法治文化建设，提升全民法治素养。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1" w:hRule="atLeast"/>
        </w:trPr>
        <w:tc>
          <w:tcPr>
            <w:tcW w:w="182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绩效指标</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一级指标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二级指标</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三级指标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性质</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度量</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单位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权重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是否核心指标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开展法治宣传、宣讲场次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150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场次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培训普法骨干人数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400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印发宣传资料份数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万份</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质量指标</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全民法治意识增强</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18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社会效益指标</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全民尊法学法守法用法，保障全区经济社会平稳较快发展</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可持续影响指标</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法治宣传形式丰富多样，法治宣传活动成效明显提升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满意度指标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服务对象满意度指标</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党委政府满意，人民群众满意</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95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成本指标</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经济成本指标</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全区常</w:t>
            </w:r>
            <w:r>
              <w:rPr>
                <w:rFonts w:hint="eastAsia" w:cs="宋体"/>
                <w:i w:val="0"/>
                <w:iCs w:val="0"/>
                <w:color w:val="000000"/>
                <w:kern w:val="0"/>
                <w:sz w:val="20"/>
                <w:szCs w:val="20"/>
                <w:u w:val="none"/>
                <w:lang w:val="en-US" w:eastAsia="zh-CN" w:bidi="ar"/>
              </w:rPr>
              <w:t>住</w:t>
            </w:r>
            <w:bookmarkStart w:id="0" w:name="_GoBack"/>
            <w:bookmarkEnd w:id="0"/>
            <w:r>
              <w:rPr>
                <w:rFonts w:ascii="Times New Roman" w:hAnsi="Times New Roman" w:eastAsia="宋体" w:cs="宋体"/>
                <w:i w:val="0"/>
                <w:iCs w:val="0"/>
                <w:color w:val="000000"/>
                <w:kern w:val="0"/>
                <w:sz w:val="20"/>
                <w:szCs w:val="20"/>
                <w:u w:val="none"/>
                <w:lang w:val="en-US" w:eastAsia="zh-CN" w:bidi="ar"/>
              </w:rPr>
              <w:t>人口人均1元</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万元</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bl>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9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06"/>
        <w:gridCol w:w="150"/>
        <w:gridCol w:w="990"/>
        <w:gridCol w:w="450"/>
        <w:gridCol w:w="1440"/>
        <w:gridCol w:w="705"/>
        <w:gridCol w:w="3945"/>
        <w:gridCol w:w="915"/>
        <w:gridCol w:w="840"/>
        <w:gridCol w:w="1005"/>
        <w:gridCol w:w="814"/>
        <w:gridCol w:w="9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13905"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Times New Roman" w:hAnsi="Times New Roman" w:eastAsia="方正小标宋_GBK" w:cs="方正小标宋_GBK"/>
                <w:b/>
                <w:bCs/>
                <w:i w:val="0"/>
                <w:iCs w:val="0"/>
                <w:color w:val="000000"/>
                <w:sz w:val="40"/>
                <w:szCs w:val="40"/>
                <w:u w:val="none"/>
              </w:rPr>
            </w:pPr>
            <w:r>
              <w:rPr>
                <w:rFonts w:hint="eastAsia" w:ascii="Times New Roman" w:hAnsi="Times New Roman" w:eastAsia="方正小标宋_GBK" w:cs="方正小标宋_GBK"/>
                <w:b w:val="0"/>
                <w:bCs w:val="0"/>
                <w:i w:val="0"/>
                <w:iCs w:val="0"/>
                <w:color w:val="000000"/>
                <w:kern w:val="0"/>
                <w:sz w:val="36"/>
                <w:szCs w:val="36"/>
                <w:u w:val="none"/>
                <w:lang w:val="en-US" w:eastAsia="zh-CN" w:bidi="ar"/>
              </w:rPr>
              <w:t>重庆市潼南区司法局2026年预算项目绩效目标表-9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706"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140"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890"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4650"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1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840"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764" w:type="dxa"/>
            <w:gridSpan w:val="3"/>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项目名称</w:t>
            </w:r>
          </w:p>
        </w:tc>
        <w:tc>
          <w:tcPr>
            <w:tcW w:w="1204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50015224T000004244289-刑释帮教经费（常年性项目）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主管部门</w:t>
            </w:r>
          </w:p>
        </w:tc>
        <w:tc>
          <w:tcPr>
            <w:tcW w:w="35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325-司法局</w:t>
            </w:r>
          </w:p>
        </w:tc>
        <w:tc>
          <w:tcPr>
            <w:tcW w:w="4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实施单位</w:t>
            </w:r>
          </w:p>
        </w:tc>
        <w:tc>
          <w:tcPr>
            <w:tcW w:w="36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325001-司法局（本级）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资金总额（万元)</w:t>
            </w:r>
          </w:p>
        </w:tc>
        <w:tc>
          <w:tcPr>
            <w:tcW w:w="35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 xml:space="preserve">3.00 </w:t>
            </w:r>
          </w:p>
        </w:tc>
        <w:tc>
          <w:tcPr>
            <w:tcW w:w="4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项目属性</w:t>
            </w:r>
          </w:p>
        </w:tc>
        <w:tc>
          <w:tcPr>
            <w:tcW w:w="36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项目起始时间</w:t>
            </w:r>
          </w:p>
        </w:tc>
        <w:tc>
          <w:tcPr>
            <w:tcW w:w="35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2024年</w:t>
            </w:r>
          </w:p>
        </w:tc>
        <w:tc>
          <w:tcPr>
            <w:tcW w:w="4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项目终止时间</w:t>
            </w:r>
          </w:p>
        </w:tc>
        <w:tc>
          <w:tcPr>
            <w:tcW w:w="36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80" w:hRule="atLeast"/>
        </w:trPr>
        <w:tc>
          <w:tcPr>
            <w:tcW w:w="1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项目概况</w:t>
            </w:r>
          </w:p>
        </w:tc>
        <w:tc>
          <w:tcPr>
            <w:tcW w:w="1204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加强刑满释放人员安置帮教和救助管理工作，切实保障刑满释放人员合法权益，帮助刑满释放人员解决实际困难，让他们得到必要的社会救助、社会保险、教育培训和就业指导等服务。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0" w:hRule="atLeast"/>
        </w:trPr>
        <w:tc>
          <w:tcPr>
            <w:tcW w:w="1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立项依据</w:t>
            </w:r>
          </w:p>
        </w:tc>
        <w:tc>
          <w:tcPr>
            <w:tcW w:w="1204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渝司发〔2017〕96号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18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项目当年绩效目标</w:t>
            </w:r>
          </w:p>
        </w:tc>
        <w:tc>
          <w:tcPr>
            <w:tcW w:w="1204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加强刑满释放人员安置帮教和救助管理工作，切实保障刑满释放人员合法权益，帮助刑满释放人员解决实际困难，让他们得到必要的社会救助、社会保险、教育培训和就业指导等服务。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1" w:hRule="atLeast"/>
        </w:trPr>
        <w:tc>
          <w:tcPr>
            <w:tcW w:w="18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绩效指标</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一级指标</w:t>
            </w:r>
          </w:p>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二级指标</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三级指标</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指标值</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性质</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度量</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单位</w:t>
            </w: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权重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是否核心指标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全年列管安置帮教人数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2800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人</w:t>
            </w: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60" w:hRule="atLeast"/>
        </w:trPr>
        <w:tc>
          <w:tcPr>
            <w:tcW w:w="18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质量指标</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对有明显重新违法犯罪倾向人员、“三假”人员、“三无”（无家可归、无亲可投、无业可就）人员、危害国家安全罪犯等重点帮教对象实行必接必送制度，防止脱管漏管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18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时效指标</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监所服刑人员刑满释放后5年内，社区矫正对象矫正期满后3年内</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18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社会效益指标</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刑满释放有人接、回归社会后有人管，就业有人扶，创业有人帮，困难有人助，促进他们顺利回归和融入社会</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18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可持续影响指标</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为重庆经济持续健康发展创造安全稳定的社会环境和优质高效的服务环境</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满意度指标</w:t>
            </w:r>
          </w:p>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服务对象满意度指标</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党委政府满意，人民群众满意</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95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成本指标</w:t>
            </w:r>
          </w:p>
        </w:tc>
        <w:tc>
          <w:tcPr>
            <w:tcW w:w="2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经济成本指标</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人均管理经费约100元</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万元</w:t>
            </w: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bl>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9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36"/>
        <w:gridCol w:w="135"/>
        <w:gridCol w:w="1020"/>
        <w:gridCol w:w="255"/>
        <w:gridCol w:w="1624"/>
        <w:gridCol w:w="401"/>
        <w:gridCol w:w="4009"/>
        <w:gridCol w:w="945"/>
        <w:gridCol w:w="945"/>
        <w:gridCol w:w="945"/>
        <w:gridCol w:w="945"/>
        <w:gridCol w:w="9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13905"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Times New Roman" w:hAnsi="Times New Roman" w:eastAsia="方正小标宋_GBK" w:cs="方正小标宋_GBK"/>
                <w:b/>
                <w:bCs/>
                <w:i w:val="0"/>
                <w:iCs w:val="0"/>
                <w:color w:val="000000"/>
                <w:sz w:val="40"/>
                <w:szCs w:val="40"/>
                <w:u w:val="none"/>
              </w:rPr>
            </w:pPr>
            <w:r>
              <w:rPr>
                <w:rFonts w:hint="eastAsia" w:ascii="Times New Roman" w:hAnsi="Times New Roman" w:eastAsia="方正小标宋_GBK" w:cs="方正小标宋_GBK"/>
                <w:b w:val="0"/>
                <w:bCs w:val="0"/>
                <w:i w:val="0"/>
                <w:iCs w:val="0"/>
                <w:color w:val="000000"/>
                <w:kern w:val="0"/>
                <w:sz w:val="36"/>
                <w:szCs w:val="36"/>
                <w:u w:val="none"/>
                <w:lang w:val="en-US" w:eastAsia="zh-CN" w:bidi="ar"/>
              </w:rPr>
              <w:t>重庆市潼南区司法局2026年预算项目绩效目标表-10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736"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155"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879"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4410"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35" w:type="dxa"/>
            <w:gridSpan w:val="3"/>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16" w:hRule="atLeast"/>
        </w:trPr>
        <w:tc>
          <w:tcPr>
            <w:tcW w:w="18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项目名称</w:t>
            </w:r>
          </w:p>
        </w:tc>
        <w:tc>
          <w:tcPr>
            <w:tcW w:w="1203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50015224T000004244307-上级转移支付办案（业务）费-社区矫正（常年性项目）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21" w:hRule="atLeast"/>
        </w:trPr>
        <w:tc>
          <w:tcPr>
            <w:tcW w:w="18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主管部门</w:t>
            </w:r>
          </w:p>
        </w:tc>
        <w:tc>
          <w:tcPr>
            <w:tcW w:w="33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325-司法局</w:t>
            </w:r>
          </w:p>
        </w:tc>
        <w:tc>
          <w:tcPr>
            <w:tcW w:w="4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实施单位</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325001-司法局（本级）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6" w:hRule="atLeast"/>
        </w:trPr>
        <w:tc>
          <w:tcPr>
            <w:tcW w:w="18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资金总额（万元)</w:t>
            </w:r>
          </w:p>
        </w:tc>
        <w:tc>
          <w:tcPr>
            <w:tcW w:w="33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122.19</w:t>
            </w:r>
          </w:p>
        </w:tc>
        <w:tc>
          <w:tcPr>
            <w:tcW w:w="4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项目属性</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1" w:hRule="atLeast"/>
        </w:trPr>
        <w:tc>
          <w:tcPr>
            <w:tcW w:w="18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项目起始时间</w:t>
            </w:r>
          </w:p>
        </w:tc>
        <w:tc>
          <w:tcPr>
            <w:tcW w:w="33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2024年</w:t>
            </w:r>
          </w:p>
        </w:tc>
        <w:tc>
          <w:tcPr>
            <w:tcW w:w="4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项目终止时间</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8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项目概况</w:t>
            </w:r>
          </w:p>
        </w:tc>
        <w:tc>
          <w:tcPr>
            <w:tcW w:w="1203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落实对全区社区矫正对象的实施监督管理和教育帮扶工作，推进和规范社区矫正工作，保障刑事判决、刑事裁定和暂予监外执行决定的正确执行，提高教育矫正质量，促进社区矫正对象顺利融入社会，预防和减少犯罪。维护社会和谐稳定、节约刑罚执行成本，推进平安中国、法治中国建设，促进司法文明进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15" w:hRule="atLeast"/>
        </w:trPr>
        <w:tc>
          <w:tcPr>
            <w:tcW w:w="18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立项依据</w:t>
            </w:r>
          </w:p>
        </w:tc>
        <w:tc>
          <w:tcPr>
            <w:tcW w:w="1203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渝司发【2017】134号；</w:t>
            </w:r>
            <w:r>
              <w:rPr>
                <w:rFonts w:hint="eastAsia" w:ascii="Times New Roman" w:hAnsi="Times New Roman" w:eastAsia="宋体" w:cs="宋体"/>
                <w:i w:val="0"/>
                <w:iCs w:val="0"/>
                <w:color w:val="000000"/>
                <w:kern w:val="0"/>
                <w:sz w:val="20"/>
                <w:szCs w:val="20"/>
                <w:u w:val="none"/>
                <w:lang w:val="en-US" w:eastAsia="zh-CN" w:bidi="ar"/>
              </w:rPr>
              <w:t>渝司发【2015】166号、渝司发【2015】43号、渝司发【2015】53号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8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项目当年绩效目标</w:t>
            </w:r>
          </w:p>
        </w:tc>
        <w:tc>
          <w:tcPr>
            <w:tcW w:w="1203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推进和规范社区矫正工作，保障刑事判决、刑事裁定和暂予监外执行决定的正确执行，提高教育矫正质量，促进社区矫正对象顺利融入社会，预防和减少犯罪。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1" w:hRule="atLeast"/>
        </w:trPr>
        <w:tc>
          <w:tcPr>
            <w:tcW w:w="18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绩效指标</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一级指标</w:t>
            </w:r>
          </w:p>
        </w:tc>
        <w:tc>
          <w:tcPr>
            <w:tcW w:w="2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二级指标</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三级指标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性质</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度量</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单位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权重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是否核心指标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5" w:hRule="atLeast"/>
        </w:trPr>
        <w:tc>
          <w:tcPr>
            <w:tcW w:w="18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购买社区矫正工作者服务人数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23</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0" w:hRule="atLeast"/>
        </w:trPr>
        <w:tc>
          <w:tcPr>
            <w:tcW w:w="18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全年累计列管社区矫正对象数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40" w:hRule="atLeast"/>
        </w:trPr>
        <w:tc>
          <w:tcPr>
            <w:tcW w:w="18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质量指标</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不出现因未落实工作职责而导致社区矫正对象发生重大安全事故、参与重大群体性事件、发生重大刑事案件等脱管、漏管情况</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0" w:hRule="atLeast"/>
        </w:trPr>
        <w:tc>
          <w:tcPr>
            <w:tcW w:w="18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时效指标</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社区矫正对象应当在判决、裁定生效之日起十日内到执行地社区矫正机构报到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0" w:hRule="atLeast"/>
        </w:trPr>
        <w:tc>
          <w:tcPr>
            <w:tcW w:w="18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2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社会效益指标</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维护社会和谐稳定、节约刑罚执行成本，推进平安中国、法治中国建设，促进司法文明进步</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5" w:hRule="atLeast"/>
        </w:trPr>
        <w:tc>
          <w:tcPr>
            <w:tcW w:w="18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2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可持续影响指标</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维护刑事执行的严肃性、权威性，提高执法公信力</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0" w:hRule="atLeast"/>
        </w:trPr>
        <w:tc>
          <w:tcPr>
            <w:tcW w:w="18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满意度指标</w:t>
            </w:r>
          </w:p>
        </w:tc>
        <w:tc>
          <w:tcPr>
            <w:tcW w:w="2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服务对象满意度指标</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党委政府满意，人民群众满意</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95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0" w:hRule="atLeast"/>
        </w:trPr>
        <w:tc>
          <w:tcPr>
            <w:tcW w:w="18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成本指标</w:t>
            </w:r>
          </w:p>
        </w:tc>
        <w:tc>
          <w:tcPr>
            <w:tcW w:w="2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经济成本指标</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人均管理经费约2500元，市级、区级各50%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122.19</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万元</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bl>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9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86"/>
        <w:gridCol w:w="1245"/>
        <w:gridCol w:w="1639"/>
        <w:gridCol w:w="4541"/>
        <w:gridCol w:w="870"/>
        <w:gridCol w:w="990"/>
        <w:gridCol w:w="945"/>
        <w:gridCol w:w="844"/>
        <w:gridCol w:w="9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13905" w:type="dxa"/>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Times New Roman" w:hAnsi="Times New Roman" w:eastAsia="方正小标宋_GBK" w:cs="方正小标宋_GBK"/>
                <w:b/>
                <w:bCs/>
                <w:i w:val="0"/>
                <w:iCs w:val="0"/>
                <w:color w:val="000000"/>
                <w:sz w:val="40"/>
                <w:szCs w:val="40"/>
                <w:u w:val="none"/>
              </w:rPr>
            </w:pPr>
            <w:r>
              <w:rPr>
                <w:rFonts w:hint="eastAsia" w:ascii="Times New Roman" w:hAnsi="Times New Roman" w:eastAsia="方正小标宋_GBK" w:cs="方正小标宋_GBK"/>
                <w:b w:val="0"/>
                <w:bCs w:val="0"/>
                <w:i w:val="0"/>
                <w:iCs w:val="0"/>
                <w:color w:val="000000"/>
                <w:kern w:val="0"/>
                <w:sz w:val="36"/>
                <w:szCs w:val="36"/>
                <w:u w:val="none"/>
                <w:lang w:val="en-US" w:eastAsia="zh-CN" w:bidi="ar"/>
              </w:rPr>
              <w:t>重庆市潼南区司法局2026年预算项目绩效目标表-11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86"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2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639"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4541"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90"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734" w:type="dxa"/>
            <w:gridSpan w:val="3"/>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项目名称</w:t>
            </w:r>
          </w:p>
        </w:tc>
        <w:tc>
          <w:tcPr>
            <w:tcW w:w="1201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50015224T000004244329-聘请专职人民调解员（常年性项目）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主管部门</w:t>
            </w:r>
          </w:p>
        </w:tc>
        <w:tc>
          <w:tcPr>
            <w:tcW w:w="28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325-司法局</w:t>
            </w:r>
          </w:p>
        </w:tc>
        <w:tc>
          <w:tcPr>
            <w:tcW w:w="54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实施单位</w:t>
            </w:r>
          </w:p>
        </w:tc>
        <w:tc>
          <w:tcPr>
            <w:tcW w:w="372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325001-司法局（本级）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资金总额（万元)</w:t>
            </w:r>
          </w:p>
        </w:tc>
        <w:tc>
          <w:tcPr>
            <w:tcW w:w="28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 xml:space="preserve">27.00 </w:t>
            </w:r>
          </w:p>
        </w:tc>
        <w:tc>
          <w:tcPr>
            <w:tcW w:w="54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项目属性</w:t>
            </w:r>
          </w:p>
        </w:tc>
        <w:tc>
          <w:tcPr>
            <w:tcW w:w="372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项目起始时间</w:t>
            </w:r>
          </w:p>
        </w:tc>
        <w:tc>
          <w:tcPr>
            <w:tcW w:w="28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2024年</w:t>
            </w:r>
          </w:p>
        </w:tc>
        <w:tc>
          <w:tcPr>
            <w:tcW w:w="54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项目终止时间</w:t>
            </w:r>
          </w:p>
        </w:tc>
        <w:tc>
          <w:tcPr>
            <w:tcW w:w="372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20" w:hRule="atLeast"/>
        </w:trPr>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项目概况</w:t>
            </w:r>
          </w:p>
        </w:tc>
        <w:tc>
          <w:tcPr>
            <w:tcW w:w="1201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为认真落实党的十九大精神，深入贯彻中央、市委市政府关于加强人民调解工作，发展人民调解员队伍的决策部署，积极发展专职人民调解员，按照行业性、专业性人民调解委员会应有3名以上专职人民调解员，乡镇（镇街）人民调解委员会应有2名以上专职人民调解员的规定，</w:t>
            </w:r>
            <w:r>
              <w:rPr>
                <w:rFonts w:hint="eastAsia" w:ascii="Times New Roman" w:hAnsi="Times New Roman" w:eastAsia="宋体" w:cs="宋体"/>
                <w:i w:val="0"/>
                <w:iCs w:val="0"/>
                <w:color w:val="000000"/>
                <w:kern w:val="0"/>
                <w:sz w:val="20"/>
                <w:szCs w:val="20"/>
                <w:u w:val="none"/>
                <w:lang w:val="en-US" w:eastAsia="zh-CN" w:bidi="ar"/>
              </w:rPr>
              <w:t>目前共聘请专职人民调解员91名。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0" w:hRule="atLeast"/>
        </w:trPr>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立项依据</w:t>
            </w:r>
          </w:p>
        </w:tc>
        <w:tc>
          <w:tcPr>
            <w:tcW w:w="1201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渝司发【2018】309号</w:t>
            </w:r>
            <w:r>
              <w:rPr>
                <w:rFonts w:hint="eastAsia" w:ascii="Times New Roman" w:hAnsi="Times New Roman" w:cs="宋体"/>
                <w:i w:val="0"/>
                <w:iCs w:val="0"/>
                <w:color w:val="000000"/>
                <w:kern w:val="0"/>
                <w:sz w:val="20"/>
                <w:szCs w:val="20"/>
                <w:u w:val="none"/>
                <w:lang w:val="en-US" w:eastAsia="zh-CN" w:bidi="ar"/>
              </w:rPr>
              <w:t>、渝平安办发【2020】10号、潼司法【2025】20号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80" w:hRule="atLeast"/>
        </w:trPr>
        <w:tc>
          <w:tcPr>
            <w:tcW w:w="1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项目当年绩效目标</w:t>
            </w:r>
          </w:p>
        </w:tc>
        <w:tc>
          <w:tcPr>
            <w:tcW w:w="1201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充分发挥人民调解维护社会和谐稳定“第一道防线”作用，依法、及时、就地解决矛盾纠纷，最大限度解决影响社会稳定的源头性、根本性、基础性矛盾纠纷，实现矛盾不上交，更好满足新时代人民群众对美好生活的向往和更高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1" w:hRule="atLeast"/>
        </w:trPr>
        <w:tc>
          <w:tcPr>
            <w:tcW w:w="1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绩效指标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一级指标</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二级指标</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三级指标</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指标值</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性质</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度量</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单位</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权重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是否核心指标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聘请专职人民调解员人数</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宋体"/>
                <w:i w:val="0"/>
                <w:iCs w:val="0"/>
                <w:color w:val="000000"/>
                <w:sz w:val="20"/>
                <w:szCs w:val="20"/>
                <w:u w:val="none"/>
                <w:lang w:val="en-US"/>
              </w:rPr>
            </w:pPr>
            <w:r>
              <w:rPr>
                <w:rFonts w:hint="eastAsia" w:ascii="Times New Roman" w:hAnsi="Times New Roman" w:cs="宋体"/>
                <w:i w:val="0"/>
                <w:iCs w:val="0"/>
                <w:color w:val="000000"/>
                <w:kern w:val="0"/>
                <w:sz w:val="20"/>
                <w:szCs w:val="20"/>
                <w:u w:val="none"/>
                <w:lang w:val="en-US" w:eastAsia="zh-CN" w:bidi="ar"/>
              </w:rPr>
              <w:t>91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人</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40" w:hRule="atLeast"/>
        </w:trPr>
        <w:tc>
          <w:tcPr>
            <w:tcW w:w="1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质量指标</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一般纠纷不出村，较大纠纷不出镇（街道），重大纠纷不出区县，矛盾纠纷不上交，不发生因矛盾纠纷激化引发的个人极端案件和群体性事件</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时效指标</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及时调解</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社会效益指标</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维护稳定，化解社会矛盾，保一方平安</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可持续发展指标</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减少群众诉累上访，人民警察解脱一般事务</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满意度指标</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满意度指标</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党委政府满意，人民群众满意</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95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1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成本指标</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经济成本指标</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重调会3人、正兴街派出所2人、桂林派出所2人、婚姻登记处2人工作补贴及所有专职人民调解案件补贴</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万元</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bl>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9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56"/>
        <w:gridCol w:w="1275"/>
        <w:gridCol w:w="2175"/>
        <w:gridCol w:w="3874"/>
        <w:gridCol w:w="945"/>
        <w:gridCol w:w="945"/>
        <w:gridCol w:w="945"/>
        <w:gridCol w:w="945"/>
        <w:gridCol w:w="9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13905" w:type="dxa"/>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Times New Roman" w:hAnsi="Times New Roman" w:eastAsia="方正小标宋_GBK" w:cs="方正小标宋_GBK"/>
                <w:b/>
                <w:bCs/>
                <w:i w:val="0"/>
                <w:iCs w:val="0"/>
                <w:color w:val="000000"/>
                <w:sz w:val="40"/>
                <w:szCs w:val="40"/>
                <w:u w:val="none"/>
              </w:rPr>
            </w:pPr>
            <w:r>
              <w:rPr>
                <w:rFonts w:hint="eastAsia" w:ascii="Times New Roman" w:hAnsi="Times New Roman" w:eastAsia="方正小标宋_GBK" w:cs="方正小标宋_GBK"/>
                <w:b w:val="0"/>
                <w:bCs w:val="0"/>
                <w:i w:val="0"/>
                <w:iCs w:val="0"/>
                <w:color w:val="000000"/>
                <w:kern w:val="0"/>
                <w:sz w:val="36"/>
                <w:szCs w:val="36"/>
                <w:u w:val="none"/>
                <w:lang w:val="en-US" w:eastAsia="zh-CN" w:bidi="ar"/>
              </w:rPr>
              <w:t>重庆市潼南区司法局2026年预算项目绩效目标表-12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856"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27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17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3874"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35" w:type="dxa"/>
            <w:gridSpan w:val="3"/>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项目名称</w:t>
            </w:r>
          </w:p>
        </w:tc>
        <w:tc>
          <w:tcPr>
            <w:tcW w:w="120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50015224T000004244332-上级转移支付办案（业务）费-人民调解（常年性项目）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主管部门</w:t>
            </w:r>
          </w:p>
        </w:tc>
        <w:tc>
          <w:tcPr>
            <w:tcW w:w="3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325-司法局</w:t>
            </w:r>
          </w:p>
        </w:tc>
        <w:tc>
          <w:tcPr>
            <w:tcW w:w="48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实施单位</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325001-司法局（本级）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资金总额（万元)</w:t>
            </w:r>
          </w:p>
        </w:tc>
        <w:tc>
          <w:tcPr>
            <w:tcW w:w="3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40.68</w:t>
            </w:r>
          </w:p>
        </w:tc>
        <w:tc>
          <w:tcPr>
            <w:tcW w:w="48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项目属性</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项目起始时间</w:t>
            </w:r>
          </w:p>
        </w:tc>
        <w:tc>
          <w:tcPr>
            <w:tcW w:w="3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2024年</w:t>
            </w:r>
          </w:p>
        </w:tc>
        <w:tc>
          <w:tcPr>
            <w:tcW w:w="48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项目终止时间</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5"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项目概况</w:t>
            </w:r>
          </w:p>
        </w:tc>
        <w:tc>
          <w:tcPr>
            <w:tcW w:w="120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培训和指导全区各级人民调解委员会；免费承担社会性事务、政策性事务和法律性事务的解答咨询服务，免费调解医患纠纷、物业纠纷、交通事故、人身损害赔偿等纠纷；根据诉调对接工作机制，受人民法院、人民检察院委托，参与简易民事案件、轻微刑事案件调解；对重大纠纷通过备案方式，实现法律约束和强制执行手段；收集整理社情民意，定期向相关部门报告相关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5"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立项依据</w:t>
            </w:r>
          </w:p>
        </w:tc>
        <w:tc>
          <w:tcPr>
            <w:tcW w:w="120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hint="eastAsia" w:ascii="Times New Roman" w:hAnsi="Times New Roman" w:cs="宋体"/>
                <w:i w:val="0"/>
                <w:iCs w:val="0"/>
                <w:color w:val="000000"/>
                <w:kern w:val="0"/>
                <w:sz w:val="20"/>
                <w:szCs w:val="20"/>
                <w:u w:val="none"/>
                <w:lang w:val="en-US" w:eastAsia="zh-CN" w:bidi="ar"/>
              </w:rPr>
              <w:t>潼司发【2025】20号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5"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项目当年绩效目标</w:t>
            </w:r>
          </w:p>
        </w:tc>
        <w:tc>
          <w:tcPr>
            <w:tcW w:w="120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减少矛盾纠纷，促进社会和谐稳定，提高调解员工作积极性，工作质量。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1" w:hRule="atLeast"/>
        </w:trPr>
        <w:tc>
          <w:tcPr>
            <w:tcW w:w="18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绩效指标</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一级指标</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二级指标</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三级指标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性质</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度量</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单位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权重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是否核心指标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调解纠纷件数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15000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件</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20" w:hRule="atLeast"/>
        </w:trPr>
        <w:tc>
          <w:tcPr>
            <w:tcW w:w="1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质量指标</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帮助当事人在平等协商、互谅互让的基础上自愿达成调解协议；对调解不成的，要引导当事人通过合法渠道解决</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时效指标</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依法及时调解</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0" w:hRule="atLeast"/>
        </w:trPr>
        <w:tc>
          <w:tcPr>
            <w:tcW w:w="1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社会效益指标</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减少矛盾纠纷，促进社会和谐稳定，确保矛盾纠纷化解在基层、消除在萌芽状,减少信访</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可持续影响指标</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维护社会稳定和谐，防止民转刑，减少上访</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满意度指标</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服务对象满意度指标</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党委政府满意，人民群众满意</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95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0" w:hRule="atLeast"/>
        </w:trPr>
        <w:tc>
          <w:tcPr>
            <w:tcW w:w="1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成本指标</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经济成本指标</w:t>
            </w:r>
          </w:p>
        </w:tc>
        <w:tc>
          <w:tcPr>
            <w:tcW w:w="3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根据案件难易程度，每件补贴15元、40元、60元、150元、200元不等</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40.68</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万元</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bl>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9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16"/>
        <w:gridCol w:w="1380"/>
        <w:gridCol w:w="2130"/>
        <w:gridCol w:w="3754"/>
        <w:gridCol w:w="945"/>
        <w:gridCol w:w="945"/>
        <w:gridCol w:w="945"/>
        <w:gridCol w:w="945"/>
        <w:gridCol w:w="9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20" w:hRule="atLeast"/>
        </w:trPr>
        <w:tc>
          <w:tcPr>
            <w:tcW w:w="13905" w:type="dxa"/>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Times New Roman" w:hAnsi="Times New Roman" w:eastAsia="方正小标宋_GBK" w:cs="方正小标宋_GBK"/>
                <w:b/>
                <w:bCs/>
                <w:i w:val="0"/>
                <w:iCs w:val="0"/>
                <w:color w:val="000000"/>
                <w:sz w:val="40"/>
                <w:szCs w:val="40"/>
                <w:u w:val="none"/>
              </w:rPr>
            </w:pPr>
            <w:r>
              <w:rPr>
                <w:rFonts w:hint="eastAsia" w:ascii="Times New Roman" w:hAnsi="Times New Roman" w:eastAsia="方正小标宋_GBK" w:cs="方正小标宋_GBK"/>
                <w:b w:val="0"/>
                <w:bCs w:val="0"/>
                <w:i w:val="0"/>
                <w:iCs w:val="0"/>
                <w:color w:val="000000"/>
                <w:kern w:val="0"/>
                <w:sz w:val="36"/>
                <w:szCs w:val="36"/>
                <w:u w:val="none"/>
                <w:lang w:val="en-US" w:eastAsia="zh-CN" w:bidi="ar"/>
              </w:rPr>
              <w:t>重庆市潼南区司法局2026年预算项目绩效目标表-13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7" w:hRule="atLeast"/>
        </w:trPr>
        <w:tc>
          <w:tcPr>
            <w:tcW w:w="1916"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380"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130"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3754"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35" w:type="dxa"/>
            <w:gridSpan w:val="3"/>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项目名称</w:t>
            </w:r>
          </w:p>
        </w:tc>
        <w:tc>
          <w:tcPr>
            <w:tcW w:w="119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50015224T000004244633-上级转移支付业务装备经费（常年性项目）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主管部门</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325-司法局</w:t>
            </w:r>
          </w:p>
        </w:tc>
        <w:tc>
          <w:tcPr>
            <w:tcW w:w="46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实施单位</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325001-司法局（本级）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资金总额（万元)</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78.16</w:t>
            </w:r>
          </w:p>
        </w:tc>
        <w:tc>
          <w:tcPr>
            <w:tcW w:w="46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项目属性</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项目起始时间</w:t>
            </w:r>
          </w:p>
        </w:tc>
        <w:tc>
          <w:tcPr>
            <w:tcW w:w="3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2024年</w:t>
            </w:r>
          </w:p>
        </w:tc>
        <w:tc>
          <w:tcPr>
            <w:tcW w:w="46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项目终止时间</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75" w:hRule="atLeast"/>
        </w:trPr>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项目概况</w:t>
            </w:r>
          </w:p>
        </w:tc>
        <w:tc>
          <w:tcPr>
            <w:tcW w:w="119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用于满足正常执法执勤需要，购置各类业务装备和安装调试，保障司法工作正常开展。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15" w:hRule="atLeast"/>
        </w:trPr>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立项依据</w:t>
            </w:r>
          </w:p>
        </w:tc>
        <w:tc>
          <w:tcPr>
            <w:tcW w:w="119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Theme="minorEastAsia" w:cstheme="minorEastAsia"/>
                <w:i w:val="0"/>
                <w:iCs w:val="0"/>
                <w:color w:val="000000"/>
                <w:sz w:val="20"/>
                <w:szCs w:val="20"/>
                <w:u w:val="none"/>
                <w:lang w:val="en-US"/>
              </w:rPr>
            </w:pPr>
            <w:r>
              <w:rPr>
                <w:rFonts w:hint="eastAsia" w:ascii="Times New Roman" w:hAnsi="Times New Roman" w:eastAsiaTheme="minorEastAsia" w:cstheme="minorEastAsia"/>
                <w:i w:val="0"/>
                <w:iCs w:val="0"/>
                <w:color w:val="000000"/>
                <w:kern w:val="0"/>
                <w:sz w:val="20"/>
                <w:szCs w:val="20"/>
                <w:u w:val="none"/>
                <w:lang w:val="en-US" w:eastAsia="zh-CN" w:bidi="ar"/>
              </w:rPr>
              <w:t>渝司发【2017】134号、渝司办【2024】21号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hRule="atLeast"/>
        </w:trPr>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项目当年绩效目标</w:t>
            </w:r>
          </w:p>
        </w:tc>
        <w:tc>
          <w:tcPr>
            <w:tcW w:w="119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严格按照&lt;财政部\司法部关于印发《司法行政机关财务管理办法》的通知&gt;中关于司法办案经费使用管理规定，通过 对办案经费的监督管理，做到专款专用，保障司法局正常业务开支需求。推进办公自动化，执法执勤力，提高工作质量、效率。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1" w:hRule="atLeast"/>
        </w:trPr>
        <w:tc>
          <w:tcPr>
            <w:tcW w:w="1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绩效指标</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一级指标</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二级指标</w:t>
            </w:r>
          </w:p>
        </w:tc>
        <w:tc>
          <w:tcPr>
            <w:tcW w:w="3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三级指标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指标值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指标  性质</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度量  单位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权重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是否核心指标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Theme="minorEastAsia" w:cstheme="minorEastAsia"/>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产出指标</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数量指标</w:t>
            </w:r>
          </w:p>
        </w:tc>
        <w:tc>
          <w:tcPr>
            <w:tcW w:w="3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购执法执勤车1辆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0" w:hRule="atLeast"/>
        </w:trPr>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Theme="minorEastAsia" w:cstheme="minorEastAsia"/>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产出指标</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数量指标</w:t>
            </w:r>
          </w:p>
        </w:tc>
        <w:tc>
          <w:tcPr>
            <w:tcW w:w="3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购置电脑、打印机、空调、家具等办公设备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个（台、套、件、辆）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Theme="minorEastAsia" w:cstheme="minorEastAsia"/>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产出指标</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质量指标</w:t>
            </w:r>
          </w:p>
        </w:tc>
        <w:tc>
          <w:tcPr>
            <w:tcW w:w="3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采购装备合格率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Theme="minorEastAsia" w:cstheme="minorEastAsia"/>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Theme="minorEastAsia" w:cstheme="minorEastAsia"/>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产出指标</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质量指标</w:t>
            </w:r>
          </w:p>
        </w:tc>
        <w:tc>
          <w:tcPr>
            <w:tcW w:w="3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装备使用率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Theme="minorEastAsia" w:cstheme="minorEastAsia"/>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Theme="minorEastAsia" w:cstheme="minorEastAsia"/>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产出指标</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时效指标</w:t>
            </w:r>
          </w:p>
        </w:tc>
        <w:tc>
          <w:tcPr>
            <w:tcW w:w="3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提出申请审查同意后及时配备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Theme="minorEastAsia" w:cstheme="minorEastAsia"/>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Theme="minorEastAsia" w:cstheme="minorEastAsia"/>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效益指标</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社会效益指标</w:t>
            </w:r>
          </w:p>
        </w:tc>
        <w:tc>
          <w:tcPr>
            <w:tcW w:w="3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及时为群众提供各种服务，充分保证办案质量</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Theme="minorEastAsia" w:cstheme="minorEastAsia"/>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70" w:hRule="atLeast"/>
        </w:trPr>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Theme="minorEastAsia" w:cstheme="minorEastAsia"/>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效益指标</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可持续影响指标</w:t>
            </w:r>
          </w:p>
        </w:tc>
        <w:tc>
          <w:tcPr>
            <w:tcW w:w="3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维护社会政治稳定，不断提高公众安全感和满意度，圆满完成各项工作任务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Theme="minorEastAsia" w:cstheme="minorEastAsia"/>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Theme="minorEastAsia" w:cstheme="minorEastAsia"/>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满意度指标</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服务对象满意度指标</w:t>
            </w:r>
          </w:p>
        </w:tc>
        <w:tc>
          <w:tcPr>
            <w:tcW w:w="3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党委政府满意，人民群众满意</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95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Theme="minorEastAsia" w:cstheme="minorEastAsia"/>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成本指标</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经济成本指标</w:t>
            </w:r>
          </w:p>
        </w:tc>
        <w:tc>
          <w:tcPr>
            <w:tcW w:w="3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按规定程序采购，力求不超限额</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78.16</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万元</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Theme="minorEastAsia" w:cstheme="minorEastAsia"/>
                <w:i w:val="0"/>
                <w:iCs w:val="0"/>
                <w:color w:val="000000"/>
                <w:sz w:val="20"/>
                <w:szCs w:val="20"/>
                <w:u w:val="none"/>
              </w:rPr>
            </w:pPr>
            <w:r>
              <w:rPr>
                <w:rFonts w:hint="eastAsia" w:ascii="Times New Roman" w:hAnsi="Times New Roman" w:eastAsiaTheme="minorEastAsia" w:cstheme="minorEastAsia"/>
                <w:i w:val="0"/>
                <w:iCs w:val="0"/>
                <w:color w:val="000000"/>
                <w:kern w:val="0"/>
                <w:sz w:val="20"/>
                <w:szCs w:val="20"/>
                <w:u w:val="none"/>
                <w:lang w:val="en-US" w:eastAsia="zh-CN" w:bidi="ar"/>
              </w:rPr>
              <w:t>否</w:t>
            </w:r>
          </w:p>
        </w:tc>
      </w:tr>
    </w:tbl>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39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16"/>
        <w:gridCol w:w="1425"/>
        <w:gridCol w:w="1830"/>
        <w:gridCol w:w="4009"/>
        <w:gridCol w:w="945"/>
        <w:gridCol w:w="945"/>
        <w:gridCol w:w="945"/>
        <w:gridCol w:w="945"/>
        <w:gridCol w:w="9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13905" w:type="dxa"/>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Times New Roman" w:hAnsi="Times New Roman" w:eastAsia="方正小标宋_GBK" w:cs="方正小标宋_GBK"/>
                <w:b/>
                <w:bCs/>
                <w:i w:val="0"/>
                <w:iCs w:val="0"/>
                <w:color w:val="000000"/>
                <w:sz w:val="40"/>
                <w:szCs w:val="40"/>
                <w:u w:val="none"/>
              </w:rPr>
            </w:pPr>
            <w:r>
              <w:rPr>
                <w:rFonts w:hint="eastAsia" w:ascii="Times New Roman" w:hAnsi="Times New Roman" w:eastAsia="方正小标宋_GBK" w:cs="方正小标宋_GBK"/>
                <w:b w:val="0"/>
                <w:bCs w:val="0"/>
                <w:i w:val="0"/>
                <w:iCs w:val="0"/>
                <w:color w:val="000000"/>
                <w:kern w:val="0"/>
                <w:sz w:val="36"/>
                <w:szCs w:val="36"/>
                <w:u w:val="none"/>
                <w:lang w:val="en-US" w:eastAsia="zh-CN" w:bidi="ar"/>
              </w:rPr>
              <w:t>重庆市潼南区司法局2026年预算项目绩效目标表-14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 w:hRule="atLeast"/>
        </w:trPr>
        <w:tc>
          <w:tcPr>
            <w:tcW w:w="1916"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830"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4009"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835" w:type="dxa"/>
            <w:gridSpan w:val="3"/>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0" w:hRule="atLeast"/>
        </w:trPr>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项目名称</w:t>
            </w:r>
          </w:p>
        </w:tc>
        <w:tc>
          <w:tcPr>
            <w:tcW w:w="119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50015224T000004244646-上级转移支付办案（业务）费-法治建设（常年性项目）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主管部门</w:t>
            </w:r>
          </w:p>
        </w:tc>
        <w:tc>
          <w:tcPr>
            <w:tcW w:w="32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325-司法局</w:t>
            </w:r>
          </w:p>
        </w:tc>
        <w:tc>
          <w:tcPr>
            <w:tcW w:w="4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实施单位</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325001-司法局（本级）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资金总额（万元)</w:t>
            </w:r>
          </w:p>
        </w:tc>
        <w:tc>
          <w:tcPr>
            <w:tcW w:w="32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 xml:space="preserve">74.00 </w:t>
            </w:r>
          </w:p>
        </w:tc>
        <w:tc>
          <w:tcPr>
            <w:tcW w:w="4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项目属性</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项目起始时间</w:t>
            </w:r>
          </w:p>
        </w:tc>
        <w:tc>
          <w:tcPr>
            <w:tcW w:w="32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2024年</w:t>
            </w:r>
          </w:p>
        </w:tc>
        <w:tc>
          <w:tcPr>
            <w:tcW w:w="4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项目终止时间</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项目概况</w:t>
            </w:r>
          </w:p>
        </w:tc>
        <w:tc>
          <w:tcPr>
            <w:tcW w:w="119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保障依法治区、行政执法监督与复议应诉、规范性文件审批、律师管理等司法工作顺利开展，产生良好的司法效果，切实提升法律服务供给能力，以适应人民群众对多层次、多领域的法律服务的需求。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90" w:hRule="atLeast"/>
        </w:trPr>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立项依据</w:t>
            </w:r>
          </w:p>
        </w:tc>
        <w:tc>
          <w:tcPr>
            <w:tcW w:w="119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渝司发【2017】134号</w:t>
            </w:r>
            <w:r>
              <w:rPr>
                <w:rFonts w:hint="eastAsia" w:ascii="Times New Roman" w:hAnsi="Times New Roman" w:cs="宋体"/>
                <w:i w:val="0"/>
                <w:iCs w:val="0"/>
                <w:color w:val="000000"/>
                <w:kern w:val="0"/>
                <w:sz w:val="20"/>
                <w:szCs w:val="20"/>
                <w:u w:val="none"/>
                <w:lang w:val="en-US" w:eastAsia="zh-CN" w:bidi="ar"/>
              </w:rPr>
              <w:t>、渝司办【2024】21号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项目当年绩效目标</w:t>
            </w:r>
          </w:p>
        </w:tc>
        <w:tc>
          <w:tcPr>
            <w:tcW w:w="119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有效防范行政管理的法律风险，切实推动法治政府建设 ，促进经济和社会稳步发展；提升村（社区）基层组织依法自治意识和能力，增加群众的法律知识，增强群众的法律意识，调解基层矛盾纠纷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1" w:hRule="atLeast"/>
        </w:trPr>
        <w:tc>
          <w:tcPr>
            <w:tcW w:w="1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绩效指标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一级指标</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二级指标</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三级指标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性质</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度量</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单位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权重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是否核心指标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规范性文件及合同审查</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170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件</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行政复议案件办理件数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160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件</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执法人员培训人次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人次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时效指标</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及时提供各种法律服务，化解矛盾</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社会效益指标</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依法行政、依法执政，减少财政损失和矛盾纠纷</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可持续影响指标</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推进法治政府建设</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满意度指标</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满意度指标</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党委政府满意，人民群众满意</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95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成本指标</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经济成本指标</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严控成本</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74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万元</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bl>
    <w:p>
      <w:pPr>
        <w:rPr>
          <w:rFonts w:ascii="Times New Roman" w:hAnsi="Times New Roman" w:eastAsia="方正黑体_GBK"/>
          <w:sz w:val="32"/>
          <w:szCs w:val="32"/>
        </w:rPr>
      </w:pPr>
      <w:r>
        <w:rPr>
          <w:rFonts w:ascii="Times New Roman" w:hAnsi="Times New Roman" w:eastAsia="方正黑体_GBK"/>
          <w:sz w:val="32"/>
          <w:szCs w:val="32"/>
        </w:rPr>
        <w:br w:type="page"/>
      </w:r>
    </w:p>
    <w:tbl>
      <w:tblPr>
        <w:tblStyle w:val="9"/>
        <w:tblW w:w="1405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26"/>
        <w:gridCol w:w="1290"/>
        <w:gridCol w:w="1654"/>
        <w:gridCol w:w="4410"/>
        <w:gridCol w:w="945"/>
        <w:gridCol w:w="945"/>
        <w:gridCol w:w="945"/>
        <w:gridCol w:w="945"/>
        <w:gridCol w:w="10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5" w:hRule="atLeast"/>
        </w:trPr>
        <w:tc>
          <w:tcPr>
            <w:tcW w:w="14051" w:type="dxa"/>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Times New Roman" w:hAnsi="Times New Roman" w:eastAsia="方正小标宋_GBK" w:cs="方正小标宋_GBK"/>
                <w:i w:val="0"/>
                <w:iCs w:val="0"/>
                <w:color w:val="000000"/>
                <w:sz w:val="40"/>
                <w:szCs w:val="40"/>
                <w:u w:val="none"/>
              </w:rPr>
            </w:pPr>
            <w:r>
              <w:rPr>
                <w:rFonts w:hint="eastAsia" w:ascii="Times New Roman" w:hAnsi="Times New Roman" w:eastAsia="方正小标宋_GBK" w:cs="方正小标宋_GBK"/>
                <w:i w:val="0"/>
                <w:iCs w:val="0"/>
                <w:color w:val="000000"/>
                <w:kern w:val="0"/>
                <w:sz w:val="36"/>
                <w:szCs w:val="36"/>
                <w:u w:val="none"/>
                <w:lang w:val="en-US" w:eastAsia="zh-CN" w:bidi="ar"/>
              </w:rPr>
              <w:t>重庆市潼南区司法局2026年预算项目绩效目标表-15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0" w:hRule="atLeast"/>
        </w:trPr>
        <w:tc>
          <w:tcPr>
            <w:tcW w:w="1826"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290"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1654"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4410"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945" w:type="dxa"/>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18"/>
                <w:szCs w:val="18"/>
                <w:u w:val="none"/>
              </w:rPr>
            </w:pPr>
          </w:p>
        </w:tc>
        <w:tc>
          <w:tcPr>
            <w:tcW w:w="2981" w:type="dxa"/>
            <w:gridSpan w:val="3"/>
            <w:tcBorders>
              <w:top w:val="nil"/>
              <w:left w:val="nil"/>
              <w:bottom w:val="nil"/>
              <w:right w:val="nil"/>
            </w:tcBorders>
            <w:shd w:val="clear" w:color="auto" w:fill="auto"/>
            <w:vAlign w:val="center"/>
          </w:tcPr>
          <w:p>
            <w:pPr>
              <w:keepNext w:val="0"/>
              <w:keepLines w:val="0"/>
              <w:widowControl/>
              <w:suppressLineNumbers w:val="0"/>
              <w:jc w:val="right"/>
              <w:textAlignment w:val="center"/>
              <w:rPr>
                <w:rFonts w:ascii="Times New Roman" w:hAnsi="Times New Roman" w:eastAsia="宋体" w:cs="宋体"/>
                <w:i w:val="0"/>
                <w:iCs w:val="0"/>
                <w:color w:val="000000"/>
                <w:sz w:val="18"/>
                <w:szCs w:val="18"/>
                <w:u w:val="none"/>
              </w:rPr>
            </w:pPr>
            <w:r>
              <w:rPr>
                <w:rFonts w:ascii="Times New Roman" w:hAnsi="Times New Roman"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项目名称</w:t>
            </w:r>
          </w:p>
        </w:tc>
        <w:tc>
          <w:tcPr>
            <w:tcW w:w="122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50015226T000005697910-“彩虹引航和光潼城”社区矫正对象教育帮扶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主管部门</w:t>
            </w:r>
          </w:p>
        </w:tc>
        <w:tc>
          <w:tcPr>
            <w:tcW w:w="2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325-司法局</w:t>
            </w:r>
          </w:p>
        </w:tc>
        <w:tc>
          <w:tcPr>
            <w:tcW w:w="53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实施单位</w:t>
            </w:r>
          </w:p>
        </w:tc>
        <w:tc>
          <w:tcPr>
            <w:tcW w:w="39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325001-司法局（本级）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资金总额（万元)</w:t>
            </w:r>
          </w:p>
        </w:tc>
        <w:tc>
          <w:tcPr>
            <w:tcW w:w="2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 xml:space="preserve">50.00 </w:t>
            </w:r>
          </w:p>
        </w:tc>
        <w:tc>
          <w:tcPr>
            <w:tcW w:w="53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项目属性</w:t>
            </w:r>
          </w:p>
        </w:tc>
        <w:tc>
          <w:tcPr>
            <w:tcW w:w="39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项目起始时间</w:t>
            </w:r>
          </w:p>
        </w:tc>
        <w:tc>
          <w:tcPr>
            <w:tcW w:w="29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2026年</w:t>
            </w:r>
          </w:p>
        </w:tc>
        <w:tc>
          <w:tcPr>
            <w:tcW w:w="53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项目终止时间</w:t>
            </w:r>
          </w:p>
        </w:tc>
        <w:tc>
          <w:tcPr>
            <w:tcW w:w="39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95"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项目概况</w:t>
            </w:r>
          </w:p>
        </w:tc>
        <w:tc>
          <w:tcPr>
            <w:tcW w:w="122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根据《重庆市社区矫正实施细则》要求，对社区矫正对象分类分级开展教育帮扶，通过精准把脉社区矫正对象心理需求和现实需要，搭建起全面覆盖、重点突出的教育帮扶体系，科学开展警示教育、心理健康服务、职业技能培训、未成年个案帮扶、社会公益等教育帮扶活动，全面提升矫正质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5"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立项依据</w:t>
            </w:r>
          </w:p>
        </w:tc>
        <w:tc>
          <w:tcPr>
            <w:tcW w:w="122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《重庆市社区矫正实施细则》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0" w:hRule="atLeast"/>
        </w:trPr>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项目当年绩效目标</w:t>
            </w:r>
          </w:p>
        </w:tc>
        <w:tc>
          <w:tcPr>
            <w:tcW w:w="122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2026年底前，完成潼南区“彩虹引航 和光潼城”社区矫正对象教育帮扶平台相关人力物力资源的组建和配置，实现教育帮扶学习场所的规范化设置和专家人才的多元化支撑。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5" w:hRule="atLeast"/>
        </w:trPr>
        <w:tc>
          <w:tcPr>
            <w:tcW w:w="1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绩效指标</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一级指标</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二级指标</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三级指标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指标</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性质</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度量</w:t>
            </w:r>
            <w:r>
              <w:rPr>
                <w:rFonts w:hint="eastAsia" w:ascii="Times New Roman" w:hAnsi="Times New Roman" w:cs="宋体"/>
                <w:i w:val="0"/>
                <w:iCs w:val="0"/>
                <w:color w:val="000000"/>
                <w:kern w:val="0"/>
                <w:sz w:val="20"/>
                <w:szCs w:val="20"/>
                <w:u w:val="none"/>
                <w:lang w:val="en-US" w:eastAsia="zh-CN" w:bidi="ar"/>
              </w:rPr>
              <w:t xml:space="preserve">  </w:t>
            </w:r>
            <w:r>
              <w:rPr>
                <w:rFonts w:ascii="Times New Roman" w:hAnsi="Times New Roman" w:eastAsia="宋体" w:cs="宋体"/>
                <w:i w:val="0"/>
                <w:iCs w:val="0"/>
                <w:color w:val="000000"/>
                <w:kern w:val="0"/>
                <w:sz w:val="20"/>
                <w:szCs w:val="20"/>
                <w:u w:val="none"/>
                <w:lang w:val="en-US" w:eastAsia="zh-CN" w:bidi="ar"/>
              </w:rPr>
              <w:t>单位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权重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是否核心指标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公益活动基地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技能培训基地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警示教育基地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开展公益活动</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开展职业技能培训</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未成年心理健康服务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数量指标</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专家人才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12" w:hRule="atLeast"/>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质量指标</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按照《重庆市社区矫正实施细则》完成潼南区“彩虹引航 和光潼城”社区矫正对象教育帮扶场地、专家人才等资源的组建和配置</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产出指标</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时效指标</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2026年年底前完成</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5" w:hRule="atLeast"/>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效益指标</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社会效益指标</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降低社区矫正对象再犯罪率，促进社会安全稳定</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优</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定性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25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0" w:hRule="atLeast"/>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i w:val="0"/>
                <w:iCs w:val="0"/>
                <w:color w:val="000000"/>
                <w:sz w:val="20"/>
                <w:szCs w:val="20"/>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满意度指标</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满意度指标</w:t>
            </w:r>
          </w:p>
        </w:tc>
        <w:tc>
          <w:tcPr>
            <w:tcW w:w="4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社区矫正对象满意，社区矫正机构满意</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95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宋体" w:cs="宋体"/>
                <w:i w:val="0"/>
                <w:iCs w:val="0"/>
                <w:color w:val="000000"/>
                <w:sz w:val="20"/>
                <w:szCs w:val="20"/>
                <w:u w:val="none"/>
              </w:rPr>
            </w:pPr>
            <w:r>
              <w:rPr>
                <w:rFonts w:ascii="Times New Roman" w:hAnsi="Times New Roman" w:eastAsia="宋体" w:cs="宋体"/>
                <w:i w:val="0"/>
                <w:iCs w:val="0"/>
                <w:color w:val="000000"/>
                <w:kern w:val="0"/>
                <w:sz w:val="20"/>
                <w:szCs w:val="20"/>
                <w:u w:val="none"/>
                <w:lang w:val="en-US" w:eastAsia="zh-CN" w:bidi="ar"/>
              </w:rPr>
              <w:t>10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宋体"/>
                <w:i w:val="0"/>
                <w:iCs w:val="0"/>
                <w:color w:val="000000"/>
                <w:sz w:val="20"/>
                <w:szCs w:val="20"/>
                <w:u w:val="none"/>
              </w:rPr>
            </w:pPr>
            <w:r>
              <w:rPr>
                <w:rFonts w:hint="eastAsia" w:ascii="Times New Roman" w:hAnsi="Times New Roman" w:eastAsia="宋体" w:cs="宋体"/>
                <w:i w:val="0"/>
                <w:iCs w:val="0"/>
                <w:color w:val="000000"/>
                <w:kern w:val="0"/>
                <w:sz w:val="20"/>
                <w:szCs w:val="20"/>
                <w:u w:val="none"/>
                <w:lang w:val="en-US" w:eastAsia="zh-CN" w:bidi="ar"/>
              </w:rPr>
              <w:t>否</w:t>
            </w:r>
          </w:p>
        </w:tc>
      </w:tr>
    </w:tbl>
    <w:p>
      <w:pPr>
        <w:rPr>
          <w:rFonts w:ascii="Times New Roman" w:hAnsi="Times New Roman" w:eastAsiaTheme="minorEastAsia"/>
          <w:sz w:val="21"/>
          <w:szCs w:val="21"/>
        </w:rPr>
      </w:pPr>
    </w:p>
    <w:sectPr>
      <w:footerReference r:id="rId3" w:type="default"/>
      <w:pgSz w:w="16838" w:h="11906" w:orient="landscape"/>
      <w:pgMar w:top="1418" w:right="1418" w:bottom="1418" w:left="1418"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华文仿宋">
    <w:altName w:val="汉仪仿宋简"/>
    <w:panose1 w:val="02010600040101010101"/>
    <w:charset w:val="86"/>
    <w:family w:val="auto"/>
    <w:pitch w:val="default"/>
    <w:sig w:usb0="00000000" w:usb1="00000000" w:usb2="00000000" w:usb3="00000000" w:csb0="0004009F" w:csb1="DFD70000"/>
  </w:font>
  <w:font w:name="方正仿宋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monospace">
    <w:altName w:val="汉仪仿宋S"/>
    <w:panose1 w:val="00000000000000000000"/>
    <w:charset w:val="00"/>
    <w:family w:val="auto"/>
    <w:pitch w:val="default"/>
    <w:sig w:usb0="00000000" w:usb1="00000000" w:usb2="00000000" w:usb3="00000000" w:csb0="00000000"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仿宋简">
    <w:panose1 w:val="02010600000101010101"/>
    <w:charset w:val="86"/>
    <w:family w:val="auto"/>
    <w:pitch w:val="default"/>
    <w:sig w:usb0="00000001" w:usb1="080E0800" w:usb2="00000002" w:usb3="00000000" w:csb0="00040000" w:csb1="00000000"/>
  </w:font>
  <w:font w:name="汉仪仿宋S">
    <w:panose1 w:val="00020600040101000101"/>
    <w:charset w:val="86"/>
    <w:family w:val="auto"/>
    <w:pitch w:val="default"/>
    <w:sig w:usb0="A00002BF" w:usb1="38CF7C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t>24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4Yjg3Y2M4NmU5MGQyNWY3M2MxYjQ0NmE2Y2MyZjQifQ=="/>
    <w:docVar w:name="KSO_WPS_MARK_KEY" w:val="549f03ad-1e6e-4a8d-8c95-fefd3fb013e0"/>
  </w:docVars>
  <w:rsids>
    <w:rsidRoot w:val="3C93402F"/>
    <w:rsid w:val="0001366E"/>
    <w:rsid w:val="000304B9"/>
    <w:rsid w:val="00032847"/>
    <w:rsid w:val="0003706B"/>
    <w:rsid w:val="00053759"/>
    <w:rsid w:val="00054392"/>
    <w:rsid w:val="000A4AA7"/>
    <w:rsid w:val="000F2009"/>
    <w:rsid w:val="00105C74"/>
    <w:rsid w:val="0010727F"/>
    <w:rsid w:val="001310F8"/>
    <w:rsid w:val="00180EE8"/>
    <w:rsid w:val="00191811"/>
    <w:rsid w:val="001A5F06"/>
    <w:rsid w:val="001F266C"/>
    <w:rsid w:val="001F457D"/>
    <w:rsid w:val="00214D21"/>
    <w:rsid w:val="0022405D"/>
    <w:rsid w:val="002563D3"/>
    <w:rsid w:val="00286DAB"/>
    <w:rsid w:val="002969A9"/>
    <w:rsid w:val="002A40F6"/>
    <w:rsid w:val="002A6CEA"/>
    <w:rsid w:val="002D3D69"/>
    <w:rsid w:val="002E06F8"/>
    <w:rsid w:val="003048A2"/>
    <w:rsid w:val="0032691B"/>
    <w:rsid w:val="0034051F"/>
    <w:rsid w:val="00343544"/>
    <w:rsid w:val="00343D3E"/>
    <w:rsid w:val="0035780D"/>
    <w:rsid w:val="00383B13"/>
    <w:rsid w:val="003C41BF"/>
    <w:rsid w:val="003E0863"/>
    <w:rsid w:val="003F57F2"/>
    <w:rsid w:val="00414B68"/>
    <w:rsid w:val="004300CB"/>
    <w:rsid w:val="004363E6"/>
    <w:rsid w:val="0044161A"/>
    <w:rsid w:val="00480B5D"/>
    <w:rsid w:val="004B1678"/>
    <w:rsid w:val="004C04BD"/>
    <w:rsid w:val="004C76C3"/>
    <w:rsid w:val="004D4C20"/>
    <w:rsid w:val="00517411"/>
    <w:rsid w:val="005F690A"/>
    <w:rsid w:val="006075AC"/>
    <w:rsid w:val="00616F23"/>
    <w:rsid w:val="0064386D"/>
    <w:rsid w:val="00645533"/>
    <w:rsid w:val="006537E0"/>
    <w:rsid w:val="00675608"/>
    <w:rsid w:val="0068143B"/>
    <w:rsid w:val="006844E5"/>
    <w:rsid w:val="00690309"/>
    <w:rsid w:val="006A1C3C"/>
    <w:rsid w:val="006B161D"/>
    <w:rsid w:val="006F2A96"/>
    <w:rsid w:val="0071520F"/>
    <w:rsid w:val="00722C1D"/>
    <w:rsid w:val="00772DED"/>
    <w:rsid w:val="00781CBE"/>
    <w:rsid w:val="007A554C"/>
    <w:rsid w:val="007C6921"/>
    <w:rsid w:val="007E2700"/>
    <w:rsid w:val="007E44E5"/>
    <w:rsid w:val="007F2A8A"/>
    <w:rsid w:val="008011A3"/>
    <w:rsid w:val="008218F0"/>
    <w:rsid w:val="008224F2"/>
    <w:rsid w:val="0083630C"/>
    <w:rsid w:val="00866725"/>
    <w:rsid w:val="00867ACF"/>
    <w:rsid w:val="008820C5"/>
    <w:rsid w:val="008878A5"/>
    <w:rsid w:val="008C2C83"/>
    <w:rsid w:val="008D3E31"/>
    <w:rsid w:val="008D7B5B"/>
    <w:rsid w:val="00904428"/>
    <w:rsid w:val="00970311"/>
    <w:rsid w:val="00980EE4"/>
    <w:rsid w:val="009C0815"/>
    <w:rsid w:val="009F24FE"/>
    <w:rsid w:val="009F256A"/>
    <w:rsid w:val="00A00605"/>
    <w:rsid w:val="00A17AF0"/>
    <w:rsid w:val="00A272F2"/>
    <w:rsid w:val="00A91667"/>
    <w:rsid w:val="00A916E9"/>
    <w:rsid w:val="00A944AB"/>
    <w:rsid w:val="00AA06C3"/>
    <w:rsid w:val="00AA08EA"/>
    <w:rsid w:val="00AC3945"/>
    <w:rsid w:val="00AD0C52"/>
    <w:rsid w:val="00AD2978"/>
    <w:rsid w:val="00AD541D"/>
    <w:rsid w:val="00AE7D48"/>
    <w:rsid w:val="00AF0FAE"/>
    <w:rsid w:val="00B0766A"/>
    <w:rsid w:val="00B229B5"/>
    <w:rsid w:val="00B314BA"/>
    <w:rsid w:val="00B407A1"/>
    <w:rsid w:val="00B53E3F"/>
    <w:rsid w:val="00B554D6"/>
    <w:rsid w:val="00B60A06"/>
    <w:rsid w:val="00BA6A6C"/>
    <w:rsid w:val="00BB5779"/>
    <w:rsid w:val="00BD5FF0"/>
    <w:rsid w:val="00BE5F1A"/>
    <w:rsid w:val="00BE7F84"/>
    <w:rsid w:val="00BF2D27"/>
    <w:rsid w:val="00BF3108"/>
    <w:rsid w:val="00BF7655"/>
    <w:rsid w:val="00C204FF"/>
    <w:rsid w:val="00C32FC7"/>
    <w:rsid w:val="00C55BC7"/>
    <w:rsid w:val="00C9577D"/>
    <w:rsid w:val="00CB5A10"/>
    <w:rsid w:val="00CC42FF"/>
    <w:rsid w:val="00CD2F64"/>
    <w:rsid w:val="00CD3892"/>
    <w:rsid w:val="00CE5183"/>
    <w:rsid w:val="00CE6AD7"/>
    <w:rsid w:val="00D15820"/>
    <w:rsid w:val="00D2308F"/>
    <w:rsid w:val="00D45872"/>
    <w:rsid w:val="00D614EC"/>
    <w:rsid w:val="00D61957"/>
    <w:rsid w:val="00D76E54"/>
    <w:rsid w:val="00D8531A"/>
    <w:rsid w:val="00D9365C"/>
    <w:rsid w:val="00DB1EFC"/>
    <w:rsid w:val="00DC67B8"/>
    <w:rsid w:val="00DD4496"/>
    <w:rsid w:val="00DE3EE8"/>
    <w:rsid w:val="00DF165D"/>
    <w:rsid w:val="00DF4FF0"/>
    <w:rsid w:val="00E0470D"/>
    <w:rsid w:val="00E147C3"/>
    <w:rsid w:val="00E30DEE"/>
    <w:rsid w:val="00E32EE1"/>
    <w:rsid w:val="00E32F17"/>
    <w:rsid w:val="00E43CF2"/>
    <w:rsid w:val="00E50D4F"/>
    <w:rsid w:val="00E7280B"/>
    <w:rsid w:val="00E7401B"/>
    <w:rsid w:val="00E8558D"/>
    <w:rsid w:val="00ED075B"/>
    <w:rsid w:val="00EE3975"/>
    <w:rsid w:val="00EE4C1C"/>
    <w:rsid w:val="00F0324C"/>
    <w:rsid w:val="00F0356C"/>
    <w:rsid w:val="00F21899"/>
    <w:rsid w:val="00F21EB6"/>
    <w:rsid w:val="00F43BEC"/>
    <w:rsid w:val="00F74F1E"/>
    <w:rsid w:val="00F84455"/>
    <w:rsid w:val="00F8785D"/>
    <w:rsid w:val="00FA4FCA"/>
    <w:rsid w:val="00FC051D"/>
    <w:rsid w:val="00FE0906"/>
    <w:rsid w:val="00FF3E76"/>
    <w:rsid w:val="01C721D1"/>
    <w:rsid w:val="01E46029"/>
    <w:rsid w:val="02994853"/>
    <w:rsid w:val="0318024C"/>
    <w:rsid w:val="03AD193E"/>
    <w:rsid w:val="03D47A52"/>
    <w:rsid w:val="03DF3005"/>
    <w:rsid w:val="04227034"/>
    <w:rsid w:val="04253FDA"/>
    <w:rsid w:val="04371904"/>
    <w:rsid w:val="04622B4E"/>
    <w:rsid w:val="04AF3F3E"/>
    <w:rsid w:val="051416E4"/>
    <w:rsid w:val="051B68CD"/>
    <w:rsid w:val="05272903"/>
    <w:rsid w:val="058A60D1"/>
    <w:rsid w:val="05DD6BAF"/>
    <w:rsid w:val="05E00732"/>
    <w:rsid w:val="05E16ED2"/>
    <w:rsid w:val="05F7EB2F"/>
    <w:rsid w:val="064A1761"/>
    <w:rsid w:val="06616243"/>
    <w:rsid w:val="07A35216"/>
    <w:rsid w:val="07D74CDF"/>
    <w:rsid w:val="0802440D"/>
    <w:rsid w:val="08234CF8"/>
    <w:rsid w:val="082D3A33"/>
    <w:rsid w:val="087459EC"/>
    <w:rsid w:val="09066342"/>
    <w:rsid w:val="097F1B05"/>
    <w:rsid w:val="098803E0"/>
    <w:rsid w:val="099C40FB"/>
    <w:rsid w:val="0AE3696C"/>
    <w:rsid w:val="0B6A3AAA"/>
    <w:rsid w:val="0B970E43"/>
    <w:rsid w:val="0BB102BE"/>
    <w:rsid w:val="0CDD22CD"/>
    <w:rsid w:val="0D0962F1"/>
    <w:rsid w:val="0DF142E0"/>
    <w:rsid w:val="0E575C13"/>
    <w:rsid w:val="0E611DA6"/>
    <w:rsid w:val="0EB7AA0C"/>
    <w:rsid w:val="0F565B36"/>
    <w:rsid w:val="0FE51F22"/>
    <w:rsid w:val="10455B23"/>
    <w:rsid w:val="106E7515"/>
    <w:rsid w:val="107C119C"/>
    <w:rsid w:val="1090632E"/>
    <w:rsid w:val="11411F89"/>
    <w:rsid w:val="114708AD"/>
    <w:rsid w:val="119D3C86"/>
    <w:rsid w:val="12160F3D"/>
    <w:rsid w:val="1219663F"/>
    <w:rsid w:val="12741C94"/>
    <w:rsid w:val="130B0E66"/>
    <w:rsid w:val="13367EB4"/>
    <w:rsid w:val="13C269FA"/>
    <w:rsid w:val="1438443B"/>
    <w:rsid w:val="14946A93"/>
    <w:rsid w:val="14AF64EE"/>
    <w:rsid w:val="14F40071"/>
    <w:rsid w:val="15681628"/>
    <w:rsid w:val="16B17FC7"/>
    <w:rsid w:val="17F521CC"/>
    <w:rsid w:val="180A3C6C"/>
    <w:rsid w:val="18231D1A"/>
    <w:rsid w:val="191477B1"/>
    <w:rsid w:val="19B7283D"/>
    <w:rsid w:val="19ED706A"/>
    <w:rsid w:val="1AA62AE4"/>
    <w:rsid w:val="1B334486"/>
    <w:rsid w:val="1C0A780E"/>
    <w:rsid w:val="1C6C746E"/>
    <w:rsid w:val="1C947772"/>
    <w:rsid w:val="1D0B4E33"/>
    <w:rsid w:val="1D68334B"/>
    <w:rsid w:val="1DBC242A"/>
    <w:rsid w:val="1DF9E6AE"/>
    <w:rsid w:val="1E9F0ACC"/>
    <w:rsid w:val="1EAD31F8"/>
    <w:rsid w:val="1ED32BDE"/>
    <w:rsid w:val="1EED3BFB"/>
    <w:rsid w:val="1FC67727"/>
    <w:rsid w:val="1FE57134"/>
    <w:rsid w:val="20051698"/>
    <w:rsid w:val="20593321"/>
    <w:rsid w:val="206C2914"/>
    <w:rsid w:val="206D1FC1"/>
    <w:rsid w:val="208115C4"/>
    <w:rsid w:val="20E17D82"/>
    <w:rsid w:val="212059C9"/>
    <w:rsid w:val="2184758B"/>
    <w:rsid w:val="21AA6177"/>
    <w:rsid w:val="2204335C"/>
    <w:rsid w:val="22643293"/>
    <w:rsid w:val="236043E2"/>
    <w:rsid w:val="23CA5246"/>
    <w:rsid w:val="23CB79DE"/>
    <w:rsid w:val="23D81FDE"/>
    <w:rsid w:val="23FFF19D"/>
    <w:rsid w:val="24071A77"/>
    <w:rsid w:val="251406E0"/>
    <w:rsid w:val="251A25EA"/>
    <w:rsid w:val="25F99FAD"/>
    <w:rsid w:val="265F2724"/>
    <w:rsid w:val="26A26BEE"/>
    <w:rsid w:val="271C1C2D"/>
    <w:rsid w:val="27A02EA3"/>
    <w:rsid w:val="27A9199E"/>
    <w:rsid w:val="280C3C41"/>
    <w:rsid w:val="28A32271"/>
    <w:rsid w:val="28CF1781"/>
    <w:rsid w:val="28DD6518"/>
    <w:rsid w:val="28E51EAA"/>
    <w:rsid w:val="29D25B2C"/>
    <w:rsid w:val="29EA5B98"/>
    <w:rsid w:val="2A150A97"/>
    <w:rsid w:val="2AAB7A0D"/>
    <w:rsid w:val="2AF93390"/>
    <w:rsid w:val="2B2A36FB"/>
    <w:rsid w:val="2B424A89"/>
    <w:rsid w:val="2B683643"/>
    <w:rsid w:val="2B8E107E"/>
    <w:rsid w:val="2C0A0C4E"/>
    <w:rsid w:val="2C194F20"/>
    <w:rsid w:val="2C2D4DB7"/>
    <w:rsid w:val="2CD93339"/>
    <w:rsid w:val="2D2F2FAF"/>
    <w:rsid w:val="2DB77A10"/>
    <w:rsid w:val="2F387363"/>
    <w:rsid w:val="2F660650"/>
    <w:rsid w:val="2FFAA28E"/>
    <w:rsid w:val="2FFD0153"/>
    <w:rsid w:val="301541ED"/>
    <w:rsid w:val="30405DB5"/>
    <w:rsid w:val="31324444"/>
    <w:rsid w:val="318662D9"/>
    <w:rsid w:val="31A4347E"/>
    <w:rsid w:val="329C4765"/>
    <w:rsid w:val="32D103B5"/>
    <w:rsid w:val="34395A1D"/>
    <w:rsid w:val="34DF310C"/>
    <w:rsid w:val="353A55E3"/>
    <w:rsid w:val="35937FF1"/>
    <w:rsid w:val="35B47994"/>
    <w:rsid w:val="35DD0611"/>
    <w:rsid w:val="360B73A9"/>
    <w:rsid w:val="360C5B09"/>
    <w:rsid w:val="36F6333B"/>
    <w:rsid w:val="36FF012C"/>
    <w:rsid w:val="372904BF"/>
    <w:rsid w:val="372F4B74"/>
    <w:rsid w:val="377F754B"/>
    <w:rsid w:val="37B1B5B1"/>
    <w:rsid w:val="37BD385B"/>
    <w:rsid w:val="37BE4ADD"/>
    <w:rsid w:val="37FECD90"/>
    <w:rsid w:val="382175A5"/>
    <w:rsid w:val="38631313"/>
    <w:rsid w:val="38C74DA7"/>
    <w:rsid w:val="395E6FAD"/>
    <w:rsid w:val="39A9482B"/>
    <w:rsid w:val="39B31F3A"/>
    <w:rsid w:val="3A250E91"/>
    <w:rsid w:val="3A687368"/>
    <w:rsid w:val="3AAD4C65"/>
    <w:rsid w:val="3B013DDA"/>
    <w:rsid w:val="3B807607"/>
    <w:rsid w:val="3B87276C"/>
    <w:rsid w:val="3C9211CB"/>
    <w:rsid w:val="3C93402F"/>
    <w:rsid w:val="3CC75CC4"/>
    <w:rsid w:val="3D8C258A"/>
    <w:rsid w:val="3DB78443"/>
    <w:rsid w:val="3E964C3B"/>
    <w:rsid w:val="3EBD617F"/>
    <w:rsid w:val="3EF95346"/>
    <w:rsid w:val="3F4F1E6B"/>
    <w:rsid w:val="3F78A495"/>
    <w:rsid w:val="3FB86017"/>
    <w:rsid w:val="3FD77B14"/>
    <w:rsid w:val="3FEE6B79"/>
    <w:rsid w:val="40170FC8"/>
    <w:rsid w:val="403741D1"/>
    <w:rsid w:val="4087105B"/>
    <w:rsid w:val="410E6949"/>
    <w:rsid w:val="41313685"/>
    <w:rsid w:val="419868AD"/>
    <w:rsid w:val="41AF32F6"/>
    <w:rsid w:val="426136E9"/>
    <w:rsid w:val="426F65D3"/>
    <w:rsid w:val="42C53A9C"/>
    <w:rsid w:val="42DB19F7"/>
    <w:rsid w:val="43484F6E"/>
    <w:rsid w:val="4374118B"/>
    <w:rsid w:val="437B6009"/>
    <w:rsid w:val="43835153"/>
    <w:rsid w:val="439C5AC7"/>
    <w:rsid w:val="43E9786D"/>
    <w:rsid w:val="43F748F7"/>
    <w:rsid w:val="44681FAE"/>
    <w:rsid w:val="4480418D"/>
    <w:rsid w:val="44B64C4D"/>
    <w:rsid w:val="44EF1E27"/>
    <w:rsid w:val="46D22D6E"/>
    <w:rsid w:val="46EA05B5"/>
    <w:rsid w:val="470913EF"/>
    <w:rsid w:val="47A6C219"/>
    <w:rsid w:val="47C96C2F"/>
    <w:rsid w:val="48621D83"/>
    <w:rsid w:val="49464ABA"/>
    <w:rsid w:val="495D4B69"/>
    <w:rsid w:val="49E37BDF"/>
    <w:rsid w:val="4A477FF2"/>
    <w:rsid w:val="4A52417C"/>
    <w:rsid w:val="4A7D0844"/>
    <w:rsid w:val="4B0B6CBE"/>
    <w:rsid w:val="4B1617DA"/>
    <w:rsid w:val="4B234E97"/>
    <w:rsid w:val="4B2A63DE"/>
    <w:rsid w:val="4B496C93"/>
    <w:rsid w:val="4CA72D00"/>
    <w:rsid w:val="4CCF23C9"/>
    <w:rsid w:val="4CF571E8"/>
    <w:rsid w:val="4D360A3D"/>
    <w:rsid w:val="4DBBEF80"/>
    <w:rsid w:val="4E6C5305"/>
    <w:rsid w:val="4EA90C39"/>
    <w:rsid w:val="4EC86D2B"/>
    <w:rsid w:val="50131BB5"/>
    <w:rsid w:val="50434E3C"/>
    <w:rsid w:val="50514154"/>
    <w:rsid w:val="506256F1"/>
    <w:rsid w:val="506C6001"/>
    <w:rsid w:val="50A306D9"/>
    <w:rsid w:val="50DA38A7"/>
    <w:rsid w:val="52535EAE"/>
    <w:rsid w:val="5372354D"/>
    <w:rsid w:val="54311BAF"/>
    <w:rsid w:val="54322C6E"/>
    <w:rsid w:val="549E4761"/>
    <w:rsid w:val="557E43D0"/>
    <w:rsid w:val="55936790"/>
    <w:rsid w:val="56A92D3D"/>
    <w:rsid w:val="56CC4D76"/>
    <w:rsid w:val="575F4847"/>
    <w:rsid w:val="577C3895"/>
    <w:rsid w:val="57902AC5"/>
    <w:rsid w:val="57CD0BBC"/>
    <w:rsid w:val="584D5750"/>
    <w:rsid w:val="58B53E16"/>
    <w:rsid w:val="593360E1"/>
    <w:rsid w:val="5975BF1B"/>
    <w:rsid w:val="59F111B9"/>
    <w:rsid w:val="5A483A13"/>
    <w:rsid w:val="5A893518"/>
    <w:rsid w:val="5AA26640"/>
    <w:rsid w:val="5AA436B5"/>
    <w:rsid w:val="5AB133D7"/>
    <w:rsid w:val="5AE85D63"/>
    <w:rsid w:val="5B1435B0"/>
    <w:rsid w:val="5B212B55"/>
    <w:rsid w:val="5B295620"/>
    <w:rsid w:val="5B2A30A1"/>
    <w:rsid w:val="5B73D9D6"/>
    <w:rsid w:val="5B8F3E84"/>
    <w:rsid w:val="5BB7009B"/>
    <w:rsid w:val="5BBE6A3A"/>
    <w:rsid w:val="5BBF8E1A"/>
    <w:rsid w:val="5BF33B45"/>
    <w:rsid w:val="5C0A1C93"/>
    <w:rsid w:val="5C0D5892"/>
    <w:rsid w:val="5C6E1E1A"/>
    <w:rsid w:val="5CD37BDA"/>
    <w:rsid w:val="5CF7EE80"/>
    <w:rsid w:val="5D47161B"/>
    <w:rsid w:val="5D6326D7"/>
    <w:rsid w:val="5D7F232B"/>
    <w:rsid w:val="5DD5280C"/>
    <w:rsid w:val="5F0D0956"/>
    <w:rsid w:val="5F122687"/>
    <w:rsid w:val="5FAEBA4F"/>
    <w:rsid w:val="5FFB483A"/>
    <w:rsid w:val="5FFF59C1"/>
    <w:rsid w:val="607907C7"/>
    <w:rsid w:val="62A237C4"/>
    <w:rsid w:val="62AC3368"/>
    <w:rsid w:val="62F65304"/>
    <w:rsid w:val="635124A4"/>
    <w:rsid w:val="63DE92FC"/>
    <w:rsid w:val="63FE3A99"/>
    <w:rsid w:val="641C68CD"/>
    <w:rsid w:val="64227256"/>
    <w:rsid w:val="65FA3F4B"/>
    <w:rsid w:val="65FD00B7"/>
    <w:rsid w:val="6630546A"/>
    <w:rsid w:val="666A7523"/>
    <w:rsid w:val="67F22715"/>
    <w:rsid w:val="68CC442A"/>
    <w:rsid w:val="68D50789"/>
    <w:rsid w:val="691E44A1"/>
    <w:rsid w:val="692C0E45"/>
    <w:rsid w:val="695F3C6C"/>
    <w:rsid w:val="6997A83F"/>
    <w:rsid w:val="69AA2AFF"/>
    <w:rsid w:val="6A334E2E"/>
    <w:rsid w:val="6B116BA9"/>
    <w:rsid w:val="6B311091"/>
    <w:rsid w:val="6BA91962"/>
    <w:rsid w:val="6BFF504C"/>
    <w:rsid w:val="6C9A2A14"/>
    <w:rsid w:val="6D5D5725"/>
    <w:rsid w:val="6D7A2AAC"/>
    <w:rsid w:val="6DAA54AF"/>
    <w:rsid w:val="6DBBC9FD"/>
    <w:rsid w:val="6DF62F0C"/>
    <w:rsid w:val="6DFB921D"/>
    <w:rsid w:val="6E023C8A"/>
    <w:rsid w:val="6E057402"/>
    <w:rsid w:val="6E9D18BA"/>
    <w:rsid w:val="6EF12402"/>
    <w:rsid w:val="6F735096"/>
    <w:rsid w:val="6F7FDE24"/>
    <w:rsid w:val="6FBE3A6F"/>
    <w:rsid w:val="6FC87D72"/>
    <w:rsid w:val="71740810"/>
    <w:rsid w:val="72484540"/>
    <w:rsid w:val="72694E43"/>
    <w:rsid w:val="726A3535"/>
    <w:rsid w:val="726C679E"/>
    <w:rsid w:val="72933DE9"/>
    <w:rsid w:val="72E44324"/>
    <w:rsid w:val="73A744CA"/>
    <w:rsid w:val="73FD6973"/>
    <w:rsid w:val="742A49F3"/>
    <w:rsid w:val="747F595D"/>
    <w:rsid w:val="74AB40B9"/>
    <w:rsid w:val="74AB522C"/>
    <w:rsid w:val="754D4D59"/>
    <w:rsid w:val="76361681"/>
    <w:rsid w:val="76FF88D9"/>
    <w:rsid w:val="77AD2167"/>
    <w:rsid w:val="77B81E09"/>
    <w:rsid w:val="77BF233D"/>
    <w:rsid w:val="77D24925"/>
    <w:rsid w:val="77F7D1E6"/>
    <w:rsid w:val="77F8480C"/>
    <w:rsid w:val="77F91035"/>
    <w:rsid w:val="782F143B"/>
    <w:rsid w:val="783B1906"/>
    <w:rsid w:val="785670FD"/>
    <w:rsid w:val="78A33B85"/>
    <w:rsid w:val="78BE33C0"/>
    <w:rsid w:val="78D606E3"/>
    <w:rsid w:val="78DF4245"/>
    <w:rsid w:val="78F46362"/>
    <w:rsid w:val="795F2BF5"/>
    <w:rsid w:val="79913601"/>
    <w:rsid w:val="79AEA3B8"/>
    <w:rsid w:val="79FF030C"/>
    <w:rsid w:val="7A286FF8"/>
    <w:rsid w:val="7A4D0693"/>
    <w:rsid w:val="7A65559B"/>
    <w:rsid w:val="7B052269"/>
    <w:rsid w:val="7B9F8097"/>
    <w:rsid w:val="7BB97827"/>
    <w:rsid w:val="7BEF6963"/>
    <w:rsid w:val="7BFE0114"/>
    <w:rsid w:val="7C5FF5DF"/>
    <w:rsid w:val="7C736835"/>
    <w:rsid w:val="7CAFDBBF"/>
    <w:rsid w:val="7CC20EBA"/>
    <w:rsid w:val="7D77B069"/>
    <w:rsid w:val="7D782ED3"/>
    <w:rsid w:val="7DBB2757"/>
    <w:rsid w:val="7DBE5001"/>
    <w:rsid w:val="7DDF9375"/>
    <w:rsid w:val="7DFC4794"/>
    <w:rsid w:val="7E2C493A"/>
    <w:rsid w:val="7E9B156F"/>
    <w:rsid w:val="7EEE02FC"/>
    <w:rsid w:val="7EEFD3B8"/>
    <w:rsid w:val="7EFD3E96"/>
    <w:rsid w:val="7F382EE6"/>
    <w:rsid w:val="7F757AFA"/>
    <w:rsid w:val="7F7B6EB5"/>
    <w:rsid w:val="7F872EE5"/>
    <w:rsid w:val="7FAFD5A1"/>
    <w:rsid w:val="7FB73D1E"/>
    <w:rsid w:val="7FCFF9D4"/>
    <w:rsid w:val="7FE60113"/>
    <w:rsid w:val="7FFAF57D"/>
    <w:rsid w:val="7FFB764D"/>
    <w:rsid w:val="7FFC4BD6"/>
    <w:rsid w:val="7FFF0EAC"/>
    <w:rsid w:val="7FFFDF63"/>
    <w:rsid w:val="81FABAE3"/>
    <w:rsid w:val="88BD1900"/>
    <w:rsid w:val="8F3F4EE4"/>
    <w:rsid w:val="93FFC4AB"/>
    <w:rsid w:val="98FF559B"/>
    <w:rsid w:val="9F772F38"/>
    <w:rsid w:val="9F77EFA3"/>
    <w:rsid w:val="9FFE49B9"/>
    <w:rsid w:val="A6FF6566"/>
    <w:rsid w:val="A7F3F630"/>
    <w:rsid w:val="AEEFD20B"/>
    <w:rsid w:val="AF9BC1BC"/>
    <w:rsid w:val="B51F604B"/>
    <w:rsid w:val="B57E431E"/>
    <w:rsid w:val="B6AFB0C8"/>
    <w:rsid w:val="B77D27F6"/>
    <w:rsid w:val="B7E45E3D"/>
    <w:rsid w:val="B7F7E5DF"/>
    <w:rsid w:val="BBE6AB64"/>
    <w:rsid w:val="BBF7BBD6"/>
    <w:rsid w:val="BCFB01D7"/>
    <w:rsid w:val="BEFD3F0E"/>
    <w:rsid w:val="BF77264D"/>
    <w:rsid w:val="BFEFFB9A"/>
    <w:rsid w:val="BFF35BE2"/>
    <w:rsid w:val="C7DF40DB"/>
    <w:rsid w:val="CEE55AFA"/>
    <w:rsid w:val="D37EF3F9"/>
    <w:rsid w:val="D3904B77"/>
    <w:rsid w:val="D7F6E618"/>
    <w:rsid w:val="D9F7166D"/>
    <w:rsid w:val="DABEE528"/>
    <w:rsid w:val="DAFF2A1A"/>
    <w:rsid w:val="DAFF51DB"/>
    <w:rsid w:val="DB7E12BA"/>
    <w:rsid w:val="DDBD476A"/>
    <w:rsid w:val="DDFFA7CF"/>
    <w:rsid w:val="DEFAFB5B"/>
    <w:rsid w:val="DF2B01C6"/>
    <w:rsid w:val="DFDFFA08"/>
    <w:rsid w:val="E17D96B9"/>
    <w:rsid w:val="E9FF2C0E"/>
    <w:rsid w:val="EA5F45A5"/>
    <w:rsid w:val="EA7FA4E0"/>
    <w:rsid w:val="EF6F6E73"/>
    <w:rsid w:val="EFB7A100"/>
    <w:rsid w:val="EFDD712F"/>
    <w:rsid w:val="EFED52D5"/>
    <w:rsid w:val="EFF3846A"/>
    <w:rsid w:val="EFF6746E"/>
    <w:rsid w:val="EFFFCE22"/>
    <w:rsid w:val="F395DDE7"/>
    <w:rsid w:val="F3BFBBE7"/>
    <w:rsid w:val="F3F57560"/>
    <w:rsid w:val="F63E19E1"/>
    <w:rsid w:val="F6B950C5"/>
    <w:rsid w:val="F76F74B4"/>
    <w:rsid w:val="F7BEE074"/>
    <w:rsid w:val="F7DD5BAB"/>
    <w:rsid w:val="F7DF0DFB"/>
    <w:rsid w:val="F8A48887"/>
    <w:rsid w:val="FABC73BD"/>
    <w:rsid w:val="FAFAB4F0"/>
    <w:rsid w:val="FBA7E2D5"/>
    <w:rsid w:val="FBECF4DA"/>
    <w:rsid w:val="FBFF75AC"/>
    <w:rsid w:val="FBFF9C87"/>
    <w:rsid w:val="FBFFCC66"/>
    <w:rsid w:val="FC0F3EEC"/>
    <w:rsid w:val="FD765FFA"/>
    <w:rsid w:val="FD7ED9C1"/>
    <w:rsid w:val="FDD9BE4A"/>
    <w:rsid w:val="FDFF215D"/>
    <w:rsid w:val="FE2FBD8D"/>
    <w:rsid w:val="FE4E659C"/>
    <w:rsid w:val="FE7D57DD"/>
    <w:rsid w:val="FEC6A8F1"/>
    <w:rsid w:val="FF358FD8"/>
    <w:rsid w:val="FF3F4558"/>
    <w:rsid w:val="FF3FD2B5"/>
    <w:rsid w:val="FFBC8CEF"/>
    <w:rsid w:val="FFDE98A2"/>
    <w:rsid w:val="FFDEE755"/>
    <w:rsid w:val="FFEA12CB"/>
    <w:rsid w:val="FFEFFB8E"/>
    <w:rsid w:val="FFF8963A"/>
    <w:rsid w:val="FFFBD414"/>
    <w:rsid w:val="FFFFD1A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iPriority="99" w:name="Hyperlink" w:locked="1"/>
    <w:lsdException w:qFormat="1"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5"/>
    <w:qFormat/>
    <w:uiPriority w:val="99"/>
    <w:pPr>
      <w:widowControl/>
      <w:spacing w:line="480" w:lineRule="exact"/>
    </w:pPr>
    <w:rPr>
      <w:rFonts w:ascii="宋体" w:hAnsi="宋体" w:cs="宋体"/>
      <w:kern w:val="0"/>
      <w:sz w:val="24"/>
      <w:szCs w:val="24"/>
    </w:rPr>
  </w:style>
  <w:style w:type="paragraph" w:customStyle="1" w:styleId="3">
    <w:name w:val="默认"/>
    <w:basedOn w:val="1"/>
    <w:qFormat/>
    <w:uiPriority w:val="99"/>
    <w:pPr>
      <w:widowControl/>
      <w:jc w:val="left"/>
    </w:pPr>
    <w:rPr>
      <w:rFonts w:ascii="华文仿宋" w:hAnsi="华文仿宋" w:cs="华文仿宋"/>
      <w:color w:val="000000"/>
      <w:kern w:val="0"/>
      <w:sz w:val="22"/>
      <w:szCs w:val="22"/>
    </w:rPr>
  </w:style>
  <w:style w:type="paragraph" w:styleId="4">
    <w:name w:val="Plain Text"/>
    <w:basedOn w:val="1"/>
    <w:link w:val="16"/>
    <w:qFormat/>
    <w:uiPriority w:val="99"/>
    <w:rPr>
      <w:rFonts w:ascii="宋体" w:hAnsi="Courier New" w:cs="宋体"/>
    </w:rPr>
  </w:style>
  <w:style w:type="paragraph" w:styleId="5">
    <w:name w:val="Balloon Text"/>
    <w:basedOn w:val="1"/>
    <w:link w:val="17"/>
    <w:semiHidden/>
    <w:qFormat/>
    <w:uiPriority w:val="99"/>
    <w:rPr>
      <w:sz w:val="18"/>
      <w:szCs w:val="18"/>
    </w:rPr>
  </w:style>
  <w:style w:type="paragraph" w:styleId="6">
    <w:name w:val="footer"/>
    <w:basedOn w:val="1"/>
    <w:link w:val="14"/>
    <w:qFormat/>
    <w:uiPriority w:val="99"/>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1">
    <w:name w:val="page number"/>
    <w:basedOn w:val="10"/>
    <w:qFormat/>
    <w:uiPriority w:val="99"/>
  </w:style>
  <w:style w:type="character" w:styleId="12">
    <w:name w:val="FollowedHyperlink"/>
    <w:basedOn w:val="10"/>
    <w:semiHidden/>
    <w:unhideWhenUsed/>
    <w:qFormat/>
    <w:locked/>
    <w:uiPriority w:val="99"/>
    <w:rPr>
      <w:color w:val="800080"/>
      <w:u w:val="single"/>
    </w:rPr>
  </w:style>
  <w:style w:type="character" w:styleId="13">
    <w:name w:val="Hyperlink"/>
    <w:basedOn w:val="10"/>
    <w:semiHidden/>
    <w:unhideWhenUsed/>
    <w:qFormat/>
    <w:locked/>
    <w:uiPriority w:val="99"/>
    <w:rPr>
      <w:color w:val="0000FF"/>
      <w:u w:val="single"/>
    </w:rPr>
  </w:style>
  <w:style w:type="character" w:customStyle="1" w:styleId="14">
    <w:name w:val="页脚 Char"/>
    <w:link w:val="6"/>
    <w:qFormat/>
    <w:locked/>
    <w:uiPriority w:val="99"/>
    <w:rPr>
      <w:kern w:val="2"/>
      <w:sz w:val="22"/>
      <w:szCs w:val="22"/>
    </w:rPr>
  </w:style>
  <w:style w:type="character" w:customStyle="1" w:styleId="15">
    <w:name w:val="正文文本 Char"/>
    <w:link w:val="2"/>
    <w:semiHidden/>
    <w:qFormat/>
    <w:locked/>
    <w:uiPriority w:val="99"/>
    <w:rPr>
      <w:sz w:val="21"/>
      <w:szCs w:val="21"/>
    </w:rPr>
  </w:style>
  <w:style w:type="character" w:customStyle="1" w:styleId="16">
    <w:name w:val="纯文本 Char"/>
    <w:link w:val="4"/>
    <w:semiHidden/>
    <w:qFormat/>
    <w:locked/>
    <w:uiPriority w:val="99"/>
    <w:rPr>
      <w:rFonts w:ascii="宋体" w:hAnsi="Courier New" w:cs="宋体"/>
      <w:sz w:val="21"/>
      <w:szCs w:val="21"/>
    </w:rPr>
  </w:style>
  <w:style w:type="character" w:customStyle="1" w:styleId="17">
    <w:name w:val="批注框文本 Char"/>
    <w:link w:val="5"/>
    <w:qFormat/>
    <w:locked/>
    <w:uiPriority w:val="99"/>
    <w:rPr>
      <w:kern w:val="2"/>
      <w:sz w:val="18"/>
      <w:szCs w:val="18"/>
    </w:rPr>
  </w:style>
  <w:style w:type="character" w:customStyle="1" w:styleId="18">
    <w:name w:val="页眉 Char"/>
    <w:link w:val="7"/>
    <w:qFormat/>
    <w:locked/>
    <w:uiPriority w:val="99"/>
    <w:rPr>
      <w:kern w:val="2"/>
      <w:sz w:val="18"/>
      <w:szCs w:val="18"/>
    </w:rPr>
  </w:style>
  <w:style w:type="paragraph" w:customStyle="1" w:styleId="19">
    <w:name w:val="列出段落1"/>
    <w:basedOn w:val="1"/>
    <w:qFormat/>
    <w:uiPriority w:val="99"/>
    <w:pPr>
      <w:ind w:firstLine="420" w:firstLineChars="200"/>
    </w:pPr>
  </w:style>
  <w:style w:type="character" w:customStyle="1" w:styleId="20">
    <w:name w:val="font11"/>
    <w:qFormat/>
    <w:uiPriority w:val="99"/>
    <w:rPr>
      <w:rFonts w:ascii="方正仿宋_GBK" w:hAnsi="方正仿宋_GBK" w:eastAsia="方正仿宋_GBK" w:cs="方正仿宋_GBK"/>
      <w:color w:val="000000"/>
      <w:sz w:val="20"/>
      <w:szCs w:val="20"/>
      <w:u w:val="none"/>
    </w:rPr>
  </w:style>
  <w:style w:type="character" w:customStyle="1" w:styleId="21">
    <w:name w:val="font21"/>
    <w:qFormat/>
    <w:uiPriority w:val="99"/>
    <w:rPr>
      <w:rFonts w:ascii="方正仿宋_GBK" w:hAnsi="方正仿宋_GBK" w:eastAsia="方正仿宋_GBK" w:cs="方正仿宋_GBK"/>
      <w:color w:val="000000"/>
      <w:sz w:val="24"/>
      <w:szCs w:val="24"/>
      <w:u w:val="none"/>
    </w:rPr>
  </w:style>
  <w:style w:type="paragraph" w:customStyle="1" w:styleId="22">
    <w:name w:val="_Style 3"/>
    <w:basedOn w:val="1"/>
    <w:qFormat/>
    <w:uiPriority w:val="99"/>
    <w:pPr>
      <w:ind w:firstLine="420" w:firstLineChars="200"/>
    </w:pPr>
  </w:style>
  <w:style w:type="character" w:customStyle="1" w:styleId="23">
    <w:name w:val="15"/>
    <w:qFormat/>
    <w:uiPriority w:val="99"/>
    <w:rPr>
      <w:rFonts w:ascii="方正仿宋_GBK" w:eastAsia="方正仿宋_GBK" w:cs="方正仿宋_GBK"/>
      <w:color w:val="000000"/>
      <w:sz w:val="20"/>
      <w:szCs w:val="20"/>
    </w:rPr>
  </w:style>
  <w:style w:type="character" w:customStyle="1" w:styleId="24">
    <w:name w:val="16"/>
    <w:qFormat/>
    <w:uiPriority w:val="99"/>
    <w:rPr>
      <w:rFonts w:ascii="方正仿宋_GBK" w:eastAsia="方正仿宋_GBK" w:cs="方正仿宋_GBK"/>
      <w:color w:val="000000"/>
      <w:sz w:val="20"/>
      <w:szCs w:val="20"/>
    </w:rPr>
  </w:style>
  <w:style w:type="character" w:customStyle="1" w:styleId="25">
    <w:name w:val="10"/>
    <w:qFormat/>
    <w:uiPriority w:val="99"/>
    <w:rPr>
      <w:rFonts w:ascii="Times New Roman" w:hAnsi="Times New Roman" w:cs="Times New Roman"/>
    </w:rPr>
  </w:style>
  <w:style w:type="character" w:customStyle="1" w:styleId="26">
    <w:name w:val="17"/>
    <w:qFormat/>
    <w:uiPriority w:val="99"/>
    <w:rPr>
      <w:rFonts w:ascii="方正仿宋_GBK" w:eastAsia="方正仿宋_GBK" w:cs="方正仿宋_GBK"/>
      <w:color w:val="000000"/>
      <w:sz w:val="18"/>
      <w:szCs w:val="18"/>
    </w:rPr>
  </w:style>
  <w:style w:type="character" w:customStyle="1" w:styleId="27">
    <w:name w:val="18"/>
    <w:qFormat/>
    <w:uiPriority w:val="99"/>
    <w:rPr>
      <w:rFonts w:ascii="方正仿宋_GBK" w:eastAsia="方正仿宋_GBK" w:cs="方正仿宋_GBK"/>
      <w:color w:val="000000"/>
      <w:sz w:val="24"/>
      <w:szCs w:val="24"/>
    </w:rPr>
  </w:style>
  <w:style w:type="paragraph" w:customStyle="1" w:styleId="28">
    <w:name w:val="Default"/>
    <w:basedOn w:val="1"/>
    <w:next w:val="1"/>
    <w:qFormat/>
    <w:uiPriority w:val="99"/>
    <w:pPr>
      <w:autoSpaceDE w:val="0"/>
      <w:autoSpaceDN w:val="0"/>
      <w:adjustRightInd w:val="0"/>
      <w:jc w:val="left"/>
    </w:pPr>
    <w:rPr>
      <w:rFonts w:ascii="仿宋" w:hAnsi="仿宋" w:cs="仿宋"/>
      <w:color w:val="000000"/>
      <w:kern w:val="0"/>
      <w:sz w:val="24"/>
      <w:szCs w:val="24"/>
    </w:rPr>
  </w:style>
  <w:style w:type="character" w:customStyle="1" w:styleId="29">
    <w:name w:val="19"/>
    <w:qFormat/>
    <w:uiPriority w:val="99"/>
    <w:rPr>
      <w:rFonts w:ascii="宋体" w:hAnsi="宋体" w:eastAsia="宋体" w:cs="宋体"/>
      <w:color w:val="000000"/>
      <w:sz w:val="20"/>
      <w:szCs w:val="20"/>
    </w:rPr>
  </w:style>
  <w:style w:type="character" w:customStyle="1" w:styleId="30">
    <w:name w:val="20"/>
    <w:qFormat/>
    <w:uiPriority w:val="99"/>
    <w:rPr>
      <w:rFonts w:ascii="宋体" w:hAnsi="宋体" w:eastAsia="宋体" w:cs="宋体"/>
      <w:color w:val="000000"/>
      <w:sz w:val="20"/>
      <w:szCs w:val="20"/>
    </w:rPr>
  </w:style>
  <w:style w:type="character" w:customStyle="1" w:styleId="31">
    <w:name w:val="21"/>
    <w:qFormat/>
    <w:uiPriority w:val="99"/>
    <w:rPr>
      <w:rFonts w:ascii="宋体" w:hAnsi="宋体" w:eastAsia="宋体" w:cs="宋体"/>
      <w:color w:val="000000"/>
      <w:sz w:val="20"/>
      <w:szCs w:val="20"/>
    </w:rPr>
  </w:style>
  <w:style w:type="character" w:customStyle="1" w:styleId="32">
    <w:name w:val="22"/>
    <w:qFormat/>
    <w:uiPriority w:val="99"/>
    <w:rPr>
      <w:rFonts w:ascii="宋体" w:hAnsi="宋体" w:eastAsia="宋体" w:cs="宋体"/>
      <w:color w:val="000000"/>
      <w:sz w:val="20"/>
      <w:szCs w:val="20"/>
    </w:rPr>
  </w:style>
  <w:style w:type="character" w:customStyle="1" w:styleId="33">
    <w:name w:val="23"/>
    <w:qFormat/>
    <w:uiPriority w:val="99"/>
    <w:rPr>
      <w:rFonts w:ascii="宋体" w:hAnsi="宋体" w:eastAsia="宋体" w:cs="宋体"/>
      <w:color w:val="000000"/>
      <w:sz w:val="20"/>
      <w:szCs w:val="20"/>
    </w:rPr>
  </w:style>
  <w:style w:type="character" w:customStyle="1" w:styleId="34">
    <w:name w:val="24"/>
    <w:qFormat/>
    <w:uiPriority w:val="99"/>
    <w:rPr>
      <w:rFonts w:ascii="宋体" w:hAnsi="宋体" w:eastAsia="宋体" w:cs="宋体"/>
      <w:color w:val="000000"/>
      <w:sz w:val="20"/>
      <w:szCs w:val="20"/>
    </w:rPr>
  </w:style>
  <w:style w:type="paragraph" w:customStyle="1" w:styleId="35">
    <w:name w:val="列出段落11"/>
    <w:basedOn w:val="1"/>
    <w:qFormat/>
    <w:uiPriority w:val="99"/>
    <w:pPr>
      <w:ind w:firstLine="420" w:firstLineChars="200"/>
    </w:pPr>
  </w:style>
  <w:style w:type="paragraph" w:styleId="36">
    <w:name w:val="List Paragraph"/>
    <w:basedOn w:val="1"/>
    <w:qFormat/>
    <w:uiPriority w:val="34"/>
    <w:pPr>
      <w:ind w:firstLine="420" w:firstLineChars="200"/>
    </w:pPr>
  </w:style>
  <w:style w:type="character" w:customStyle="1" w:styleId="37">
    <w:name w:val="font61"/>
    <w:basedOn w:val="10"/>
    <w:qFormat/>
    <w:uiPriority w:val="0"/>
    <w:rPr>
      <w:rFonts w:hint="default" w:ascii="Times New Roman" w:hAnsi="Times New Roman" w:cs="Times New Roman"/>
      <w:color w:val="000000"/>
      <w:sz w:val="20"/>
      <w:szCs w:val="20"/>
      <w:u w:val="none"/>
    </w:rPr>
  </w:style>
  <w:style w:type="character" w:customStyle="1" w:styleId="38">
    <w:name w:val="font51"/>
    <w:basedOn w:val="10"/>
    <w:qFormat/>
    <w:uiPriority w:val="0"/>
    <w:rPr>
      <w:rFonts w:hint="default" w:ascii="monospace" w:hAnsi="monospace" w:eastAsia="monospace" w:cs="monospace"/>
      <w:color w:val="auto"/>
      <w:sz w:val="20"/>
      <w:szCs w:val="20"/>
      <w:u w:val="none"/>
    </w:rPr>
  </w:style>
  <w:style w:type="paragraph" w:customStyle="1" w:styleId="39">
    <w:name w:val="xl63"/>
    <w:basedOn w:val="1"/>
    <w:qFormat/>
    <w:uiPriority w:val="0"/>
    <w:pPr>
      <w:widowControl/>
      <w:spacing w:before="100" w:beforeAutospacing="1" w:after="100" w:afterAutospacing="1"/>
      <w:jc w:val="center"/>
    </w:pPr>
    <w:rPr>
      <w:rFonts w:ascii="宋体" w:hAnsi="宋体" w:cs="宋体"/>
      <w:color w:val="000000"/>
      <w:kern w:val="0"/>
      <w:sz w:val="18"/>
      <w:szCs w:val="18"/>
    </w:rPr>
  </w:style>
  <w:style w:type="paragraph" w:customStyle="1" w:styleId="40">
    <w:name w:val="xl6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1">
    <w:name w:val="xl6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18"/>
      <w:szCs w:val="18"/>
    </w:rPr>
  </w:style>
  <w:style w:type="paragraph" w:customStyle="1" w:styleId="42">
    <w:name w:val="xl6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3">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18"/>
      <w:szCs w:val="18"/>
    </w:rPr>
  </w:style>
  <w:style w:type="paragraph" w:customStyle="1" w:styleId="44">
    <w:name w:val="xl68"/>
    <w:basedOn w:val="1"/>
    <w:qFormat/>
    <w:uiPriority w:val="0"/>
    <w:pPr>
      <w:widowControl/>
      <w:spacing w:before="100" w:beforeAutospacing="1" w:after="100" w:afterAutospacing="1"/>
      <w:jc w:val="center"/>
    </w:pPr>
    <w:rPr>
      <w:rFonts w:ascii="宋体" w:hAnsi="宋体" w:cs="宋体"/>
      <w:b/>
      <w:bCs/>
      <w:color w:val="000000"/>
      <w:kern w:val="0"/>
      <w:sz w:val="30"/>
      <w:szCs w:val="30"/>
    </w:rPr>
  </w:style>
  <w:style w:type="paragraph" w:customStyle="1" w:styleId="45">
    <w:name w:val="xl69"/>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46">
    <w:name w:val="xl70"/>
    <w:basedOn w:val="1"/>
    <w:qFormat/>
    <w:uiPriority w:val="0"/>
    <w:pPr>
      <w:widowControl/>
      <w:spacing w:before="100" w:beforeAutospacing="1" w:after="100" w:afterAutospacing="1"/>
      <w:jc w:val="right"/>
    </w:pPr>
    <w:rPr>
      <w:rFonts w:ascii="宋体" w:hAnsi="宋体" w:cs="宋体"/>
      <w:color w:val="000000"/>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44</Pages>
  <Words>17636</Words>
  <Characters>21541</Characters>
  <Lines>138</Lines>
  <Paragraphs>39</Paragraphs>
  <TotalTime>32</TotalTime>
  <ScaleCrop>false</ScaleCrop>
  <LinksUpToDate>false</LinksUpToDate>
  <CharactersWithSpaces>22168</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2024-02-23T00:03:00Z</dcterms:created>
  <dc:creator>Administrator</dc:creator>
  <cp:lastModifiedBy>guest</cp:lastModifiedBy>
  <dcterms:modified xsi:type="dcterms:W3CDTF">2026-02-05T14:39:12Z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9F9BC3EB584DED598E4A736990C47CCC_43</vt:lpwstr>
  </property>
  <property fmtid="{D5CDD505-2E9C-101B-9397-08002B2CF9AE}" pid="4" name="KSOTemplateDocerSaveRecord">
    <vt:lpwstr>eyJoZGlkIjoiOWRlYTlkMTdmNzZmZTJjZjFjZTNmNmJjYmI5NGFmNTQiLCJ1c2VySWQiOiI2NTA0NDQwMDcifQ==</vt:lpwstr>
  </property>
</Properties>
</file>