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D9C00C3">
      <w:pPr>
        <w:widowControl w:val="0"/>
        <w:snapToGrid w:val="0"/>
        <w:spacing w:line="600" w:lineRule="exact"/>
        <w:jc w:val="center"/>
        <w:rPr>
          <w:rFonts w:hint="eastAsia" w:ascii="Times New Roman" w:hAnsi="Times New Roman" w:eastAsia="方正小标宋_GBK" w:cs="Times New Roman"/>
          <w:bCs/>
          <w:color w:val="000000" w:themeColor="text1"/>
          <w:kern w:val="21"/>
          <w:sz w:val="44"/>
          <w:szCs w:val="44"/>
          <w14:textFill>
            <w14:solidFill>
              <w14:schemeClr w14:val="tx1"/>
            </w14:solidFill>
          </w14:textFill>
        </w:rPr>
      </w:pPr>
    </w:p>
    <w:p w14:paraId="2DB92602">
      <w:pPr>
        <w:widowControl w:val="0"/>
        <w:snapToGrid w:val="0"/>
        <w:spacing w:line="600" w:lineRule="exact"/>
        <w:jc w:val="both"/>
        <w:rPr>
          <w:rFonts w:hint="eastAsia" w:ascii="Times New Roman" w:hAnsi="Times New Roman" w:eastAsia="方正小标宋_GBK" w:cs="Times New Roman"/>
          <w:bCs/>
          <w:color w:val="000000" w:themeColor="text1"/>
          <w:kern w:val="21"/>
          <w:sz w:val="44"/>
          <w:szCs w:val="44"/>
          <w14:textFill>
            <w14:solidFill>
              <w14:schemeClr w14:val="tx1"/>
            </w14:solidFill>
          </w14:textFill>
        </w:rPr>
      </w:pPr>
    </w:p>
    <w:p w14:paraId="52A79EA6">
      <w:pPr>
        <w:pStyle w:val="8"/>
        <w:keepNext w:val="0"/>
        <w:keepLines w:val="0"/>
        <w:pageBreakBefore w:val="0"/>
        <w:widowControl w:val="0"/>
        <w:kinsoku/>
        <w:wordWrap/>
        <w:overflowPunct/>
        <w:topLinePunct w:val="0"/>
        <w:bidi w:val="0"/>
        <w:snapToGrid/>
        <w:spacing w:line="540" w:lineRule="exact"/>
        <w:textAlignment w:val="auto"/>
        <w:rPr>
          <w:rFonts w:ascii="Times New Roman" w:hAnsi="Times New Roman" w:eastAsia="方正小标宋_GBK"/>
          <w:sz w:val="44"/>
          <w:szCs w:val="44"/>
        </w:rPr>
      </w:pPr>
      <w:r>
        <w:rPr>
          <w:rFonts w:ascii="Times New Roman" w:hAnsi="Times New Roman" w:eastAsia="方正小标宋_GBK"/>
          <w:sz w:val="44"/>
          <w:szCs w:val="44"/>
        </w:rPr>
        <w:pict>
          <v:shape id="_x0000_s1026" o:spid="_x0000_s1026" o:spt="136" type="#_x0000_t136" style="position:absolute;left:0pt;margin-left:0pt;margin-top:16.9pt;height:69.3pt;width:441.5pt;z-index:251659264;mso-width-relative:page;mso-height-relative:page;" fillcolor="#FF0000" filled="t" stroked="t" coordsize="21600,21600" adj="10800">
            <v:path/>
            <v:fill on="t" color2="#FFFFFF" focussize="0,0"/>
            <v:stroke color="#FF0000"/>
            <v:imagedata o:title=""/>
            <o:lock v:ext="edit" aspectratio="f"/>
            <v:textpath on="t" fitshape="t" fitpath="t" trim="t" xscale="f" string="重庆市潼南区精神文明建设委员会" style="font-family:宋体;font-size:36pt;font-weight:bold;v-text-align:center;"/>
          </v:shape>
        </w:pict>
      </w:r>
    </w:p>
    <w:p w14:paraId="7423C7F2">
      <w:pPr>
        <w:pStyle w:val="8"/>
        <w:keepNext w:val="0"/>
        <w:keepLines w:val="0"/>
        <w:pageBreakBefore w:val="0"/>
        <w:widowControl w:val="0"/>
        <w:kinsoku/>
        <w:wordWrap/>
        <w:overflowPunct/>
        <w:topLinePunct w:val="0"/>
        <w:bidi w:val="0"/>
        <w:snapToGrid/>
        <w:spacing w:line="540" w:lineRule="exact"/>
        <w:textAlignment w:val="auto"/>
        <w:rPr>
          <w:rFonts w:ascii="Times New Roman" w:hAnsi="Times New Roman" w:eastAsia="方正小标宋_GBK"/>
          <w:sz w:val="44"/>
          <w:szCs w:val="44"/>
        </w:rPr>
      </w:pPr>
    </w:p>
    <w:p w14:paraId="705BF6F5">
      <w:pPr>
        <w:pStyle w:val="8"/>
        <w:keepNext w:val="0"/>
        <w:keepLines w:val="0"/>
        <w:pageBreakBefore w:val="0"/>
        <w:widowControl w:val="0"/>
        <w:kinsoku/>
        <w:wordWrap/>
        <w:overflowPunct/>
        <w:topLinePunct w:val="0"/>
        <w:bidi w:val="0"/>
        <w:snapToGrid/>
        <w:spacing w:line="540" w:lineRule="exact"/>
        <w:textAlignment w:val="auto"/>
        <w:rPr>
          <w:rFonts w:ascii="Times New Roman" w:hAnsi="Times New Roman" w:eastAsia="方正小标宋_GBK"/>
          <w:sz w:val="44"/>
          <w:szCs w:val="44"/>
        </w:rPr>
      </w:pPr>
    </w:p>
    <w:p w14:paraId="1BFC9DF6">
      <w:pPr>
        <w:pStyle w:val="8"/>
        <w:keepNext w:val="0"/>
        <w:keepLines w:val="0"/>
        <w:pageBreakBefore w:val="0"/>
        <w:widowControl w:val="0"/>
        <w:kinsoku/>
        <w:wordWrap/>
        <w:overflowPunct/>
        <w:topLinePunct w:val="0"/>
        <w:autoSpaceDE w:val="0"/>
        <w:autoSpaceDN w:val="0"/>
        <w:bidi w:val="0"/>
        <w:adjustRightInd w:val="0"/>
        <w:snapToGrid/>
        <w:spacing w:line="480" w:lineRule="exact"/>
        <w:textAlignment w:val="auto"/>
        <w:rPr>
          <w:rFonts w:ascii="Times New Roman" w:hAnsi="Times New Roman" w:eastAsia="方正小标宋_GBK"/>
          <w:sz w:val="44"/>
          <w:szCs w:val="44"/>
        </w:rPr>
      </w:pPr>
    </w:p>
    <w:p w14:paraId="2B291C9A">
      <w:pPr>
        <w:spacing w:line="594" w:lineRule="exact"/>
        <w:jc w:val="center"/>
        <w:rPr>
          <w:rFonts w:hint="eastAsia" w:ascii="Times New Roman" w:hAnsi="Times New Roman" w:eastAsia="方正仿宋_GBK" w:cs="Times New Roman"/>
          <w:sz w:val="32"/>
          <w:szCs w:val="32"/>
        </w:rPr>
      </w:pPr>
      <w:r>
        <w:rPr>
          <w:rFonts w:hint="eastAsia" w:ascii="Times New Roman" w:hAnsi="Times New Roman" w:eastAsia="方正仿宋_GBK" w:cs="Times New Roman"/>
          <w:sz w:val="32"/>
          <w:szCs w:val="32"/>
        </w:rPr>
        <w:t>潼文明委〔202</w:t>
      </w:r>
      <w:r>
        <w:rPr>
          <w:rFonts w:hint="eastAsia" w:ascii="Times New Roman" w:hAnsi="Times New Roman" w:eastAsia="方正仿宋_GBK" w:cs="Times New Roman"/>
          <w:sz w:val="32"/>
          <w:szCs w:val="32"/>
          <w:lang w:val="en-US" w:eastAsia="zh-CN"/>
        </w:rPr>
        <w:t>2</w:t>
      </w:r>
      <w:r>
        <w:rPr>
          <w:rFonts w:hint="eastAsia" w:ascii="Times New Roman" w:hAnsi="Times New Roman" w:eastAsia="方正仿宋_GBK" w:cs="Times New Roman"/>
          <w:sz w:val="32"/>
          <w:szCs w:val="32"/>
        </w:rPr>
        <w:t>〕</w:t>
      </w:r>
      <w:r>
        <w:rPr>
          <w:rFonts w:hint="eastAsia" w:eastAsia="方正仿宋_GBK" w:cs="Times New Roman"/>
          <w:sz w:val="32"/>
          <w:szCs w:val="32"/>
          <w:lang w:val="en-US" w:eastAsia="zh-CN"/>
        </w:rPr>
        <w:t>4</w:t>
      </w:r>
      <w:r>
        <w:rPr>
          <w:rFonts w:hint="eastAsia" w:ascii="Times New Roman" w:hAnsi="Times New Roman" w:eastAsia="方正仿宋_GBK" w:cs="Times New Roman"/>
          <w:sz w:val="32"/>
          <w:szCs w:val="32"/>
        </w:rPr>
        <w:t>号</w:t>
      </w:r>
    </w:p>
    <w:p w14:paraId="03321B5A">
      <w:pPr>
        <w:spacing w:line="594" w:lineRule="exact"/>
        <w:jc w:val="center"/>
        <w:rPr>
          <w:rFonts w:ascii="Times New Roman" w:hAnsi="Times New Roman" w:eastAsia="方正仿宋_GBK"/>
          <w:color w:val="FF0000"/>
          <w:sz w:val="52"/>
          <w:szCs w:val="52"/>
        </w:rPr>
      </w:pPr>
      <w:r>
        <w:rPr>
          <w:rFonts w:ascii="Times New Roman" w:hAnsi="Times New Roman"/>
        </w:rPr>
        <mc:AlternateContent>
          <mc:Choice Requires="wps">
            <w:drawing>
              <wp:anchor distT="0" distB="0" distL="114300" distR="114300" simplePos="0" relativeHeight="251660288" behindDoc="0" locked="0" layoutInCell="1" allowOverlap="1">
                <wp:simplePos x="0" y="0"/>
                <wp:positionH relativeFrom="column">
                  <wp:posOffset>3126740</wp:posOffset>
                </wp:positionH>
                <wp:positionV relativeFrom="paragraph">
                  <wp:posOffset>186690</wp:posOffset>
                </wp:positionV>
                <wp:extent cx="2490470" cy="0"/>
                <wp:effectExtent l="0" t="0" r="0" b="0"/>
                <wp:wrapNone/>
                <wp:docPr id="4" name="直接连接符 4"/>
                <wp:cNvGraphicFramePr/>
                <a:graphic xmlns:a="http://schemas.openxmlformats.org/drawingml/2006/main">
                  <a:graphicData uri="http://schemas.microsoft.com/office/word/2010/wordprocessingShape">
                    <wps:wsp>
                      <wps:cNvCnPr/>
                      <wps:spPr>
                        <a:xfrm>
                          <a:off x="0" y="0"/>
                          <a:ext cx="2490470" cy="0"/>
                        </a:xfrm>
                        <a:prstGeom prst="line">
                          <a:avLst/>
                        </a:prstGeom>
                        <a:ln w="12700" cap="flat" cmpd="sng">
                          <a:solidFill>
                            <a:srgbClr val="FF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246.2pt;margin-top:14.7pt;height:0pt;width:196.1pt;z-index:251660288;mso-width-relative:page;mso-height-relative:page;" filled="f" stroked="t" coordsize="21600,21600" o:gfxdata="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AagEAfXAAAACQEAAA8AAAAAAAAAAQAgAAAAIgAAAGRycy9kb3ducmV2LnhtbFBL&#10;AQIUABQAAAAIAIdO4kAdrM4+9wEAAOUDAAAOAAAAAAAAAAEAIAAAACYBAABkcnMvZTJvRG9jLnht&#10;bFBLBQYAAAAABgAGAFkBAACPBQAAAAA=&#10;">
                <v:fill on="f" focussize="0,0"/>
                <v:stroke weight="1pt" color="#FF0000" joinstyle="round"/>
                <v:imagedata o:title=""/>
                <o:lock v:ext="edit" aspectratio="f"/>
              </v:line>
            </w:pict>
          </mc:Fallback>
        </mc:AlternateContent>
      </w:r>
      <w:r>
        <w:rPr>
          <w:rFonts w:ascii="Times New Roman" w:hAnsi="Times New Roman"/>
        </w:rPr>
        <mc:AlternateContent>
          <mc:Choice Requires="wps">
            <w:drawing>
              <wp:anchor distT="0" distB="0" distL="114300" distR="114300" simplePos="0" relativeHeight="251661312" behindDoc="0" locked="0" layoutInCell="1" allowOverlap="1">
                <wp:simplePos x="0" y="0"/>
                <wp:positionH relativeFrom="column">
                  <wp:posOffset>65405</wp:posOffset>
                </wp:positionH>
                <wp:positionV relativeFrom="paragraph">
                  <wp:posOffset>186690</wp:posOffset>
                </wp:positionV>
                <wp:extent cx="2473960" cy="635"/>
                <wp:effectExtent l="0" t="0" r="0" b="0"/>
                <wp:wrapNone/>
                <wp:docPr id="5" name="直接连接符 5"/>
                <wp:cNvGraphicFramePr/>
                <a:graphic xmlns:a="http://schemas.openxmlformats.org/drawingml/2006/main">
                  <a:graphicData uri="http://schemas.microsoft.com/office/word/2010/wordprocessingShape">
                    <wps:wsp>
                      <wps:cNvCnPr/>
                      <wps:spPr>
                        <a:xfrm>
                          <a:off x="0" y="0"/>
                          <a:ext cx="2473960" cy="635"/>
                        </a:xfrm>
                        <a:prstGeom prst="line">
                          <a:avLst/>
                        </a:prstGeom>
                        <a:ln w="12700" cap="flat" cmpd="sng">
                          <a:solidFill>
                            <a:srgbClr val="FF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5.15pt;margin-top:14.7pt;height:0.05pt;width:194.8pt;z-index:251661312;mso-width-relative:page;mso-height-relative:page;" filled="f" stroked="t" coordsize="21600,21600" o:gfxdata="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GmlPTLWAAAACAEAAA8AAAAAAAAAAQAgAAAAIgAAAGRycy9kb3ducmV2Lnht&#10;bFBLAQIUABQAAAAIAIdO4kACr8JL+wEAAOcDAAAOAAAAAAAAAAEAIAAAACUBAABkcnMvZTJvRG9j&#10;LnhtbFBLBQYAAAAABgAGAFkBAACSBQAAAAA=&#10;">
                <v:fill on="f" focussize="0,0"/>
                <v:stroke weight="1pt" color="#FF0000" joinstyle="round"/>
                <v:imagedata o:title=""/>
                <o:lock v:ext="edit" aspectratio="f"/>
              </v:line>
            </w:pict>
          </mc:Fallback>
        </mc:AlternateContent>
      </w:r>
      <w:r>
        <w:rPr>
          <w:rFonts w:hint="eastAsia" w:ascii="Times New Roman" w:hAnsi="Times New Roman" w:eastAsia="方正仿宋_GBK"/>
          <w:color w:val="FF0000"/>
          <w:sz w:val="52"/>
          <w:szCs w:val="52"/>
        </w:rPr>
        <w:t>★</w:t>
      </w:r>
    </w:p>
    <w:p w14:paraId="381D8EF7">
      <w:pPr>
        <w:widowControl w:val="0"/>
        <w:snapToGrid w:val="0"/>
        <w:spacing w:line="600" w:lineRule="exact"/>
        <w:jc w:val="center"/>
        <w:rPr>
          <w:rFonts w:hint="eastAsia" w:ascii="Times New Roman" w:hAnsi="Times New Roman" w:eastAsia="方正小标宋_GBK" w:cs="Times New Roman"/>
          <w:bCs/>
          <w:color w:val="000000" w:themeColor="text1"/>
          <w:kern w:val="21"/>
          <w:sz w:val="44"/>
          <w:szCs w:val="44"/>
          <w14:textFill>
            <w14:solidFill>
              <w14:schemeClr w14:val="tx1"/>
            </w14:solidFill>
          </w14:textFill>
        </w:rPr>
      </w:pPr>
    </w:p>
    <w:p w14:paraId="632AE0BE">
      <w:pPr>
        <w:widowControl w:val="0"/>
        <w:snapToGrid w:val="0"/>
        <w:spacing w:line="600" w:lineRule="exact"/>
        <w:jc w:val="center"/>
        <w:rPr>
          <w:rFonts w:hint="eastAsia" w:ascii="Times New Roman" w:hAnsi="Times New Roman" w:eastAsia="方正小标宋_GBK"/>
          <w:color w:val="000000" w:themeColor="text1"/>
          <w:sz w:val="44"/>
          <w:szCs w:val="44"/>
          <w14:textFill>
            <w14:solidFill>
              <w14:schemeClr w14:val="tx1"/>
            </w14:solidFill>
          </w14:textFill>
        </w:rPr>
      </w:pPr>
      <w:r>
        <w:rPr>
          <w:rFonts w:hint="eastAsia" w:ascii="Times New Roman" w:hAnsi="Times New Roman" w:eastAsia="方正小标宋_GBK" w:cs="Times New Roman"/>
          <w:bCs/>
          <w:color w:val="000000" w:themeColor="text1"/>
          <w:kern w:val="21"/>
          <w:sz w:val="44"/>
          <w:szCs w:val="44"/>
          <w14:textFill>
            <w14:solidFill>
              <w14:schemeClr w14:val="tx1"/>
            </w14:solidFill>
          </w14:textFill>
        </w:rPr>
        <w:t>重庆市</w:t>
      </w:r>
      <w:r>
        <w:rPr>
          <w:rFonts w:ascii="Times New Roman" w:hAnsi="Times New Roman" w:eastAsia="方正小标宋_GBK" w:cs="Times New Roman"/>
          <w:bCs/>
          <w:color w:val="000000" w:themeColor="text1"/>
          <w:kern w:val="21"/>
          <w:sz w:val="44"/>
          <w:szCs w:val="44"/>
          <w14:textFill>
            <w14:solidFill>
              <w14:schemeClr w14:val="tx1"/>
            </w14:solidFill>
          </w14:textFill>
        </w:rPr>
        <w:t>潼南区</w:t>
      </w:r>
      <w:r>
        <w:rPr>
          <w:rFonts w:hint="eastAsia" w:ascii="Times New Roman" w:hAnsi="Times New Roman" w:eastAsia="方正小标宋_GBK" w:cs="Times New Roman"/>
          <w:bCs/>
          <w:color w:val="000000" w:themeColor="text1"/>
          <w:kern w:val="21"/>
          <w:sz w:val="44"/>
          <w:szCs w:val="44"/>
          <w14:textFill>
            <w14:solidFill>
              <w14:schemeClr w14:val="tx1"/>
            </w14:solidFill>
          </w14:textFill>
        </w:rPr>
        <w:t>精神文明建设委员会</w:t>
      </w:r>
    </w:p>
    <w:p w14:paraId="1F300CFE">
      <w:pPr>
        <w:spacing w:line="600" w:lineRule="exact"/>
        <w:contextualSpacing/>
        <w:jc w:val="center"/>
        <w:rPr>
          <w:rFonts w:hint="eastAsia" w:eastAsia="方正小标宋_GBK"/>
          <w:sz w:val="44"/>
          <w:szCs w:val="44"/>
        </w:rPr>
      </w:pPr>
      <w:r>
        <w:rPr>
          <w:rFonts w:hint="eastAsia" w:ascii="Times New Roman" w:hAnsi="Times New Roman" w:eastAsia="方正小标宋_GBK"/>
          <w:color w:val="000000" w:themeColor="text1"/>
          <w:sz w:val="44"/>
          <w:szCs w:val="44"/>
          <w14:textFill>
            <w14:solidFill>
              <w14:schemeClr w14:val="tx1"/>
            </w14:solidFill>
          </w14:textFill>
        </w:rPr>
        <w:t>关于</w:t>
      </w:r>
      <w:r>
        <w:rPr>
          <w:rFonts w:hint="eastAsia" w:ascii="Times New Roman" w:hAnsi="Times New Roman" w:eastAsia="方正小标宋_GBK"/>
          <w:color w:val="000000" w:themeColor="text1"/>
          <w:sz w:val="44"/>
          <w:szCs w:val="44"/>
          <w:lang w:val="en-US" w:eastAsia="zh-CN"/>
          <w14:textFill>
            <w14:solidFill>
              <w14:schemeClr w14:val="tx1"/>
            </w14:solidFill>
          </w14:textFill>
        </w:rPr>
        <w:t>印发《</w:t>
      </w:r>
      <w:r>
        <w:rPr>
          <w:rFonts w:hint="eastAsia" w:eastAsia="方正小标宋_GBK"/>
          <w:sz w:val="44"/>
          <w:szCs w:val="44"/>
        </w:rPr>
        <w:t>重庆市潼南区精神文明建设</w:t>
      </w:r>
    </w:p>
    <w:p w14:paraId="404723DC">
      <w:pPr>
        <w:spacing w:line="600" w:lineRule="exact"/>
        <w:contextualSpacing/>
        <w:jc w:val="center"/>
        <w:rPr>
          <w:rFonts w:hint="eastAsia" w:ascii="Times New Roman" w:hAnsi="Times New Roman" w:eastAsia="方正小标宋_GBK"/>
          <w:color w:val="000000" w:themeColor="text1"/>
          <w:sz w:val="44"/>
          <w:szCs w:val="44"/>
          <w:lang w:val="en-US" w:eastAsia="zh-CN"/>
          <w14:textFill>
            <w14:solidFill>
              <w14:schemeClr w14:val="tx1"/>
            </w14:solidFill>
          </w14:textFill>
        </w:rPr>
      </w:pPr>
      <w:r>
        <w:rPr>
          <w:rFonts w:hint="eastAsia" w:eastAsia="方正小标宋_GBK"/>
          <w:sz w:val="44"/>
          <w:szCs w:val="44"/>
        </w:rPr>
        <w:t>“十四五”规划（2021—2025年）</w:t>
      </w:r>
      <w:r>
        <w:rPr>
          <w:rFonts w:hint="eastAsia" w:ascii="Times New Roman" w:hAnsi="Times New Roman" w:eastAsia="方正小标宋_GBK"/>
          <w:color w:val="000000" w:themeColor="text1"/>
          <w:sz w:val="44"/>
          <w:szCs w:val="44"/>
          <w:lang w:val="en-US" w:eastAsia="zh-CN"/>
          <w14:textFill>
            <w14:solidFill>
              <w14:schemeClr w14:val="tx1"/>
            </w14:solidFill>
          </w14:textFill>
        </w:rPr>
        <w:t>》的通知</w:t>
      </w:r>
    </w:p>
    <w:p w14:paraId="658C808C">
      <w:pPr>
        <w:pStyle w:val="2"/>
        <w:jc w:val="center"/>
        <w:rPr>
          <w:rFonts w:hint="eastAsia" w:ascii="方正楷体_GBK" w:hAnsi="方正楷体_GBK" w:eastAsia="方正楷体_GBK" w:cs="方正楷体_GBK"/>
          <w:sz w:val="32"/>
          <w:szCs w:val="32"/>
          <w:lang w:val="en-US" w:eastAsia="zh-CN"/>
        </w:rPr>
      </w:pPr>
      <w:r>
        <w:rPr>
          <w:rFonts w:hint="eastAsia" w:ascii="方正楷体_GBK" w:hAnsi="方正楷体_GBK" w:eastAsia="方正楷体_GBK" w:cs="方正楷体_GBK"/>
          <w:color w:val="000000" w:themeColor="text1"/>
          <w:sz w:val="32"/>
          <w:szCs w:val="32"/>
          <w:lang w:val="en-US" w:eastAsia="zh-CN"/>
          <w14:textFill>
            <w14:solidFill>
              <w14:schemeClr w14:val="tx1"/>
            </w14:solidFill>
          </w14:textFill>
        </w:rPr>
        <w:t>（送审稿）</w:t>
      </w:r>
    </w:p>
    <w:p w14:paraId="163156CE">
      <w:pPr>
        <w:spacing w:line="600" w:lineRule="exact"/>
        <w:jc w:val="center"/>
        <w:rPr>
          <w:rFonts w:hint="eastAsia" w:ascii="Times New Roman" w:hAnsi="Times New Roman" w:eastAsia="方正小标宋_GBK"/>
          <w:color w:val="000000" w:themeColor="text1"/>
          <w:sz w:val="44"/>
          <w:szCs w:val="44"/>
          <w:lang w:val="en-US" w:eastAsia="zh-CN"/>
          <w14:textFill>
            <w14:solidFill>
              <w14:schemeClr w14:val="tx1"/>
            </w14:solidFill>
          </w14:textFill>
        </w:rPr>
      </w:pPr>
    </w:p>
    <w:p w14:paraId="4A401C28">
      <w:pPr>
        <w:keepNext w:val="0"/>
        <w:keepLines w:val="0"/>
        <w:pageBreakBefore w:val="0"/>
        <w:widowControl w:val="0"/>
        <w:kinsoku/>
        <w:wordWrap/>
        <w:overflowPunct/>
        <w:topLinePunct w:val="0"/>
        <w:bidi w:val="0"/>
        <w:snapToGrid/>
        <w:spacing w:line="594" w:lineRule="exact"/>
        <w:textAlignment w:val="auto"/>
        <w:rPr>
          <w:rFonts w:hint="eastAsia" w:ascii="方正仿宋_GBK" w:hAnsi="方正仿宋_GBK" w:eastAsia="方正仿宋_GBK" w:cs="方正仿宋_GBK"/>
          <w:color w:val="000000" w:themeColor="text1"/>
          <w:sz w:val="32"/>
          <w:szCs w:val="32"/>
          <w:lang w:val="en-US" w:eastAsia="zh-CN"/>
          <w14:textFill>
            <w14:solidFill>
              <w14:schemeClr w14:val="tx1"/>
            </w14:solidFill>
          </w14:textFill>
        </w:rPr>
      </w:pPr>
      <w:r>
        <w:rPr>
          <w:rFonts w:hint="eastAsia" w:ascii="Times New Roman" w:hAnsi="Times New Roman" w:eastAsia="方正仿宋_GBK" w:cs="Times New Roman"/>
          <w:color w:val="000000" w:themeColor="text1"/>
          <w:sz w:val="32"/>
          <w:szCs w:val="32"/>
          <w14:textFill>
            <w14:solidFill>
              <w14:schemeClr w14:val="tx1"/>
            </w14:solidFill>
          </w14:textFill>
        </w:rPr>
        <w:t>各镇党委（街道党工委），区委各部委，区级各部门、区直事业单位党组（党委），各人民团体党组，区属国有重点企业党委</w:t>
      </w:r>
      <w:r>
        <w:rPr>
          <w:rFonts w:ascii="Times New Roman" w:hAnsi="Times New Roman" w:eastAsia="方正仿宋_GBK" w:cs="Times New Roman"/>
          <w:color w:val="000000" w:themeColor="text1"/>
          <w:sz w:val="32"/>
          <w:szCs w:val="32"/>
          <w14:textFill>
            <w14:solidFill>
              <w14:schemeClr w14:val="tx1"/>
            </w14:solidFill>
          </w14:textFill>
        </w:rPr>
        <w:t>：</w:t>
      </w:r>
    </w:p>
    <w:p w14:paraId="006BB4DD">
      <w:pPr>
        <w:spacing w:line="600" w:lineRule="exact"/>
        <w:ind w:firstLine="640"/>
        <w:jc w:val="both"/>
        <w:rPr>
          <w:rFonts w:hint="eastAsia" w:ascii="Times New Roman" w:hAnsi="Times New Roman" w:eastAsia="方正仿宋_GBK" w:cs="仿宋_GB2312"/>
          <w:color w:val="000000" w:themeColor="text1"/>
          <w:sz w:val="32"/>
          <w:szCs w:val="32"/>
          <w:lang w:val="en-US" w:eastAsia="zh-CN"/>
          <w14:textFill>
            <w14:solidFill>
              <w14:schemeClr w14:val="tx1"/>
            </w14:solidFill>
          </w14:textFill>
        </w:rPr>
      </w:pPr>
      <w:r>
        <w:rPr>
          <w:rFonts w:hint="eastAsia" w:ascii="Times New Roman" w:hAnsi="Times New Roman" w:eastAsia="方正仿宋_GBK" w:cs="仿宋_GB2312"/>
          <w:color w:val="000000" w:themeColor="text1"/>
          <w:sz w:val="32"/>
          <w:szCs w:val="32"/>
          <w:lang w:val="en-US" w:eastAsia="zh-CN"/>
          <w14:textFill>
            <w14:solidFill>
              <w14:schemeClr w14:val="tx1"/>
            </w14:solidFill>
          </w14:textFill>
        </w:rPr>
        <w:t>《重庆市潼南区精神文明建设“十四五”规划（2021—2025年）》已经</w:t>
      </w:r>
      <w:r>
        <w:rPr>
          <w:rFonts w:hint="eastAsia" w:ascii="Times New Roman" w:hAnsi="Times New Roman" w:eastAsia="方正仿宋_GBK" w:cs="方正仿宋_GBK"/>
          <w:sz w:val="32"/>
          <w:szCs w:val="32"/>
        </w:rPr>
        <w:t>潼南区2022年文明委全体会议</w:t>
      </w:r>
      <w:r>
        <w:rPr>
          <w:rFonts w:hint="eastAsia" w:ascii="Times New Roman" w:hAnsi="Times New Roman" w:eastAsia="方正仿宋_GBK" w:cs="仿宋_GB2312"/>
          <w:color w:val="000000" w:themeColor="text1"/>
          <w:sz w:val="32"/>
          <w:szCs w:val="32"/>
          <w:lang w:val="en-US" w:eastAsia="zh-CN"/>
          <w14:textFill>
            <w14:solidFill>
              <w14:schemeClr w14:val="tx1"/>
            </w14:solidFill>
          </w14:textFill>
        </w:rPr>
        <w:t>研究同意，现印发你们，请结合实际认真贯彻落实。</w:t>
      </w:r>
    </w:p>
    <w:p w14:paraId="50CB88F7">
      <w:pPr>
        <w:pStyle w:val="2"/>
        <w:rPr>
          <w:rFonts w:hint="eastAsia" w:ascii="Times New Roman" w:hAnsi="Times New Roman" w:eastAsia="方正仿宋_GBK" w:cs="仿宋_GB2312"/>
          <w:color w:val="000000" w:themeColor="text1"/>
          <w:sz w:val="32"/>
          <w:szCs w:val="32"/>
          <w:lang w:val="en-US" w:eastAsia="zh-CN"/>
          <w14:textFill>
            <w14:solidFill>
              <w14:schemeClr w14:val="tx1"/>
            </w14:solidFill>
          </w14:textFill>
        </w:rPr>
      </w:pPr>
    </w:p>
    <w:p w14:paraId="1D814E21">
      <w:pPr>
        <w:spacing w:line="600" w:lineRule="exact"/>
        <w:ind w:firstLine="640"/>
        <w:jc w:val="right"/>
        <w:rPr>
          <w:rFonts w:hint="eastAsia" w:ascii="Times New Roman" w:hAnsi="Times New Roman" w:eastAsia="方正仿宋_GBK" w:cs="仿宋_GB2312"/>
          <w:color w:val="000000" w:themeColor="text1"/>
          <w:sz w:val="32"/>
          <w:szCs w:val="32"/>
          <w:lang w:val="en-US" w:eastAsia="zh-CN"/>
          <w14:textFill>
            <w14:solidFill>
              <w14:schemeClr w14:val="tx1"/>
            </w14:solidFill>
          </w14:textFill>
        </w:rPr>
      </w:pPr>
      <w:r>
        <w:rPr>
          <w:rFonts w:hint="eastAsia" w:ascii="Times New Roman" w:hAnsi="Times New Roman" w:eastAsia="方正仿宋_GBK" w:cs="仿宋_GB2312"/>
          <w:color w:val="000000" w:themeColor="text1"/>
          <w:sz w:val="32"/>
          <w:szCs w:val="32"/>
          <w:lang w:val="en-US" w:eastAsia="zh-CN"/>
          <w14:textFill>
            <w14:solidFill>
              <w14:schemeClr w14:val="tx1"/>
            </w14:solidFill>
          </w14:textFill>
        </w:rPr>
        <w:t xml:space="preserve">               重庆市潼南区精神文明建设委员会</w:t>
      </w:r>
    </w:p>
    <w:p w14:paraId="5A743AA0">
      <w:pPr>
        <w:spacing w:line="600" w:lineRule="exact"/>
        <w:ind w:firstLine="640"/>
        <w:jc w:val="both"/>
        <w:rPr>
          <w:rFonts w:hint="eastAsia" w:eastAsia="方正小标宋_GBK"/>
          <w:sz w:val="44"/>
          <w:szCs w:val="44"/>
        </w:rPr>
      </w:pPr>
      <w:r>
        <w:rPr>
          <w:rFonts w:hint="eastAsia" w:ascii="Times New Roman" w:hAnsi="Times New Roman" w:eastAsia="方正仿宋_GBK" w:cs="仿宋_GB2312"/>
          <w:color w:val="000000" w:themeColor="text1"/>
          <w:sz w:val="32"/>
          <w:szCs w:val="32"/>
          <w:lang w:val="en-US" w:eastAsia="zh-CN"/>
          <w14:textFill>
            <w14:solidFill>
              <w14:schemeClr w14:val="tx1"/>
            </w14:solidFill>
          </w14:textFill>
        </w:rPr>
        <w:t xml:space="preserve">                           </w:t>
      </w:r>
      <w:r>
        <w:rPr>
          <w:rFonts w:hint="eastAsia" w:eastAsia="方正仿宋_GBK" w:cs="仿宋_GB2312"/>
          <w:color w:val="000000" w:themeColor="text1"/>
          <w:sz w:val="32"/>
          <w:szCs w:val="32"/>
          <w:lang w:val="en-US" w:eastAsia="zh-CN"/>
          <w14:textFill>
            <w14:solidFill>
              <w14:schemeClr w14:val="tx1"/>
            </w14:solidFill>
          </w14:textFill>
        </w:rPr>
        <w:t xml:space="preserve">    </w:t>
      </w:r>
      <w:r>
        <w:rPr>
          <w:rFonts w:hint="eastAsia" w:ascii="Times New Roman" w:hAnsi="Times New Roman" w:eastAsia="方正仿宋_GBK" w:cs="仿宋_GB2312"/>
          <w:color w:val="000000" w:themeColor="text1"/>
          <w:sz w:val="32"/>
          <w:szCs w:val="32"/>
          <w:lang w:val="en-US" w:eastAsia="zh-CN"/>
          <w14:textFill>
            <w14:solidFill>
              <w14:schemeClr w14:val="tx1"/>
            </w14:solidFill>
          </w14:textFill>
        </w:rPr>
        <w:t>2022年6月</w:t>
      </w:r>
      <w:r>
        <w:rPr>
          <w:rFonts w:hint="eastAsia" w:eastAsia="方正仿宋_GBK" w:cs="仿宋_GB2312"/>
          <w:color w:val="000000" w:themeColor="text1"/>
          <w:sz w:val="32"/>
          <w:szCs w:val="32"/>
          <w:lang w:val="en-US" w:eastAsia="zh-CN"/>
          <w14:textFill>
            <w14:solidFill>
              <w14:schemeClr w14:val="tx1"/>
            </w14:solidFill>
          </w14:textFill>
        </w:rPr>
        <w:t>27</w:t>
      </w:r>
      <w:r>
        <w:rPr>
          <w:rFonts w:hint="eastAsia" w:ascii="Times New Roman" w:hAnsi="Times New Roman" w:eastAsia="方正仿宋_GBK" w:cs="仿宋_GB2312"/>
          <w:color w:val="000000" w:themeColor="text1"/>
          <w:sz w:val="32"/>
          <w:szCs w:val="32"/>
          <w:lang w:val="en-US" w:eastAsia="zh-CN"/>
          <w14:textFill>
            <w14:solidFill>
              <w14:schemeClr w14:val="tx1"/>
            </w14:solidFill>
          </w14:textFill>
        </w:rPr>
        <w:t>日</w:t>
      </w:r>
    </w:p>
    <w:p w14:paraId="6485C909">
      <w:pPr>
        <w:spacing w:line="600" w:lineRule="exact"/>
        <w:contextualSpacing/>
        <w:jc w:val="center"/>
        <w:rPr>
          <w:rFonts w:hint="eastAsia" w:eastAsia="方正小标宋_GBK"/>
          <w:sz w:val="44"/>
          <w:szCs w:val="44"/>
        </w:rPr>
      </w:pPr>
      <w:r>
        <w:rPr>
          <w:rFonts w:hint="eastAsia" w:eastAsia="方正小标宋_GBK"/>
          <w:sz w:val="44"/>
          <w:szCs w:val="44"/>
        </w:rPr>
        <w:t>重庆市潼南区精神文明建设“十四五”规划</w:t>
      </w:r>
      <w:bookmarkStart w:id="0" w:name="_Toc442179445"/>
      <w:r>
        <w:rPr>
          <w:rFonts w:hint="eastAsia" w:eastAsia="方正小标宋_GBK"/>
          <w:sz w:val="44"/>
          <w:szCs w:val="44"/>
        </w:rPr>
        <w:t>（2021—2025年）</w:t>
      </w:r>
    </w:p>
    <w:p w14:paraId="1E88679A">
      <w:pPr>
        <w:adjustRightInd w:val="0"/>
        <w:snapToGrid w:val="0"/>
        <w:spacing w:line="600" w:lineRule="exact"/>
        <w:jc w:val="center"/>
        <w:rPr>
          <w:rFonts w:hint="eastAsia" w:eastAsia="方正楷体_GBK" w:cs="新宋体"/>
          <w:sz w:val="32"/>
          <w:szCs w:val="32"/>
        </w:rPr>
      </w:pPr>
    </w:p>
    <w:bookmarkEnd w:id="0"/>
    <w:p w14:paraId="3441F537">
      <w:pPr>
        <w:adjustRightInd w:val="0"/>
        <w:snapToGrid w:val="0"/>
        <w:spacing w:line="600" w:lineRule="exact"/>
        <w:ind w:firstLine="646"/>
        <w:rPr>
          <w:rFonts w:hint="eastAsia" w:eastAsia="方正仿宋_GBK"/>
          <w:sz w:val="32"/>
          <w:szCs w:val="32"/>
          <w:shd w:val="clear" w:color="auto" w:fill="FFFFFF"/>
        </w:rPr>
      </w:pPr>
      <w:bookmarkStart w:id="1" w:name="_Toc442179449"/>
      <w:bookmarkStart w:id="2" w:name="_Toc439172388"/>
      <w:r>
        <w:rPr>
          <w:rFonts w:hint="eastAsia" w:eastAsia="方正仿宋_GBK"/>
          <w:sz w:val="32"/>
          <w:szCs w:val="32"/>
          <w:shd w:val="clear" w:color="auto" w:fill="FFFFFF"/>
        </w:rPr>
        <w:t>“十四五”时期是全区精神文明建设乘势而上谋新篇、守正创新开新局的关键时期。为深入贯彻习近平总书记关于宣传思想工作的重要思想和关于精神文明建设的重要论述、对重庆提出的重要指示要求，认真贯彻《中共重庆市潼南区委关于制定潼南区国民经济和社会发展第十四个五年规划和二</w:t>
      </w:r>
      <w:r>
        <w:rPr>
          <w:rFonts w:eastAsia="方正仿宋_GBK"/>
          <w:sz w:val="32"/>
          <w:szCs w:val="32"/>
          <w:shd w:val="clear" w:color="auto" w:fill="FFFFFF"/>
        </w:rPr>
        <w:t>〇</w:t>
      </w:r>
      <w:r>
        <w:rPr>
          <w:rFonts w:hint="eastAsia" w:eastAsia="方正仿宋_GBK"/>
          <w:sz w:val="32"/>
          <w:szCs w:val="32"/>
          <w:shd w:val="clear" w:color="auto" w:fill="FFFFFF"/>
        </w:rPr>
        <w:t>三五年远景目标的建议》，</w:t>
      </w:r>
      <w:r>
        <w:rPr>
          <w:rFonts w:hint="eastAsia" w:eastAsia="方正仿宋_GBK"/>
          <w:kern w:val="0"/>
          <w:sz w:val="32"/>
          <w:szCs w:val="32"/>
        </w:rPr>
        <w:t>按照</w:t>
      </w:r>
      <w:r>
        <w:rPr>
          <w:rFonts w:hint="eastAsia" w:eastAsia="方正仿宋_GBK"/>
          <w:sz w:val="32"/>
          <w:szCs w:val="32"/>
        </w:rPr>
        <w:t>全区“1356”总体部署要求，</w:t>
      </w:r>
      <w:r>
        <w:rPr>
          <w:rFonts w:hint="eastAsia" w:eastAsia="方正仿宋_GBK"/>
          <w:sz w:val="32"/>
          <w:szCs w:val="32"/>
          <w:shd w:val="clear" w:color="auto" w:fill="FFFFFF"/>
        </w:rPr>
        <w:t>推动全区精神文明建设高质量发展，编制本规划。</w:t>
      </w:r>
    </w:p>
    <w:p w14:paraId="1937DDEC">
      <w:pPr>
        <w:shd w:val="clear" w:color="auto" w:fill="FFFFFF"/>
        <w:adjustRightInd w:val="0"/>
        <w:snapToGrid w:val="0"/>
        <w:spacing w:line="600" w:lineRule="exact"/>
        <w:jc w:val="center"/>
        <w:rPr>
          <w:rFonts w:hint="eastAsia" w:eastAsia="方正黑体_GBK"/>
          <w:sz w:val="32"/>
          <w:szCs w:val="32"/>
        </w:rPr>
      </w:pPr>
      <w:r>
        <w:rPr>
          <w:rFonts w:hint="eastAsia" w:eastAsia="方正黑体_GBK"/>
          <w:sz w:val="32"/>
          <w:szCs w:val="32"/>
        </w:rPr>
        <w:t>第一章</w:t>
      </w:r>
      <w:r>
        <w:rPr>
          <w:rFonts w:eastAsia="方正黑体_GBK"/>
          <w:sz w:val="32"/>
          <w:szCs w:val="32"/>
        </w:rPr>
        <w:t xml:space="preserve">  </w:t>
      </w:r>
      <w:r>
        <w:rPr>
          <w:rFonts w:hint="eastAsia" w:eastAsia="方正黑体_GBK"/>
          <w:sz w:val="32"/>
          <w:szCs w:val="32"/>
        </w:rPr>
        <w:t>“十四五”时期全区精神文明建设的总体形势</w:t>
      </w:r>
    </w:p>
    <w:p w14:paraId="0EAE4B88">
      <w:pPr>
        <w:adjustRightInd w:val="0"/>
        <w:snapToGrid w:val="0"/>
        <w:spacing w:line="600" w:lineRule="exact"/>
        <w:jc w:val="center"/>
        <w:rPr>
          <w:rFonts w:eastAsia="方正楷体_GBK"/>
          <w:sz w:val="32"/>
          <w:szCs w:val="32"/>
        </w:rPr>
      </w:pPr>
      <w:r>
        <w:rPr>
          <w:rFonts w:hint="eastAsia" w:eastAsia="方正楷体_GBK"/>
          <w:sz w:val="32"/>
          <w:szCs w:val="32"/>
        </w:rPr>
        <w:t xml:space="preserve">第一节 </w:t>
      </w:r>
      <w:r>
        <w:rPr>
          <w:rFonts w:eastAsia="方正楷体_GBK"/>
          <w:sz w:val="32"/>
          <w:szCs w:val="32"/>
        </w:rPr>
        <w:t xml:space="preserve"> </w:t>
      </w:r>
      <w:r>
        <w:rPr>
          <w:rFonts w:hint="eastAsia" w:eastAsia="方正楷体_GBK"/>
          <w:sz w:val="32"/>
          <w:szCs w:val="32"/>
        </w:rPr>
        <w:t>全区精神文明建设取得显著成效</w:t>
      </w:r>
    </w:p>
    <w:p w14:paraId="2638BF0C">
      <w:pPr>
        <w:adjustRightInd w:val="0"/>
        <w:snapToGrid w:val="0"/>
        <w:spacing w:line="600" w:lineRule="exact"/>
        <w:ind w:firstLine="640" w:firstLineChars="200"/>
        <w:rPr>
          <w:rFonts w:eastAsia="方正仿宋_GBK"/>
          <w:kern w:val="0"/>
          <w:sz w:val="32"/>
          <w:szCs w:val="32"/>
        </w:rPr>
      </w:pPr>
      <w:r>
        <w:rPr>
          <w:rFonts w:hint="eastAsia" w:eastAsia="方正仿宋_GBK"/>
          <w:sz w:val="32"/>
          <w:szCs w:val="32"/>
        </w:rPr>
        <w:t>“十三五”时期特别是党的十九大以来，在区委、区政府坚强领导下，</w:t>
      </w:r>
      <w:r>
        <w:rPr>
          <w:rFonts w:hint="eastAsia" w:eastAsia="方正仿宋_GBK"/>
          <w:sz w:val="32"/>
          <w:szCs w:val="32"/>
          <w:shd w:val="clear" w:color="auto" w:fill="FFFFFF"/>
        </w:rPr>
        <w:t>全区</w:t>
      </w:r>
      <w:r>
        <w:rPr>
          <w:rFonts w:hint="eastAsia" w:eastAsia="方正仿宋_GBK"/>
          <w:kern w:val="0"/>
          <w:sz w:val="32"/>
          <w:szCs w:val="32"/>
        </w:rPr>
        <w:t>精神文明建设战线以习近平新时代中国特色社会主义思想为指导，深入贯彻习近平总书记关于宣传思想工作的重要思想和关于精神文明建设的重要论述、对重庆提出的重要指示要求，紧紧围绕举旗帜、聚民心、育新人、兴文化、展形象的使命任务，坚持守正创新、凝心聚力，坚定主心骨、汇聚正能量、提振精气神，各项工作取得新进展、迈上新台阶。</w:t>
      </w:r>
      <w:r>
        <w:rPr>
          <w:rFonts w:hint="eastAsia" w:eastAsia="方正仿宋_GBK"/>
          <w:sz w:val="32"/>
          <w:szCs w:val="32"/>
          <w:shd w:val="clear" w:color="auto" w:fill="FFFFFF"/>
        </w:rPr>
        <w:t>深入开展习近平新时代中国特色社会主义思想学习教育，</w:t>
      </w:r>
      <w:r>
        <w:rPr>
          <w:rFonts w:hint="eastAsia" w:eastAsia="方正仿宋_GBK"/>
          <w:sz w:val="32"/>
          <w:szCs w:val="32"/>
        </w:rPr>
        <w:t>每年初印发《中心组年度学习意见》，区委理论学习中心组开展集中学习共48次，各镇街、部门理论学习中心组开展学习3600余次，累计开展集中宣讲、“六进”宣讲、基层微宣讲等各类宣讲8200余场、受众38.4万人次，理论宣讲广度深度不断扩大。围绕推动成渝地区双城经济圈建设等主题广泛开展理论调研，形成调研成果720余篇。“学习强国”重庆学习平台党员参学率达</w:t>
      </w:r>
      <w:r>
        <w:rPr>
          <w:rFonts w:hint="eastAsia" w:eastAsia="方正仿宋_GBK"/>
          <w:bCs/>
          <w:sz w:val="32"/>
          <w:szCs w:val="32"/>
        </w:rPr>
        <w:t>90</w:t>
      </w:r>
      <w:r>
        <w:rPr>
          <w:rFonts w:hint="eastAsia" w:eastAsia="方正仿宋_GBK"/>
          <w:sz w:val="32"/>
          <w:szCs w:val="32"/>
        </w:rPr>
        <w:t>%以上，理论学习阵地不断夯实。</w:t>
      </w:r>
      <w:r>
        <w:rPr>
          <w:rFonts w:hint="eastAsia" w:eastAsia="方正仿宋_GBK"/>
          <w:bCs/>
          <w:sz w:val="32"/>
          <w:szCs w:val="32"/>
        </w:rPr>
        <w:t>紧紧围绕庆祝改革开放40周年、新中国成立70周年等重大主题，举办“榜样面对面”“弘扬闇公</w:t>
      </w:r>
      <w:r>
        <w:rPr>
          <w:rFonts w:hint="eastAsia" w:eastAsia="方正仿宋_GBK"/>
          <w:bCs/>
          <w:sz w:val="32"/>
          <w:szCs w:val="32"/>
          <w:lang w:val="en-US" w:eastAsia="zh-CN"/>
        </w:rPr>
        <w:t>革命风范</w:t>
      </w:r>
      <w:r>
        <w:rPr>
          <w:rFonts w:hint="eastAsia" w:eastAsia="方正仿宋_GBK"/>
          <w:bCs/>
          <w:sz w:val="32"/>
          <w:szCs w:val="32"/>
        </w:rPr>
        <w:t xml:space="preserve"> 争做时代新人”等主题活动1.6万余场。</w:t>
      </w:r>
      <w:r>
        <w:rPr>
          <w:rFonts w:hint="eastAsia" w:eastAsia="方正仿宋_GBK"/>
          <w:sz w:val="33"/>
          <w:szCs w:val="33"/>
        </w:rPr>
        <w:t>打造张鹏翮廉政文化教育基地，</w:t>
      </w:r>
      <w:r>
        <w:rPr>
          <w:rFonts w:hint="eastAsia" w:eastAsia="方正仿宋_GBK"/>
          <w:bCs/>
          <w:sz w:val="32"/>
          <w:szCs w:val="32"/>
        </w:rPr>
        <w:t>承接市级区级家风教育培训36批次，开展“家育清风”主题活动受众达15万余人次。</w:t>
      </w:r>
      <w:r>
        <w:rPr>
          <w:rFonts w:hint="eastAsia" w:eastAsia="方正仿宋_GBK"/>
          <w:sz w:val="33"/>
          <w:szCs w:val="33"/>
        </w:rPr>
        <w:t>大力实施群众性精神文明创建活动，</w:t>
      </w:r>
      <w:r>
        <w:rPr>
          <w:rFonts w:hint="eastAsia" w:eastAsia="方正仿宋_GBK"/>
          <w:sz w:val="32"/>
          <w:szCs w:val="32"/>
        </w:rPr>
        <w:t>创建区级以上文明村镇</w:t>
      </w:r>
      <w:r>
        <w:rPr>
          <w:rFonts w:eastAsia="方正仿宋_GBK"/>
          <w:sz w:val="32"/>
          <w:szCs w:val="32"/>
        </w:rPr>
        <w:t>138</w:t>
      </w:r>
      <w:r>
        <w:rPr>
          <w:rFonts w:hint="eastAsia" w:eastAsia="方正仿宋_GBK"/>
          <w:sz w:val="32"/>
          <w:szCs w:val="32"/>
        </w:rPr>
        <w:t>个、文明单位</w:t>
      </w:r>
      <w:r>
        <w:rPr>
          <w:rFonts w:eastAsia="方正仿宋_GBK"/>
          <w:sz w:val="32"/>
          <w:szCs w:val="32"/>
        </w:rPr>
        <w:t>100</w:t>
      </w:r>
      <w:r>
        <w:rPr>
          <w:rFonts w:hint="eastAsia" w:eastAsia="方正仿宋_GBK"/>
          <w:sz w:val="32"/>
          <w:szCs w:val="32"/>
        </w:rPr>
        <w:t>个、文明校园</w:t>
      </w:r>
      <w:r>
        <w:rPr>
          <w:rFonts w:eastAsia="方正仿宋_GBK"/>
          <w:sz w:val="32"/>
          <w:szCs w:val="32"/>
        </w:rPr>
        <w:t>63</w:t>
      </w:r>
      <w:r>
        <w:rPr>
          <w:rFonts w:hint="eastAsia" w:eastAsia="方正仿宋_GBK"/>
          <w:sz w:val="32"/>
          <w:szCs w:val="32"/>
        </w:rPr>
        <w:t>所、文明家庭4个。大力开展道德模范评选表彰和先进典型学习宣传活动，获评“中国好人”</w:t>
      </w:r>
      <w:r>
        <w:rPr>
          <w:rFonts w:eastAsia="方正仿宋_GBK"/>
          <w:sz w:val="32"/>
          <w:szCs w:val="32"/>
        </w:rPr>
        <w:t>3</w:t>
      </w:r>
      <w:r>
        <w:rPr>
          <w:rFonts w:hint="eastAsia" w:eastAsia="方正仿宋_GBK"/>
          <w:sz w:val="32"/>
          <w:szCs w:val="32"/>
        </w:rPr>
        <w:t>名</w:t>
      </w:r>
      <w:r>
        <w:rPr>
          <w:rFonts w:eastAsia="方正仿宋_GBK"/>
          <w:sz w:val="32"/>
          <w:szCs w:val="32"/>
        </w:rPr>
        <w:t>，</w:t>
      </w:r>
      <w:r>
        <w:rPr>
          <w:rFonts w:hint="eastAsia" w:eastAsia="方正仿宋_GBK"/>
          <w:sz w:val="32"/>
          <w:szCs w:val="32"/>
        </w:rPr>
        <w:t>“重庆好人”40名，</w:t>
      </w:r>
      <w:r>
        <w:rPr>
          <w:rFonts w:eastAsia="方正仿宋_GBK"/>
          <w:bCs/>
          <w:sz w:val="32"/>
          <w:szCs w:val="32"/>
        </w:rPr>
        <w:t>广泛传播模范故事、学习模范精神</w:t>
      </w:r>
      <w:r>
        <w:rPr>
          <w:rFonts w:hint="eastAsia" w:eastAsia="方正仿宋_GBK"/>
          <w:bCs/>
          <w:sz w:val="32"/>
          <w:szCs w:val="32"/>
        </w:rPr>
        <w:t>，</w:t>
      </w:r>
      <w:r>
        <w:rPr>
          <w:rFonts w:hint="eastAsia" w:eastAsia="方正仿宋_GBK"/>
          <w:sz w:val="32"/>
          <w:szCs w:val="32"/>
        </w:rPr>
        <w:t>让榜样宣传入脑入心</w:t>
      </w:r>
      <w:r>
        <w:rPr>
          <w:rFonts w:eastAsia="方正仿宋_GBK"/>
          <w:sz w:val="32"/>
          <w:szCs w:val="32"/>
        </w:rPr>
        <w:t>。</w:t>
      </w:r>
      <w:r>
        <w:rPr>
          <w:rFonts w:hint="eastAsia" w:eastAsia="方正仿宋_GBK"/>
          <w:sz w:val="32"/>
          <w:szCs w:val="32"/>
        </w:rPr>
        <w:t>试点开展新时代文明实践中心建设，出台《潼南区建设新时代文明实践中心试点工作方案</w:t>
      </w:r>
      <w:r>
        <w:rPr>
          <w:rFonts w:eastAsia="方正仿宋_GBK"/>
          <w:sz w:val="32"/>
          <w:szCs w:val="32"/>
        </w:rPr>
        <w:t>》</w:t>
      </w:r>
      <w:r>
        <w:rPr>
          <w:rFonts w:hint="eastAsia" w:eastAsia="方正仿宋_GBK"/>
          <w:sz w:val="32"/>
          <w:szCs w:val="32"/>
        </w:rPr>
        <w:t>等系列文件，按照“</w:t>
      </w:r>
      <w:r>
        <w:rPr>
          <w:rFonts w:eastAsia="方正仿宋_GBK"/>
          <w:sz w:val="32"/>
          <w:szCs w:val="32"/>
        </w:rPr>
        <w:t>七有</w:t>
      </w:r>
      <w:r>
        <w:rPr>
          <w:rFonts w:hint="eastAsia" w:eastAsia="方正仿宋_GBK"/>
          <w:sz w:val="32"/>
          <w:szCs w:val="32"/>
        </w:rPr>
        <w:t>”</w:t>
      </w:r>
      <w:r>
        <w:rPr>
          <w:rFonts w:eastAsia="方正仿宋_GBK"/>
          <w:sz w:val="32"/>
          <w:szCs w:val="32"/>
        </w:rPr>
        <w:t>标准建设新时代文明实践中心</w:t>
      </w:r>
      <w:r>
        <w:rPr>
          <w:rFonts w:hint="eastAsia" w:eastAsia="方正仿宋_GBK"/>
          <w:sz w:val="32"/>
          <w:szCs w:val="32"/>
        </w:rPr>
        <w:t>（</w:t>
      </w:r>
      <w:r>
        <w:rPr>
          <w:rFonts w:eastAsia="方正仿宋_GBK"/>
          <w:sz w:val="32"/>
          <w:szCs w:val="32"/>
        </w:rPr>
        <w:t>所、站</w:t>
      </w:r>
      <w:r>
        <w:rPr>
          <w:rFonts w:hint="eastAsia" w:eastAsia="方正仿宋_GBK"/>
          <w:sz w:val="32"/>
          <w:szCs w:val="32"/>
        </w:rPr>
        <w:t>）</w:t>
      </w:r>
      <w:r>
        <w:rPr>
          <w:rFonts w:eastAsia="方正仿宋_GBK"/>
          <w:sz w:val="32"/>
          <w:szCs w:val="32"/>
        </w:rPr>
        <w:t>，构建起</w:t>
      </w:r>
      <w:r>
        <w:rPr>
          <w:rFonts w:hint="eastAsia" w:eastAsia="方正仿宋_GBK"/>
          <w:sz w:val="32"/>
          <w:szCs w:val="32"/>
        </w:rPr>
        <w:t>“</w:t>
      </w:r>
      <w:r>
        <w:rPr>
          <w:rFonts w:eastAsia="方正仿宋_GBK"/>
          <w:sz w:val="32"/>
          <w:szCs w:val="32"/>
        </w:rPr>
        <w:t>1+23+304+</w:t>
      </w:r>
      <w:r>
        <w:rPr>
          <w:rFonts w:hint="eastAsia" w:eastAsia="方正仿宋_GBK"/>
          <w:sz w:val="32"/>
          <w:szCs w:val="32"/>
          <w:lang w:val="en-US" w:eastAsia="zh-CN"/>
        </w:rPr>
        <w:t>N</w:t>
      </w:r>
      <w:r>
        <w:rPr>
          <w:rFonts w:hint="eastAsia" w:eastAsia="方正仿宋_GBK"/>
          <w:sz w:val="32"/>
          <w:szCs w:val="32"/>
        </w:rPr>
        <w:t>”</w:t>
      </w:r>
      <w:r>
        <w:rPr>
          <w:rFonts w:eastAsia="方正仿宋_GBK"/>
          <w:sz w:val="32"/>
          <w:szCs w:val="32"/>
        </w:rPr>
        <w:t>三级多点组织体系</w:t>
      </w:r>
      <w:r>
        <w:rPr>
          <w:rFonts w:hint="eastAsia" w:eastAsia="方正仿宋_GBK"/>
          <w:sz w:val="32"/>
          <w:szCs w:val="32"/>
        </w:rPr>
        <w:t>，</w:t>
      </w:r>
      <w:r>
        <w:rPr>
          <w:rFonts w:eastAsia="方正仿宋_GBK"/>
          <w:sz w:val="32"/>
          <w:szCs w:val="32"/>
        </w:rPr>
        <w:t>常态化开展各类志愿服务活动</w:t>
      </w:r>
      <w:r>
        <w:rPr>
          <w:rFonts w:hint="eastAsia" w:eastAsia="方正仿宋_GBK"/>
          <w:sz w:val="32"/>
          <w:szCs w:val="32"/>
        </w:rPr>
        <w:t>，志愿服务总时长100万余小时，</w:t>
      </w:r>
      <w:r>
        <w:rPr>
          <w:rFonts w:hint="eastAsia" w:eastAsia="方正仿宋_GBK"/>
          <w:bCs/>
          <w:sz w:val="32"/>
          <w:szCs w:val="32"/>
        </w:rPr>
        <w:t>助力生态治理、脱贫攻坚、抗击疫情等作用明显。大力实施未成年人思想道德建设，</w:t>
      </w:r>
      <w:r>
        <w:rPr>
          <w:rFonts w:hint="eastAsia" w:eastAsia="方正仿宋_GBK"/>
          <w:sz w:val="32"/>
          <w:szCs w:val="32"/>
        </w:rPr>
        <w:t>创建市级劳动教育联盟学校3所，建成</w:t>
      </w:r>
      <w:r>
        <w:rPr>
          <w:rFonts w:eastAsia="方正仿宋_GBK"/>
          <w:sz w:val="32"/>
          <w:szCs w:val="32"/>
        </w:rPr>
        <w:t>乡村学校少年宫</w:t>
      </w:r>
      <w:r>
        <w:rPr>
          <w:rFonts w:hint="eastAsia" w:eastAsia="方正仿宋_GBK"/>
          <w:sz w:val="32"/>
          <w:szCs w:val="32"/>
        </w:rPr>
        <w:t>15所。深入</w:t>
      </w:r>
      <w:r>
        <w:rPr>
          <w:rFonts w:eastAsia="方正仿宋_GBK"/>
          <w:sz w:val="32"/>
          <w:szCs w:val="32"/>
        </w:rPr>
        <w:t>推</w:t>
      </w:r>
      <w:r>
        <w:rPr>
          <w:rFonts w:hint="eastAsia" w:eastAsia="方正仿宋_GBK"/>
          <w:sz w:val="32"/>
          <w:szCs w:val="32"/>
        </w:rPr>
        <w:t>进文明风尚</w:t>
      </w:r>
      <w:r>
        <w:rPr>
          <w:rFonts w:eastAsia="方正仿宋_GBK"/>
          <w:sz w:val="32"/>
          <w:szCs w:val="32"/>
        </w:rPr>
        <w:t>行动，</w:t>
      </w:r>
      <w:r>
        <w:rPr>
          <w:rFonts w:hint="eastAsia" w:eastAsia="方正仿宋_GBK"/>
          <w:sz w:val="32"/>
          <w:szCs w:val="32"/>
        </w:rPr>
        <w:t>“文明餐桌”“文明旅游”“文明交通”“文明上网”等主题活动广泛宣传开展，文明礼貌在潼南大地蔚然成风。着力促进人的全面发展，建成农民体育健身工程64个、行政村覆盖率达100%，建成基本齐全的各级健身运动场所，人均体育场地面积达到1.7平方米，全区全面科学素养比例达8.36%，镇（街道）、村（社区）综合文化服务中心建设基本实现全覆盖，人民群众科学文化素质和身心健康素质明显提高。助力打赢脱贫攻坚战和新冠肺炎疫情防控阻击战。</w:t>
      </w:r>
      <w:r>
        <w:rPr>
          <w:rFonts w:hint="eastAsia" w:hAnsi="方正仿宋_GBK" w:eastAsia="方正仿宋_GBK" w:cs="方正仿宋_GBK"/>
          <w:kern w:val="0"/>
          <w:sz w:val="32"/>
          <w:szCs w:val="32"/>
          <w:lang w:bidi="ar"/>
        </w:rPr>
        <w:t>持续深入肃清孙政才恶劣影响和薄熙来、王立军流毒，全面彻底干净肃清邓恢林流毒影响</w:t>
      </w:r>
      <w:r>
        <w:rPr>
          <w:rFonts w:hint="eastAsia" w:eastAsia="方正仿宋_GBK"/>
          <w:sz w:val="32"/>
          <w:szCs w:val="32"/>
        </w:rPr>
        <w:t>，</w:t>
      </w:r>
      <w:r>
        <w:rPr>
          <w:rFonts w:eastAsia="方正仿宋_GBK"/>
          <w:kern w:val="0"/>
          <w:sz w:val="32"/>
          <w:szCs w:val="32"/>
        </w:rPr>
        <w:t>深刻汲取万军、袁国圣、张文军</w:t>
      </w:r>
      <w:r>
        <w:rPr>
          <w:rFonts w:hint="eastAsia" w:eastAsia="方正仿宋_GBK"/>
          <w:kern w:val="0"/>
          <w:sz w:val="32"/>
          <w:szCs w:val="32"/>
        </w:rPr>
        <w:t>等</w:t>
      </w:r>
      <w:r>
        <w:rPr>
          <w:rFonts w:eastAsia="方正仿宋_GBK"/>
          <w:kern w:val="0"/>
          <w:sz w:val="32"/>
          <w:szCs w:val="32"/>
        </w:rPr>
        <w:t>案件教训</w:t>
      </w:r>
      <w:r>
        <w:rPr>
          <w:rFonts w:hint="eastAsia" w:eastAsia="方正仿宋_GBK"/>
          <w:kern w:val="0"/>
          <w:sz w:val="32"/>
          <w:szCs w:val="32"/>
        </w:rPr>
        <w:t>，为</w:t>
      </w:r>
      <w:r>
        <w:rPr>
          <w:rFonts w:hint="eastAsia" w:eastAsia="方正仿宋_GBK"/>
          <w:sz w:val="32"/>
          <w:szCs w:val="32"/>
        </w:rPr>
        <w:t>推动习近平总书记殷殷嘱托全面落实在潼南大地上提供了坚强思想保证和强大精神力量。</w:t>
      </w:r>
    </w:p>
    <w:p w14:paraId="4D167A79">
      <w:pPr>
        <w:adjustRightInd w:val="0"/>
        <w:snapToGrid w:val="0"/>
        <w:spacing w:line="600" w:lineRule="exact"/>
        <w:jc w:val="center"/>
        <w:rPr>
          <w:rFonts w:hint="eastAsia" w:eastAsia="方正楷体_GBK"/>
          <w:sz w:val="32"/>
          <w:szCs w:val="32"/>
        </w:rPr>
      </w:pPr>
      <w:r>
        <w:rPr>
          <w:rFonts w:hint="eastAsia" w:eastAsia="方正楷体_GBK"/>
          <w:sz w:val="32"/>
          <w:szCs w:val="32"/>
        </w:rPr>
        <w:t xml:space="preserve">第二节 </w:t>
      </w:r>
      <w:r>
        <w:rPr>
          <w:rFonts w:eastAsia="方正楷体_GBK"/>
          <w:sz w:val="32"/>
          <w:szCs w:val="32"/>
        </w:rPr>
        <w:t xml:space="preserve"> </w:t>
      </w:r>
      <w:r>
        <w:rPr>
          <w:rFonts w:hint="eastAsia" w:eastAsia="方正楷体_GBK"/>
          <w:sz w:val="32"/>
          <w:szCs w:val="32"/>
        </w:rPr>
        <w:t>全区精神文明建设面临的新形势新任务新挑战</w:t>
      </w:r>
    </w:p>
    <w:p w14:paraId="2B70149F">
      <w:pPr>
        <w:adjustRightInd w:val="0"/>
        <w:snapToGrid w:val="0"/>
        <w:spacing w:line="600" w:lineRule="exact"/>
        <w:ind w:firstLine="640" w:firstLineChars="200"/>
        <w:rPr>
          <w:rFonts w:hint="eastAsia" w:eastAsia="方正仿宋_GBK"/>
          <w:kern w:val="0"/>
          <w:sz w:val="32"/>
          <w:szCs w:val="32"/>
        </w:rPr>
      </w:pPr>
      <w:r>
        <w:rPr>
          <w:rFonts w:hint="eastAsia" w:eastAsia="方正仿宋_GBK"/>
          <w:kern w:val="0"/>
          <w:sz w:val="32"/>
          <w:szCs w:val="32"/>
        </w:rPr>
        <w:t>进入新发展阶段是中华民族伟大复兴历史进程的大跨越，越是接近实现中华民族伟大复兴的目标，社会主义和资本主义两种制度、两条道路的竞争就会越激烈，马克思主义指导思想地位面临的挑战就会越尖锐，实现“两个巩固”，引导全区人民凝聚在新时代伟大思想旗帜下的任务将更加艰巨，精神文明建设是重要思想保证。进入新发展阶段，贯彻新发展理念，构建新发展格局，推动高质量发展，创造高品质生活，需要凝心聚力，激发全区人民奋进新征程的强大精神力量，精神文明建设是重要力量源泉。进入新发展阶段，开启</w:t>
      </w:r>
      <w:r>
        <w:rPr>
          <w:rFonts w:hint="eastAsia" w:eastAsia="方正仿宋_GBK"/>
          <w:kern w:val="0"/>
          <w:sz w:val="32"/>
          <w:szCs w:val="32"/>
          <w:lang w:eastAsia="zh-CN"/>
        </w:rPr>
        <w:t>全面建设社会主义现代化国家新征程</w:t>
      </w:r>
      <w:r>
        <w:rPr>
          <w:rFonts w:hint="eastAsia" w:eastAsia="方正仿宋_GBK"/>
          <w:kern w:val="0"/>
          <w:sz w:val="32"/>
          <w:szCs w:val="32"/>
        </w:rPr>
        <w:t>，提高社会文明程度，推动形成适应新时代要求的思想观念、精神面貌、文明风尚、行为规范，不断营造良好社会环境，实现物质文明和精神文明协调发展，精神文明建设是重要组成部分。目前，全区精神文明建设合力汇聚、活力迸发、特色彰显，未来持续发展基础坚实，但仍面临理论宣传普及到达率、吸引力有待提高，弘扬社会主义核心价值观有待强化，群众性精神文明创建活动有待深化，公共文化服务供给有待加强，工作制度化规范化水平有待提升等问题。全区精神文明建设战线要深刻认识进入新发展阶段精神文明建设面临的新形势新任务新挑战，胸怀大局、把握大势、着眼大事，准确识变、科学应变、主动求变，抓住机遇、应对挑战、补齐短板，推动全区精神文明建设开创新局面。</w:t>
      </w:r>
    </w:p>
    <w:p w14:paraId="36451DEC">
      <w:pPr>
        <w:shd w:val="clear" w:color="auto" w:fill="FFFFFF"/>
        <w:adjustRightInd w:val="0"/>
        <w:snapToGrid w:val="0"/>
        <w:spacing w:line="600" w:lineRule="exact"/>
        <w:jc w:val="center"/>
        <w:rPr>
          <w:rFonts w:hint="eastAsia" w:eastAsia="方正黑体_GBK"/>
          <w:sz w:val="32"/>
          <w:szCs w:val="32"/>
          <w:lang w:eastAsia="zh-CN"/>
        </w:rPr>
      </w:pPr>
      <w:r>
        <w:rPr>
          <w:rFonts w:hint="eastAsia" w:eastAsia="方正黑体_GBK"/>
          <w:sz w:val="32"/>
          <w:szCs w:val="32"/>
        </w:rPr>
        <w:t xml:space="preserve">第二章 </w:t>
      </w:r>
      <w:r>
        <w:rPr>
          <w:rFonts w:eastAsia="方正黑体_GBK"/>
          <w:sz w:val="32"/>
          <w:szCs w:val="32"/>
        </w:rPr>
        <w:t xml:space="preserve"> </w:t>
      </w:r>
      <w:r>
        <w:rPr>
          <w:rFonts w:hint="eastAsia" w:eastAsia="方正黑体_GBK"/>
          <w:sz w:val="32"/>
          <w:szCs w:val="32"/>
        </w:rPr>
        <w:t>“十四五”时期全区精神文明建设指导思想、基本原则、主要目标和</w:t>
      </w:r>
      <w:r>
        <w:rPr>
          <w:rFonts w:hint="eastAsia" w:eastAsia="方正黑体_GBK"/>
          <w:sz w:val="32"/>
          <w:szCs w:val="32"/>
          <w:lang w:eastAsia="zh-CN"/>
        </w:rPr>
        <w:t>二〇三五年远景目标</w:t>
      </w:r>
    </w:p>
    <w:p w14:paraId="02DA3AC7">
      <w:pPr>
        <w:adjustRightInd w:val="0"/>
        <w:snapToGrid w:val="0"/>
        <w:spacing w:line="600" w:lineRule="exact"/>
        <w:jc w:val="center"/>
        <w:rPr>
          <w:rFonts w:hint="eastAsia" w:eastAsia="方正楷体_GBK"/>
          <w:sz w:val="32"/>
          <w:szCs w:val="32"/>
        </w:rPr>
      </w:pPr>
      <w:r>
        <w:rPr>
          <w:rFonts w:hint="eastAsia" w:eastAsia="方正楷体_GBK"/>
          <w:sz w:val="32"/>
          <w:szCs w:val="32"/>
        </w:rPr>
        <w:t xml:space="preserve">第三节 </w:t>
      </w:r>
      <w:r>
        <w:rPr>
          <w:rFonts w:eastAsia="方正楷体_GBK"/>
          <w:sz w:val="32"/>
          <w:szCs w:val="32"/>
        </w:rPr>
        <w:t xml:space="preserve"> </w:t>
      </w:r>
      <w:r>
        <w:rPr>
          <w:rFonts w:hint="eastAsia" w:eastAsia="方正楷体_GBK"/>
          <w:sz w:val="32"/>
          <w:szCs w:val="32"/>
        </w:rPr>
        <w:t>“十四五”时期全区精神文明建设指导思想</w:t>
      </w:r>
    </w:p>
    <w:p w14:paraId="21FA1388">
      <w:pPr>
        <w:shd w:val="clear" w:color="auto" w:fill="FFFFFF"/>
        <w:adjustRightInd w:val="0"/>
        <w:snapToGrid w:val="0"/>
        <w:spacing w:line="600" w:lineRule="exact"/>
        <w:ind w:firstLine="640" w:firstLineChars="200"/>
        <w:rPr>
          <w:rFonts w:eastAsia="方正仿宋_GBK"/>
          <w:kern w:val="0"/>
          <w:sz w:val="32"/>
          <w:szCs w:val="32"/>
        </w:rPr>
      </w:pPr>
      <w:r>
        <w:rPr>
          <w:rFonts w:hint="eastAsia" w:eastAsia="方正仿宋_GBK"/>
          <w:kern w:val="0"/>
          <w:sz w:val="32"/>
          <w:szCs w:val="32"/>
        </w:rPr>
        <w:t>认真学习贯彻习近平新时代中国特色社会主义思想，全面贯彻党的十九大和十九届历次全会精神，全面落实习近平总书记对重庆提出的重要指示要求和党中央、国务院决策部署，准确把握新发展阶段，深入践行新发展理念，积极融入新发展格局，切实担当新发展使命，坚持稳中求进、守正创新，持续深入学习宣传贯彻习近平新时代中国特色社会主义思想，大力培育和践行社会主义核心价值观，统筹推进文明实践、文明培育、文明创建，全力提升市民科学文化素质和身心健康素质，努力建设具有强大生命力和创造力的社会主义精神文明，推动形成适应新时代要求的思想观念、精神面貌、文明风尚、行为规范，为全市谱写高质量发展新篇章、开启</w:t>
      </w:r>
      <w:r>
        <w:rPr>
          <w:rFonts w:hint="eastAsia" w:eastAsia="方正仿宋_GBK"/>
          <w:kern w:val="0"/>
          <w:sz w:val="32"/>
          <w:szCs w:val="32"/>
          <w:lang w:eastAsia="zh-CN"/>
        </w:rPr>
        <w:t>全面建设社会主义现代化国家新征程</w:t>
      </w:r>
      <w:r>
        <w:rPr>
          <w:rFonts w:hint="eastAsia" w:eastAsia="方正仿宋_GBK"/>
          <w:kern w:val="0"/>
          <w:sz w:val="32"/>
          <w:szCs w:val="32"/>
        </w:rPr>
        <w:t>、建成高质量发展高品质生活新范例提供坚强思想保证、强大精神力量和良好社会环境。</w:t>
      </w:r>
    </w:p>
    <w:p w14:paraId="70E37D49">
      <w:pPr>
        <w:adjustRightInd w:val="0"/>
        <w:snapToGrid w:val="0"/>
        <w:spacing w:line="600" w:lineRule="exact"/>
        <w:jc w:val="center"/>
        <w:rPr>
          <w:rFonts w:eastAsia="方正楷体_GBK"/>
          <w:sz w:val="32"/>
          <w:szCs w:val="32"/>
        </w:rPr>
      </w:pPr>
      <w:r>
        <w:rPr>
          <w:rFonts w:hint="eastAsia" w:eastAsia="方正楷体_GBK"/>
          <w:sz w:val="32"/>
          <w:szCs w:val="32"/>
        </w:rPr>
        <w:t xml:space="preserve">第四节 </w:t>
      </w:r>
      <w:r>
        <w:rPr>
          <w:rFonts w:eastAsia="方正楷体_GBK"/>
          <w:sz w:val="32"/>
          <w:szCs w:val="32"/>
        </w:rPr>
        <w:t xml:space="preserve"> </w:t>
      </w:r>
      <w:r>
        <w:rPr>
          <w:rFonts w:hint="eastAsia" w:eastAsia="方正楷体_GBK"/>
          <w:sz w:val="32"/>
          <w:szCs w:val="32"/>
        </w:rPr>
        <w:t>“十四五”时期全区精神文明建设基本原则</w:t>
      </w:r>
    </w:p>
    <w:p w14:paraId="14D5161B">
      <w:pPr>
        <w:spacing w:line="600" w:lineRule="exact"/>
        <w:ind w:firstLine="640" w:firstLineChars="200"/>
        <w:rPr>
          <w:rFonts w:hint="eastAsia" w:eastAsia="方正仿宋_GBK"/>
          <w:kern w:val="0"/>
          <w:sz w:val="32"/>
          <w:szCs w:val="32"/>
        </w:rPr>
      </w:pPr>
      <w:r>
        <w:rPr>
          <w:rFonts w:hint="eastAsia" w:eastAsia="方正仿宋_GBK"/>
          <w:kern w:val="0"/>
          <w:sz w:val="32"/>
          <w:szCs w:val="32"/>
        </w:rPr>
        <w:t>坚持党的全面领导。坚持和完善党领导经济社会发展的体制机制，坚持和完善中国特色社会主义制度，深刻领会“两个确立”的决定性意义，进一步增强“四个意识”、坚定“四个自信”、做到“两个维护”，坚决兑现市委“三个确保”政治承诺，确保精神文明建设始终沿着习近平总书记指引的方向奋力前行。</w:t>
      </w:r>
    </w:p>
    <w:p w14:paraId="03E405A5">
      <w:pPr>
        <w:spacing w:line="600" w:lineRule="exact"/>
        <w:ind w:firstLine="640" w:firstLineChars="200"/>
        <w:rPr>
          <w:rFonts w:hint="eastAsia" w:eastAsia="方正仿宋_GBK"/>
          <w:kern w:val="0"/>
          <w:sz w:val="32"/>
          <w:szCs w:val="32"/>
        </w:rPr>
      </w:pPr>
      <w:r>
        <w:rPr>
          <w:rFonts w:hint="eastAsia" w:eastAsia="方正仿宋_GBK"/>
          <w:kern w:val="0"/>
          <w:sz w:val="32"/>
          <w:szCs w:val="32"/>
        </w:rPr>
        <w:t>坚持服从服务大局。着眼“五位一体”总体布局和“四个全面”战略布局，准确把握新发展阶段，坚定贯彻新发展理念，主动融入新发展格局，紧紧围绕“十四五”时期全区经济社会发展主要目标、重点任务和到</w:t>
      </w:r>
      <w:r>
        <w:rPr>
          <w:rFonts w:hint="eastAsia" w:eastAsia="方正仿宋_GBK"/>
          <w:kern w:val="0"/>
          <w:sz w:val="32"/>
          <w:szCs w:val="32"/>
          <w:lang w:eastAsia="zh-CN"/>
        </w:rPr>
        <w:t>二〇三五年远景目标</w:t>
      </w:r>
      <w:r>
        <w:rPr>
          <w:rFonts w:hint="eastAsia" w:eastAsia="方正仿宋_GBK"/>
          <w:kern w:val="0"/>
          <w:sz w:val="32"/>
          <w:szCs w:val="32"/>
        </w:rPr>
        <w:t>，按照</w:t>
      </w:r>
      <w:r>
        <w:rPr>
          <w:rFonts w:hint="eastAsia" w:eastAsia="方正仿宋_GBK"/>
          <w:sz w:val="32"/>
          <w:szCs w:val="32"/>
        </w:rPr>
        <w:t>全区“1356”总体部署要求，</w:t>
      </w:r>
      <w:r>
        <w:rPr>
          <w:rFonts w:hint="eastAsia" w:eastAsia="方正仿宋_GBK"/>
          <w:kern w:val="0"/>
          <w:sz w:val="32"/>
          <w:szCs w:val="32"/>
        </w:rPr>
        <w:t>抓好总体设计、做好谋篇布局，做到为全局助力、为大局添彩。</w:t>
      </w:r>
    </w:p>
    <w:p w14:paraId="548D2EF6">
      <w:pPr>
        <w:spacing w:line="600" w:lineRule="exact"/>
        <w:ind w:firstLine="640" w:firstLineChars="200"/>
        <w:rPr>
          <w:rFonts w:hint="eastAsia" w:eastAsia="方正仿宋_GBK"/>
          <w:kern w:val="0"/>
          <w:sz w:val="32"/>
          <w:szCs w:val="32"/>
        </w:rPr>
      </w:pPr>
      <w:r>
        <w:rPr>
          <w:rFonts w:hint="eastAsia" w:eastAsia="方正仿宋_GBK"/>
          <w:kern w:val="0"/>
          <w:sz w:val="32"/>
          <w:szCs w:val="32"/>
        </w:rPr>
        <w:t>坚持以人民为中心。坚持人民主体地位，坚持共同富裕方向，突出为民惠民导向，切实在广大群众普遍关注、反映强烈、反复出现的问题上出实招、用实功、求实效，多解决群众“急难愁盼”的事情，着力满足人民日益增长的精神文化生活需求，不断增进民生福祉。</w:t>
      </w:r>
    </w:p>
    <w:p w14:paraId="423BF9B3">
      <w:pPr>
        <w:spacing w:line="600" w:lineRule="exact"/>
        <w:ind w:firstLine="640" w:firstLineChars="200"/>
        <w:rPr>
          <w:rFonts w:hint="eastAsia" w:eastAsia="方正仿宋_GBK"/>
          <w:kern w:val="0"/>
          <w:sz w:val="32"/>
          <w:szCs w:val="32"/>
        </w:rPr>
      </w:pPr>
      <w:r>
        <w:rPr>
          <w:rFonts w:hint="eastAsia" w:eastAsia="方正仿宋_GBK"/>
          <w:kern w:val="0"/>
          <w:sz w:val="32"/>
          <w:szCs w:val="32"/>
        </w:rPr>
        <w:t>坚持系统观念。加强前瞻性思考、全局性谋划、战略性布局、整体性推进，既要在战略上布好局、在关键处落好子，又要调动好积极性、培育好吸引力，着力在固根基、扬优势、补短板、强弱项上下功夫，努力推动社会主义精神文明与物质文明全面协调发展。</w:t>
      </w:r>
    </w:p>
    <w:p w14:paraId="0BA1CB92">
      <w:pPr>
        <w:spacing w:line="600" w:lineRule="exact"/>
        <w:ind w:firstLine="640" w:firstLineChars="200"/>
        <w:rPr>
          <w:rFonts w:hint="eastAsia" w:eastAsia="方正仿宋_GBK"/>
          <w:kern w:val="0"/>
          <w:sz w:val="32"/>
          <w:szCs w:val="32"/>
        </w:rPr>
      </w:pPr>
      <w:r>
        <w:rPr>
          <w:rFonts w:hint="eastAsia" w:eastAsia="方正仿宋_GBK"/>
          <w:kern w:val="0"/>
          <w:sz w:val="32"/>
          <w:szCs w:val="32"/>
        </w:rPr>
        <w:t>坚持守正创新。深刻把握精神文明建设面临的机遇和挑战，坚持问题导向、目标导向和结果导向，主动向基层学习、向群众学习、向实践学习，以敏锐的感知力、洞察力创新内容和载体，改进方式和方法，力争跟上时代、适应变化，使精神文明建设永葆生机活力。</w:t>
      </w:r>
    </w:p>
    <w:p w14:paraId="3439E567">
      <w:pPr>
        <w:spacing w:line="600" w:lineRule="exact"/>
        <w:ind w:firstLine="640" w:firstLineChars="200"/>
        <w:rPr>
          <w:rFonts w:hint="eastAsia" w:eastAsia="方正仿宋_GBK"/>
          <w:kern w:val="0"/>
          <w:sz w:val="32"/>
          <w:szCs w:val="32"/>
        </w:rPr>
      </w:pPr>
      <w:r>
        <w:rPr>
          <w:rFonts w:hint="eastAsia" w:eastAsia="方正仿宋_GBK"/>
          <w:kern w:val="0"/>
          <w:sz w:val="32"/>
          <w:szCs w:val="32"/>
        </w:rPr>
        <w:t>坚持久久为功。注重日常、经常、平常，力求精准、精细、精致，坚持重在建设、以立为本，扭住一个个具体问题，发扬钉钉子精神，下足“绣花”功夫，锲而不舍、一抓到底，坚决反对形式主义、官僚主义，推动精神文明建设取得看得见、摸得着的实效。</w:t>
      </w:r>
    </w:p>
    <w:p w14:paraId="030E64E0">
      <w:pPr>
        <w:adjustRightInd w:val="0"/>
        <w:snapToGrid w:val="0"/>
        <w:spacing w:line="600" w:lineRule="exact"/>
        <w:jc w:val="center"/>
        <w:rPr>
          <w:rFonts w:eastAsia="方正楷体_GBK"/>
          <w:sz w:val="32"/>
          <w:szCs w:val="32"/>
        </w:rPr>
      </w:pPr>
      <w:r>
        <w:rPr>
          <w:rFonts w:hint="eastAsia" w:eastAsia="方正楷体_GBK"/>
          <w:sz w:val="32"/>
          <w:szCs w:val="32"/>
        </w:rPr>
        <w:t xml:space="preserve">第五节 </w:t>
      </w:r>
      <w:r>
        <w:rPr>
          <w:rFonts w:eastAsia="方正楷体_GBK"/>
          <w:sz w:val="32"/>
          <w:szCs w:val="32"/>
        </w:rPr>
        <w:t xml:space="preserve"> </w:t>
      </w:r>
      <w:r>
        <w:rPr>
          <w:rFonts w:hint="eastAsia" w:eastAsia="方正楷体_GBK"/>
          <w:sz w:val="32"/>
          <w:szCs w:val="32"/>
        </w:rPr>
        <w:t>“十四五”时期全区精神文明建设主要目标</w:t>
      </w:r>
    </w:p>
    <w:p w14:paraId="432B94DD">
      <w:pPr>
        <w:shd w:val="clear" w:color="auto" w:fill="FFFFFF"/>
        <w:adjustRightInd w:val="0"/>
        <w:snapToGrid w:val="0"/>
        <w:spacing w:line="600" w:lineRule="exact"/>
        <w:ind w:firstLine="627" w:firstLineChars="196"/>
        <w:rPr>
          <w:rFonts w:hint="eastAsia" w:eastAsia="方正仿宋_GBK"/>
          <w:sz w:val="32"/>
          <w:szCs w:val="32"/>
        </w:rPr>
      </w:pPr>
      <w:r>
        <w:rPr>
          <w:rFonts w:hint="eastAsia" w:eastAsia="方正仿宋_GBK"/>
          <w:sz w:val="32"/>
          <w:szCs w:val="32"/>
        </w:rPr>
        <w:t>落实“两个巩固”根本任务取得新成效。习近平新时代中国特色社会主义思想学习教育深入开展，理论宣讲到达率、吸引力明显提升，理论宣传阵地建设扎实推进，理论研究阐释力度不断加强，全区干部群众自觉凝聚在新时代伟大思想旗帜下，奋进新征程的思想根基进一步筑牢。</w:t>
      </w:r>
    </w:p>
    <w:p w14:paraId="64BCC767">
      <w:pPr>
        <w:shd w:val="clear" w:color="auto" w:fill="FFFFFF"/>
        <w:adjustRightInd w:val="0"/>
        <w:snapToGrid w:val="0"/>
        <w:spacing w:line="600" w:lineRule="exact"/>
        <w:ind w:firstLine="627" w:firstLineChars="196"/>
        <w:rPr>
          <w:rFonts w:hint="eastAsia" w:eastAsia="方正仿宋_GBK"/>
          <w:sz w:val="32"/>
          <w:szCs w:val="32"/>
        </w:rPr>
      </w:pPr>
      <w:r>
        <w:rPr>
          <w:rFonts w:hint="eastAsia" w:eastAsia="方正仿宋_GBK"/>
          <w:sz w:val="32"/>
          <w:szCs w:val="32"/>
        </w:rPr>
        <w:t>弘扬社会主义核心价值观迈出新步伐。理想信念教育常态化开展，爱国主义、集体主义、社会主义思想广泛弘扬，党和人民在各个历史时期奋斗中形成的伟大精神大力传承，公民道德建设、志愿服务建设、诚信建设全面加强，社会主义核心价值观融入法治建设和社会治理有序推进，群众践行社会主义核心价值观的思想自觉和行动自觉进一步增强。</w:t>
      </w:r>
    </w:p>
    <w:p w14:paraId="64C60AFA">
      <w:pPr>
        <w:shd w:val="clear" w:color="auto" w:fill="FFFFFF"/>
        <w:adjustRightInd w:val="0"/>
        <w:snapToGrid w:val="0"/>
        <w:spacing w:line="600" w:lineRule="exact"/>
        <w:ind w:firstLine="627" w:firstLineChars="196"/>
        <w:rPr>
          <w:rFonts w:hint="eastAsia" w:eastAsia="方正仿宋_GBK"/>
          <w:sz w:val="32"/>
          <w:szCs w:val="32"/>
        </w:rPr>
      </w:pPr>
      <w:r>
        <w:rPr>
          <w:rFonts w:hint="eastAsia" w:eastAsia="方正仿宋_GBK"/>
          <w:sz w:val="32"/>
          <w:szCs w:val="32"/>
        </w:rPr>
        <w:t>群众性精神文明创建实现新突破。文明创建工程深入实施，为民惠民导向更加鲜明，测评体系和评选办法不断完善，动态管理得到强化，精神文明创建成果进一步夯实，精神文明创建覆盖面和影响力不断提升，群众获得感成色更足、幸福感更可持续、安全感更有保障。</w:t>
      </w:r>
    </w:p>
    <w:p w14:paraId="1C171E41">
      <w:pPr>
        <w:shd w:val="clear" w:color="auto" w:fill="FFFFFF"/>
        <w:adjustRightInd w:val="0"/>
        <w:snapToGrid w:val="0"/>
        <w:spacing w:line="600" w:lineRule="exact"/>
        <w:ind w:firstLine="627" w:firstLineChars="196"/>
        <w:rPr>
          <w:rFonts w:hint="eastAsia" w:eastAsia="方正仿宋_GBK"/>
          <w:sz w:val="32"/>
          <w:szCs w:val="32"/>
        </w:rPr>
      </w:pPr>
      <w:r>
        <w:rPr>
          <w:rFonts w:hint="eastAsia" w:eastAsia="方正仿宋_GBK"/>
          <w:sz w:val="32"/>
          <w:szCs w:val="32"/>
        </w:rPr>
        <w:t>文明风尚培育开创新局面。“说得文明”蔚然成风，“吃得文明”深入人心，“住得文明”不断深化，“行得文明”持续强化，“游得文明”落地生根，“乐得文明”大力推广，“购得文明”广泛普及，“上网文明”扎实推进，文明风尚系统培育，“文明潼南”全面唱响。</w:t>
      </w:r>
    </w:p>
    <w:p w14:paraId="3DE8A19D">
      <w:pPr>
        <w:shd w:val="clear" w:color="auto" w:fill="FFFFFF"/>
        <w:adjustRightInd w:val="0"/>
        <w:snapToGrid w:val="0"/>
        <w:spacing w:line="600" w:lineRule="exact"/>
        <w:ind w:firstLine="627" w:firstLineChars="196"/>
        <w:rPr>
          <w:rFonts w:hint="eastAsia" w:eastAsia="方正仿宋_GBK"/>
          <w:sz w:val="32"/>
          <w:szCs w:val="32"/>
        </w:rPr>
      </w:pPr>
      <w:r>
        <w:rPr>
          <w:rFonts w:hint="eastAsia" w:eastAsia="方正仿宋_GBK"/>
          <w:sz w:val="32"/>
          <w:szCs w:val="32"/>
        </w:rPr>
        <w:t>市民科学文化素质和身心健康素质达到新水平。科普活动广泛开展，优秀文艺作品不断涌现，公共文化服务体系更加健全，文化产品供给质量明显提高，群众精神文化生活日益丰富，全民阅读活动持续深化，全民健身战略深入实施，健康知识大力普及，促进人的全面发展更加有力。</w:t>
      </w:r>
    </w:p>
    <w:p w14:paraId="66DD39FB">
      <w:pPr>
        <w:shd w:val="clear" w:color="auto" w:fill="FFFFFF"/>
        <w:adjustRightInd w:val="0"/>
        <w:snapToGrid w:val="0"/>
        <w:spacing w:line="600" w:lineRule="exact"/>
        <w:ind w:firstLine="627" w:firstLineChars="196"/>
        <w:rPr>
          <w:rFonts w:eastAsia="方正仿宋_GBK"/>
          <w:sz w:val="32"/>
          <w:szCs w:val="32"/>
        </w:rPr>
      </w:pPr>
      <w:r>
        <w:rPr>
          <w:rFonts w:hint="eastAsia" w:eastAsia="方正仿宋_GBK"/>
          <w:sz w:val="32"/>
          <w:szCs w:val="32"/>
        </w:rPr>
        <w:t>工作科学化制度化规范化水平得到新提升。党委统一领导、党政齐抓共管、文明委组织协调、有关部门各负其责、全社会积极参与的领导体制和工作机制更加完善，齐抓共管格局进一步强化，法治保障坚强有力，形式载体不断丰富，方法手段精准管用，精神文明建设的针对性有效性和吸引力感染力明显增强。</w:t>
      </w:r>
    </w:p>
    <w:p w14:paraId="7CF16C8A">
      <w:pPr>
        <w:shd w:val="clear" w:color="auto" w:fill="FFFFFF"/>
        <w:adjustRightInd w:val="0"/>
        <w:snapToGrid w:val="0"/>
        <w:spacing w:line="600" w:lineRule="exact"/>
        <w:jc w:val="center"/>
        <w:rPr>
          <w:rFonts w:hint="eastAsia" w:eastAsia="方正黑体_GBK"/>
          <w:sz w:val="32"/>
          <w:szCs w:val="32"/>
        </w:rPr>
      </w:pPr>
    </w:p>
    <w:p w14:paraId="7FDB9B5E">
      <w:pPr>
        <w:shd w:val="clear" w:color="auto" w:fill="FFFFFF"/>
        <w:adjustRightInd w:val="0"/>
        <w:snapToGrid w:val="0"/>
        <w:spacing w:line="600" w:lineRule="exact"/>
        <w:jc w:val="center"/>
        <w:rPr>
          <w:rFonts w:hint="eastAsia" w:eastAsia="方正黑体_GBK"/>
          <w:sz w:val="32"/>
          <w:szCs w:val="32"/>
        </w:rPr>
      </w:pPr>
      <w:r>
        <w:rPr>
          <w:rFonts w:hint="eastAsia" w:eastAsia="方正黑体_GBK"/>
          <w:sz w:val="32"/>
          <w:szCs w:val="32"/>
        </w:rPr>
        <w:t>专栏1  “十四五”精神文明建设主要预期指标</w:t>
      </w:r>
    </w:p>
    <w:tbl>
      <w:tblPr>
        <w:tblStyle w:val="6"/>
        <w:tblW w:w="0" w:type="auto"/>
        <w:jc w:val="center"/>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Layout w:type="fixed"/>
        <w:tblCellMar>
          <w:top w:w="0" w:type="dxa"/>
          <w:left w:w="108" w:type="dxa"/>
          <w:bottom w:w="0" w:type="dxa"/>
          <w:right w:w="108" w:type="dxa"/>
        </w:tblCellMar>
      </w:tblPr>
      <w:tblGrid>
        <w:gridCol w:w="715"/>
        <w:gridCol w:w="6091"/>
        <w:gridCol w:w="979"/>
        <w:gridCol w:w="980"/>
      </w:tblGrid>
      <w:tr w14:paraId="182E9965">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819" w:hRule="atLeast"/>
          <w:tblHeader/>
          <w:jc w:val="center"/>
        </w:trPr>
        <w:tc>
          <w:tcPr>
            <w:tcW w:w="715" w:type="dxa"/>
            <w:noWrap w:val="0"/>
            <w:tcMar>
              <w:left w:w="57" w:type="dxa"/>
              <w:right w:w="57" w:type="dxa"/>
            </w:tcMar>
            <w:vAlign w:val="center"/>
          </w:tcPr>
          <w:p w14:paraId="5AF7AF68">
            <w:pPr>
              <w:spacing w:line="500" w:lineRule="exact"/>
              <w:jc w:val="center"/>
              <w:rPr>
                <w:rFonts w:hint="eastAsia" w:eastAsia="方正黑体_GBK"/>
                <w:sz w:val="24"/>
              </w:rPr>
            </w:pPr>
            <w:r>
              <w:rPr>
                <w:rFonts w:hint="eastAsia" w:eastAsia="方正黑体_GBK"/>
                <w:sz w:val="24"/>
              </w:rPr>
              <w:t>序号</w:t>
            </w:r>
          </w:p>
        </w:tc>
        <w:tc>
          <w:tcPr>
            <w:tcW w:w="6091" w:type="dxa"/>
            <w:noWrap w:val="0"/>
            <w:tcMar>
              <w:left w:w="57" w:type="dxa"/>
              <w:right w:w="57" w:type="dxa"/>
            </w:tcMar>
            <w:vAlign w:val="center"/>
          </w:tcPr>
          <w:p w14:paraId="43F978E2">
            <w:pPr>
              <w:spacing w:line="500" w:lineRule="exact"/>
              <w:jc w:val="center"/>
              <w:rPr>
                <w:rFonts w:hint="eastAsia" w:eastAsia="方正黑体_GBK"/>
                <w:sz w:val="24"/>
              </w:rPr>
            </w:pPr>
            <w:r>
              <w:rPr>
                <w:rFonts w:hint="eastAsia" w:eastAsia="方正黑体_GBK"/>
                <w:sz w:val="24"/>
              </w:rPr>
              <w:t>指    标    名    称</w:t>
            </w:r>
          </w:p>
        </w:tc>
        <w:tc>
          <w:tcPr>
            <w:tcW w:w="979" w:type="dxa"/>
            <w:noWrap w:val="0"/>
            <w:tcMar>
              <w:left w:w="57" w:type="dxa"/>
              <w:right w:w="57" w:type="dxa"/>
            </w:tcMar>
            <w:vAlign w:val="center"/>
          </w:tcPr>
          <w:p w14:paraId="7E6528CD">
            <w:pPr>
              <w:spacing w:line="500" w:lineRule="exact"/>
              <w:jc w:val="center"/>
              <w:rPr>
                <w:rFonts w:hint="eastAsia" w:eastAsia="方正黑体_GBK"/>
                <w:sz w:val="24"/>
              </w:rPr>
            </w:pPr>
            <w:r>
              <w:rPr>
                <w:rFonts w:hint="eastAsia" w:eastAsia="方正黑体_GBK"/>
                <w:sz w:val="24"/>
              </w:rPr>
              <w:t>2020年</w:t>
            </w:r>
          </w:p>
        </w:tc>
        <w:tc>
          <w:tcPr>
            <w:tcW w:w="980" w:type="dxa"/>
            <w:noWrap w:val="0"/>
            <w:tcMar>
              <w:left w:w="57" w:type="dxa"/>
              <w:right w:w="57" w:type="dxa"/>
            </w:tcMar>
            <w:vAlign w:val="center"/>
          </w:tcPr>
          <w:p w14:paraId="548FA274">
            <w:pPr>
              <w:spacing w:line="500" w:lineRule="exact"/>
              <w:jc w:val="center"/>
              <w:rPr>
                <w:rFonts w:hint="eastAsia" w:eastAsia="方正黑体_GBK"/>
                <w:sz w:val="24"/>
              </w:rPr>
            </w:pPr>
            <w:r>
              <w:rPr>
                <w:rFonts w:hint="eastAsia" w:eastAsia="方正黑体_GBK"/>
                <w:sz w:val="24"/>
              </w:rPr>
              <w:t>2025年</w:t>
            </w:r>
          </w:p>
        </w:tc>
      </w:tr>
      <w:tr w14:paraId="5B567597">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510" w:hRule="atLeast"/>
          <w:jc w:val="center"/>
        </w:trPr>
        <w:tc>
          <w:tcPr>
            <w:tcW w:w="715" w:type="dxa"/>
            <w:noWrap w:val="0"/>
            <w:tcMar>
              <w:left w:w="57" w:type="dxa"/>
              <w:right w:w="57" w:type="dxa"/>
            </w:tcMar>
            <w:vAlign w:val="center"/>
          </w:tcPr>
          <w:p w14:paraId="680D32EC">
            <w:pPr>
              <w:spacing w:line="500" w:lineRule="exact"/>
              <w:jc w:val="center"/>
              <w:rPr>
                <w:rFonts w:hint="eastAsia" w:eastAsia="方正书宋_GBK"/>
                <w:sz w:val="24"/>
              </w:rPr>
            </w:pPr>
            <w:r>
              <w:rPr>
                <w:rFonts w:hint="eastAsia" w:eastAsia="方正书宋_GBK"/>
                <w:sz w:val="24"/>
              </w:rPr>
              <w:t>1</w:t>
            </w:r>
          </w:p>
        </w:tc>
        <w:tc>
          <w:tcPr>
            <w:tcW w:w="6091" w:type="dxa"/>
            <w:noWrap w:val="0"/>
            <w:tcMar>
              <w:left w:w="57" w:type="dxa"/>
              <w:right w:w="57" w:type="dxa"/>
            </w:tcMar>
            <w:vAlign w:val="center"/>
          </w:tcPr>
          <w:p w14:paraId="55A2349D">
            <w:pPr>
              <w:spacing w:line="500" w:lineRule="exact"/>
              <w:rPr>
                <w:rFonts w:hint="eastAsia" w:eastAsia="方正书宋_GBK"/>
                <w:sz w:val="24"/>
              </w:rPr>
            </w:pPr>
            <w:r>
              <w:rPr>
                <w:rFonts w:hint="eastAsia" w:eastAsia="方正书宋_GBK"/>
                <w:sz w:val="24"/>
              </w:rPr>
              <w:t>新时代文明实践中心、所、站建设覆盖率（%）</w:t>
            </w:r>
          </w:p>
        </w:tc>
        <w:tc>
          <w:tcPr>
            <w:tcW w:w="979" w:type="dxa"/>
            <w:noWrap w:val="0"/>
            <w:tcMar>
              <w:left w:w="57" w:type="dxa"/>
              <w:right w:w="57" w:type="dxa"/>
            </w:tcMar>
            <w:vAlign w:val="center"/>
          </w:tcPr>
          <w:p w14:paraId="7232C26A">
            <w:pPr>
              <w:spacing w:line="500" w:lineRule="exact"/>
              <w:jc w:val="center"/>
              <w:rPr>
                <w:rFonts w:hint="eastAsia" w:eastAsia="方正书宋_GBK"/>
                <w:sz w:val="24"/>
              </w:rPr>
            </w:pPr>
            <w:r>
              <w:rPr>
                <w:rFonts w:hint="eastAsia" w:eastAsia="方正书宋_GBK"/>
                <w:sz w:val="24"/>
              </w:rPr>
              <w:t>—</w:t>
            </w:r>
          </w:p>
        </w:tc>
        <w:tc>
          <w:tcPr>
            <w:tcW w:w="980" w:type="dxa"/>
            <w:noWrap w:val="0"/>
            <w:tcMar>
              <w:left w:w="57" w:type="dxa"/>
              <w:right w:w="57" w:type="dxa"/>
            </w:tcMar>
            <w:vAlign w:val="center"/>
          </w:tcPr>
          <w:p w14:paraId="4ECF09B2">
            <w:pPr>
              <w:spacing w:line="500" w:lineRule="exact"/>
              <w:jc w:val="center"/>
              <w:rPr>
                <w:rFonts w:hint="eastAsia" w:eastAsia="方正书宋_GBK"/>
                <w:sz w:val="24"/>
              </w:rPr>
            </w:pPr>
            <w:r>
              <w:rPr>
                <w:rFonts w:hint="eastAsia" w:eastAsia="方正书宋_GBK"/>
                <w:sz w:val="24"/>
              </w:rPr>
              <w:t>1</w:t>
            </w:r>
            <w:r>
              <w:rPr>
                <w:rFonts w:eastAsia="方正书宋_GBK"/>
                <w:sz w:val="24"/>
              </w:rPr>
              <w:t>00</w:t>
            </w:r>
          </w:p>
        </w:tc>
      </w:tr>
      <w:tr w14:paraId="68EA5C18">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510" w:hRule="atLeast"/>
          <w:jc w:val="center"/>
        </w:trPr>
        <w:tc>
          <w:tcPr>
            <w:tcW w:w="715" w:type="dxa"/>
            <w:noWrap w:val="0"/>
            <w:tcMar>
              <w:left w:w="57" w:type="dxa"/>
              <w:right w:w="57" w:type="dxa"/>
            </w:tcMar>
            <w:vAlign w:val="center"/>
          </w:tcPr>
          <w:p w14:paraId="5862F333">
            <w:pPr>
              <w:spacing w:line="500" w:lineRule="exact"/>
              <w:jc w:val="center"/>
              <w:rPr>
                <w:rFonts w:hint="eastAsia" w:eastAsia="方正书宋_GBK"/>
                <w:sz w:val="24"/>
              </w:rPr>
            </w:pPr>
            <w:r>
              <w:rPr>
                <w:rFonts w:hint="eastAsia" w:eastAsia="方正书宋_GBK"/>
                <w:sz w:val="24"/>
              </w:rPr>
              <w:t>2</w:t>
            </w:r>
          </w:p>
        </w:tc>
        <w:tc>
          <w:tcPr>
            <w:tcW w:w="6091" w:type="dxa"/>
            <w:noWrap w:val="0"/>
            <w:tcMar>
              <w:left w:w="57" w:type="dxa"/>
              <w:right w:w="57" w:type="dxa"/>
            </w:tcMar>
            <w:vAlign w:val="center"/>
          </w:tcPr>
          <w:p w14:paraId="5EAC909C">
            <w:pPr>
              <w:spacing w:line="500" w:lineRule="exact"/>
              <w:rPr>
                <w:rFonts w:hint="eastAsia" w:eastAsia="方正书宋_GBK"/>
                <w:sz w:val="24"/>
              </w:rPr>
            </w:pPr>
            <w:r>
              <w:rPr>
                <w:rFonts w:hint="eastAsia" w:eastAsia="方正书宋_GBK"/>
                <w:sz w:val="24"/>
              </w:rPr>
              <w:t>各镇街在职党员文明实践参与率（%）</w:t>
            </w:r>
          </w:p>
        </w:tc>
        <w:tc>
          <w:tcPr>
            <w:tcW w:w="979" w:type="dxa"/>
            <w:noWrap w:val="0"/>
            <w:tcMar>
              <w:left w:w="57" w:type="dxa"/>
              <w:right w:w="57" w:type="dxa"/>
            </w:tcMar>
            <w:vAlign w:val="center"/>
          </w:tcPr>
          <w:p w14:paraId="515365B7">
            <w:pPr>
              <w:spacing w:line="500" w:lineRule="exact"/>
              <w:jc w:val="center"/>
              <w:rPr>
                <w:rFonts w:hint="eastAsia" w:eastAsia="方正书宋_GBK"/>
                <w:sz w:val="24"/>
              </w:rPr>
            </w:pPr>
            <w:r>
              <w:rPr>
                <w:rFonts w:hint="eastAsia" w:eastAsia="方正书宋_GBK"/>
                <w:sz w:val="24"/>
              </w:rPr>
              <w:t>—</w:t>
            </w:r>
          </w:p>
        </w:tc>
        <w:tc>
          <w:tcPr>
            <w:tcW w:w="980" w:type="dxa"/>
            <w:noWrap w:val="0"/>
            <w:tcMar>
              <w:left w:w="57" w:type="dxa"/>
              <w:right w:w="57" w:type="dxa"/>
            </w:tcMar>
            <w:vAlign w:val="center"/>
          </w:tcPr>
          <w:p w14:paraId="06D8775B">
            <w:pPr>
              <w:spacing w:line="500" w:lineRule="exact"/>
              <w:jc w:val="center"/>
              <w:rPr>
                <w:rFonts w:hint="eastAsia" w:eastAsia="方正书宋_GBK"/>
                <w:sz w:val="24"/>
              </w:rPr>
            </w:pPr>
            <w:r>
              <w:rPr>
                <w:rFonts w:hint="eastAsia" w:eastAsia="方正书宋_GBK"/>
                <w:sz w:val="24"/>
              </w:rPr>
              <w:t>9</w:t>
            </w:r>
            <w:r>
              <w:rPr>
                <w:rFonts w:eastAsia="方正书宋_GBK"/>
                <w:sz w:val="24"/>
              </w:rPr>
              <w:t>0</w:t>
            </w:r>
          </w:p>
        </w:tc>
      </w:tr>
      <w:tr w14:paraId="58ACA0F5">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510" w:hRule="atLeast"/>
          <w:jc w:val="center"/>
        </w:trPr>
        <w:tc>
          <w:tcPr>
            <w:tcW w:w="715" w:type="dxa"/>
            <w:noWrap w:val="0"/>
            <w:tcMar>
              <w:left w:w="57" w:type="dxa"/>
              <w:right w:w="57" w:type="dxa"/>
            </w:tcMar>
            <w:vAlign w:val="center"/>
          </w:tcPr>
          <w:p w14:paraId="54129E5C">
            <w:pPr>
              <w:spacing w:line="500" w:lineRule="exact"/>
              <w:jc w:val="center"/>
              <w:rPr>
                <w:rFonts w:hint="eastAsia" w:eastAsia="方正书宋_GBK"/>
                <w:sz w:val="24"/>
              </w:rPr>
            </w:pPr>
            <w:r>
              <w:rPr>
                <w:rFonts w:hint="eastAsia" w:eastAsia="方正书宋_GBK"/>
                <w:sz w:val="24"/>
              </w:rPr>
              <w:t>3</w:t>
            </w:r>
          </w:p>
        </w:tc>
        <w:tc>
          <w:tcPr>
            <w:tcW w:w="6091" w:type="dxa"/>
            <w:noWrap w:val="0"/>
            <w:tcMar>
              <w:left w:w="57" w:type="dxa"/>
              <w:right w:w="57" w:type="dxa"/>
            </w:tcMar>
            <w:vAlign w:val="center"/>
          </w:tcPr>
          <w:p w14:paraId="5803DDA1">
            <w:pPr>
              <w:spacing w:line="500" w:lineRule="exact"/>
              <w:rPr>
                <w:rFonts w:hint="eastAsia" w:eastAsia="方正书宋_GBK"/>
                <w:sz w:val="24"/>
              </w:rPr>
            </w:pPr>
            <w:r>
              <w:rPr>
                <w:rFonts w:hint="eastAsia" w:eastAsia="方正书宋_GBK"/>
                <w:sz w:val="24"/>
              </w:rPr>
              <w:t>村（社区）常住人口文明实践参与率（%）</w:t>
            </w:r>
          </w:p>
        </w:tc>
        <w:tc>
          <w:tcPr>
            <w:tcW w:w="979" w:type="dxa"/>
            <w:noWrap w:val="0"/>
            <w:tcMar>
              <w:left w:w="57" w:type="dxa"/>
              <w:right w:w="57" w:type="dxa"/>
            </w:tcMar>
            <w:vAlign w:val="center"/>
          </w:tcPr>
          <w:p w14:paraId="478D4119">
            <w:pPr>
              <w:spacing w:line="500" w:lineRule="exact"/>
              <w:jc w:val="center"/>
              <w:rPr>
                <w:rFonts w:hint="eastAsia" w:eastAsia="方正书宋_GBK"/>
                <w:sz w:val="24"/>
              </w:rPr>
            </w:pPr>
            <w:r>
              <w:rPr>
                <w:rFonts w:hint="eastAsia" w:eastAsia="方正书宋_GBK"/>
                <w:sz w:val="24"/>
              </w:rPr>
              <w:t>—</w:t>
            </w:r>
          </w:p>
        </w:tc>
        <w:tc>
          <w:tcPr>
            <w:tcW w:w="980" w:type="dxa"/>
            <w:noWrap w:val="0"/>
            <w:tcMar>
              <w:left w:w="57" w:type="dxa"/>
              <w:right w:w="57" w:type="dxa"/>
            </w:tcMar>
            <w:vAlign w:val="center"/>
          </w:tcPr>
          <w:p w14:paraId="7CD0D58C">
            <w:pPr>
              <w:spacing w:line="500" w:lineRule="exact"/>
              <w:jc w:val="center"/>
              <w:rPr>
                <w:rFonts w:hint="eastAsia" w:eastAsia="方正书宋_GBK"/>
                <w:sz w:val="24"/>
              </w:rPr>
            </w:pPr>
            <w:r>
              <w:rPr>
                <w:rFonts w:hint="eastAsia" w:eastAsia="方正书宋_GBK"/>
                <w:sz w:val="24"/>
              </w:rPr>
              <w:t>8</w:t>
            </w:r>
            <w:r>
              <w:rPr>
                <w:rFonts w:eastAsia="方正书宋_GBK"/>
                <w:sz w:val="24"/>
              </w:rPr>
              <w:t>0</w:t>
            </w:r>
          </w:p>
        </w:tc>
      </w:tr>
      <w:tr w14:paraId="129D99F7">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510" w:hRule="atLeast"/>
          <w:jc w:val="center"/>
        </w:trPr>
        <w:tc>
          <w:tcPr>
            <w:tcW w:w="715" w:type="dxa"/>
            <w:noWrap w:val="0"/>
            <w:tcMar>
              <w:left w:w="57" w:type="dxa"/>
              <w:right w:w="57" w:type="dxa"/>
            </w:tcMar>
            <w:vAlign w:val="center"/>
          </w:tcPr>
          <w:p w14:paraId="07B7C55B">
            <w:pPr>
              <w:spacing w:line="500" w:lineRule="exact"/>
              <w:jc w:val="center"/>
              <w:rPr>
                <w:rFonts w:hint="eastAsia" w:eastAsia="方正书宋_GBK"/>
                <w:sz w:val="24"/>
              </w:rPr>
            </w:pPr>
            <w:r>
              <w:rPr>
                <w:rFonts w:hint="eastAsia" w:eastAsia="方正书宋_GBK"/>
                <w:sz w:val="24"/>
              </w:rPr>
              <w:t>4</w:t>
            </w:r>
          </w:p>
        </w:tc>
        <w:tc>
          <w:tcPr>
            <w:tcW w:w="6091" w:type="dxa"/>
            <w:noWrap w:val="0"/>
            <w:tcMar>
              <w:left w:w="57" w:type="dxa"/>
              <w:right w:w="57" w:type="dxa"/>
            </w:tcMar>
            <w:vAlign w:val="center"/>
          </w:tcPr>
          <w:p w14:paraId="4BA64C3A">
            <w:pPr>
              <w:spacing w:line="500" w:lineRule="exact"/>
              <w:rPr>
                <w:rFonts w:hint="eastAsia" w:eastAsia="方正书宋_GBK"/>
                <w:sz w:val="24"/>
              </w:rPr>
            </w:pPr>
            <w:r>
              <w:rPr>
                <w:rFonts w:hint="eastAsia" w:eastAsia="方正书宋_GBK"/>
                <w:sz w:val="24"/>
              </w:rPr>
              <w:t>“学习强国”重庆学习平台用户数量（万人）</w:t>
            </w:r>
          </w:p>
        </w:tc>
        <w:tc>
          <w:tcPr>
            <w:tcW w:w="979" w:type="dxa"/>
            <w:noWrap w:val="0"/>
            <w:tcMar>
              <w:left w:w="57" w:type="dxa"/>
              <w:right w:w="57" w:type="dxa"/>
            </w:tcMar>
            <w:vAlign w:val="center"/>
          </w:tcPr>
          <w:p w14:paraId="2A8EAE07">
            <w:pPr>
              <w:spacing w:line="500" w:lineRule="exact"/>
              <w:jc w:val="center"/>
              <w:rPr>
                <w:rFonts w:hint="eastAsia" w:eastAsia="方正书宋_GBK"/>
                <w:sz w:val="24"/>
              </w:rPr>
            </w:pPr>
            <w:r>
              <w:rPr>
                <w:rFonts w:hint="eastAsia" w:eastAsia="方正书宋_GBK"/>
                <w:sz w:val="24"/>
              </w:rPr>
              <w:t>4</w:t>
            </w:r>
            <w:r>
              <w:rPr>
                <w:rFonts w:eastAsia="方正书宋_GBK"/>
                <w:sz w:val="24"/>
              </w:rPr>
              <w:t>.6</w:t>
            </w:r>
          </w:p>
        </w:tc>
        <w:tc>
          <w:tcPr>
            <w:tcW w:w="980" w:type="dxa"/>
            <w:noWrap w:val="0"/>
            <w:tcMar>
              <w:left w:w="57" w:type="dxa"/>
              <w:right w:w="57" w:type="dxa"/>
            </w:tcMar>
            <w:vAlign w:val="center"/>
          </w:tcPr>
          <w:p w14:paraId="5F564C9D">
            <w:pPr>
              <w:spacing w:line="500" w:lineRule="exact"/>
              <w:jc w:val="center"/>
              <w:rPr>
                <w:rFonts w:hint="eastAsia" w:eastAsia="方正书宋_GBK"/>
                <w:sz w:val="24"/>
              </w:rPr>
            </w:pPr>
            <w:r>
              <w:rPr>
                <w:rFonts w:hint="eastAsia" w:eastAsia="方正书宋_GBK"/>
                <w:sz w:val="24"/>
              </w:rPr>
              <w:t>6</w:t>
            </w:r>
          </w:p>
        </w:tc>
      </w:tr>
      <w:tr w14:paraId="62A9B9BB">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510" w:hRule="atLeast"/>
          <w:jc w:val="center"/>
        </w:trPr>
        <w:tc>
          <w:tcPr>
            <w:tcW w:w="715" w:type="dxa"/>
            <w:noWrap w:val="0"/>
            <w:tcMar>
              <w:left w:w="57" w:type="dxa"/>
              <w:right w:w="57" w:type="dxa"/>
            </w:tcMar>
            <w:vAlign w:val="center"/>
          </w:tcPr>
          <w:p w14:paraId="709724B3">
            <w:pPr>
              <w:spacing w:line="500" w:lineRule="exact"/>
              <w:jc w:val="center"/>
              <w:rPr>
                <w:rFonts w:hint="eastAsia" w:eastAsia="方正书宋_GBK"/>
                <w:sz w:val="24"/>
              </w:rPr>
            </w:pPr>
            <w:r>
              <w:rPr>
                <w:rFonts w:hint="eastAsia" w:eastAsia="方正书宋_GBK"/>
                <w:sz w:val="24"/>
              </w:rPr>
              <w:t>5</w:t>
            </w:r>
          </w:p>
        </w:tc>
        <w:tc>
          <w:tcPr>
            <w:tcW w:w="6091" w:type="dxa"/>
            <w:noWrap w:val="0"/>
            <w:tcMar>
              <w:left w:w="57" w:type="dxa"/>
              <w:right w:w="57" w:type="dxa"/>
            </w:tcMar>
            <w:vAlign w:val="center"/>
          </w:tcPr>
          <w:p w14:paraId="51FC1E51">
            <w:pPr>
              <w:spacing w:line="500" w:lineRule="exact"/>
              <w:rPr>
                <w:rFonts w:hint="eastAsia" w:eastAsia="方正书宋_GBK"/>
                <w:sz w:val="24"/>
              </w:rPr>
            </w:pPr>
            <w:r>
              <w:rPr>
                <w:rFonts w:hint="eastAsia" w:eastAsia="方正书宋_GBK"/>
                <w:sz w:val="24"/>
              </w:rPr>
              <w:t>社会主义核心价值观主题公园数量（个）</w:t>
            </w:r>
          </w:p>
        </w:tc>
        <w:tc>
          <w:tcPr>
            <w:tcW w:w="979" w:type="dxa"/>
            <w:noWrap w:val="0"/>
            <w:tcMar>
              <w:left w:w="57" w:type="dxa"/>
              <w:right w:w="57" w:type="dxa"/>
            </w:tcMar>
            <w:vAlign w:val="center"/>
          </w:tcPr>
          <w:p w14:paraId="6F19741B">
            <w:pPr>
              <w:spacing w:line="500" w:lineRule="exact"/>
              <w:jc w:val="center"/>
              <w:rPr>
                <w:rFonts w:hint="eastAsia" w:eastAsia="方正书宋_GBK"/>
                <w:sz w:val="24"/>
              </w:rPr>
            </w:pPr>
            <w:r>
              <w:rPr>
                <w:rFonts w:hint="eastAsia" w:eastAsia="方正书宋_GBK"/>
                <w:sz w:val="24"/>
              </w:rPr>
              <w:t>—</w:t>
            </w:r>
          </w:p>
        </w:tc>
        <w:tc>
          <w:tcPr>
            <w:tcW w:w="980" w:type="dxa"/>
            <w:noWrap w:val="0"/>
            <w:tcMar>
              <w:left w:w="57" w:type="dxa"/>
              <w:right w:w="57" w:type="dxa"/>
            </w:tcMar>
            <w:vAlign w:val="center"/>
          </w:tcPr>
          <w:p w14:paraId="1041A54E">
            <w:pPr>
              <w:spacing w:line="500" w:lineRule="exact"/>
              <w:jc w:val="center"/>
              <w:rPr>
                <w:rFonts w:hint="eastAsia" w:eastAsia="方正书宋_GBK"/>
                <w:sz w:val="24"/>
              </w:rPr>
            </w:pPr>
            <w:r>
              <w:rPr>
                <w:rFonts w:hint="eastAsia" w:eastAsia="方正书宋_GBK"/>
                <w:sz w:val="24"/>
              </w:rPr>
              <w:t>3</w:t>
            </w:r>
          </w:p>
        </w:tc>
      </w:tr>
      <w:tr w14:paraId="3CB04697">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510" w:hRule="atLeast"/>
          <w:jc w:val="center"/>
        </w:trPr>
        <w:tc>
          <w:tcPr>
            <w:tcW w:w="715" w:type="dxa"/>
            <w:noWrap w:val="0"/>
            <w:tcMar>
              <w:left w:w="57" w:type="dxa"/>
              <w:right w:w="57" w:type="dxa"/>
            </w:tcMar>
            <w:vAlign w:val="center"/>
          </w:tcPr>
          <w:p w14:paraId="2B62DFB4">
            <w:pPr>
              <w:spacing w:line="500" w:lineRule="exact"/>
              <w:jc w:val="center"/>
              <w:rPr>
                <w:rFonts w:hint="eastAsia" w:eastAsia="方正书宋_GBK"/>
                <w:sz w:val="24"/>
              </w:rPr>
            </w:pPr>
            <w:r>
              <w:rPr>
                <w:rFonts w:hint="eastAsia" w:eastAsia="方正书宋_GBK"/>
                <w:sz w:val="24"/>
              </w:rPr>
              <w:t>6</w:t>
            </w:r>
          </w:p>
        </w:tc>
        <w:tc>
          <w:tcPr>
            <w:tcW w:w="6091" w:type="dxa"/>
            <w:noWrap w:val="0"/>
            <w:tcMar>
              <w:left w:w="57" w:type="dxa"/>
              <w:right w:w="57" w:type="dxa"/>
            </w:tcMar>
            <w:vAlign w:val="center"/>
          </w:tcPr>
          <w:p w14:paraId="6A9B4DC1">
            <w:pPr>
              <w:spacing w:line="500" w:lineRule="exact"/>
              <w:rPr>
                <w:rFonts w:hint="eastAsia" w:eastAsia="方正书宋_GBK"/>
                <w:sz w:val="24"/>
              </w:rPr>
            </w:pPr>
            <w:r>
              <w:rPr>
                <w:rFonts w:hint="eastAsia" w:eastAsia="方正书宋_GBK"/>
                <w:sz w:val="24"/>
              </w:rPr>
              <w:t>普通中小学生到爱国主义教育基地学习实践参与率（%）</w:t>
            </w:r>
          </w:p>
        </w:tc>
        <w:tc>
          <w:tcPr>
            <w:tcW w:w="979" w:type="dxa"/>
            <w:noWrap w:val="0"/>
            <w:tcMar>
              <w:left w:w="57" w:type="dxa"/>
              <w:right w:w="57" w:type="dxa"/>
            </w:tcMar>
            <w:vAlign w:val="center"/>
          </w:tcPr>
          <w:p w14:paraId="012E6243">
            <w:pPr>
              <w:spacing w:line="500" w:lineRule="exact"/>
              <w:jc w:val="center"/>
              <w:rPr>
                <w:rFonts w:hint="eastAsia" w:eastAsia="方正书宋_GBK"/>
                <w:sz w:val="24"/>
              </w:rPr>
            </w:pPr>
            <w:r>
              <w:rPr>
                <w:rFonts w:hint="eastAsia" w:eastAsia="方正书宋_GBK"/>
                <w:sz w:val="24"/>
              </w:rPr>
              <w:t>8</w:t>
            </w:r>
            <w:r>
              <w:rPr>
                <w:rFonts w:eastAsia="方正书宋_GBK"/>
                <w:sz w:val="24"/>
              </w:rPr>
              <w:t>0</w:t>
            </w:r>
          </w:p>
        </w:tc>
        <w:tc>
          <w:tcPr>
            <w:tcW w:w="980" w:type="dxa"/>
            <w:noWrap w:val="0"/>
            <w:tcMar>
              <w:left w:w="57" w:type="dxa"/>
              <w:right w:w="57" w:type="dxa"/>
            </w:tcMar>
            <w:vAlign w:val="center"/>
          </w:tcPr>
          <w:p w14:paraId="2A3A4E19">
            <w:pPr>
              <w:spacing w:line="500" w:lineRule="exact"/>
              <w:jc w:val="center"/>
              <w:rPr>
                <w:rFonts w:hint="eastAsia" w:eastAsia="方正书宋_GBK"/>
                <w:sz w:val="24"/>
              </w:rPr>
            </w:pPr>
            <w:r>
              <w:rPr>
                <w:rFonts w:hint="eastAsia" w:eastAsia="方正书宋_GBK"/>
                <w:sz w:val="24"/>
              </w:rPr>
              <w:t>1</w:t>
            </w:r>
            <w:r>
              <w:rPr>
                <w:rFonts w:eastAsia="方正书宋_GBK"/>
                <w:sz w:val="24"/>
              </w:rPr>
              <w:t>00</w:t>
            </w:r>
          </w:p>
        </w:tc>
      </w:tr>
      <w:tr w14:paraId="75AAF4E9">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510" w:hRule="atLeast"/>
          <w:jc w:val="center"/>
        </w:trPr>
        <w:tc>
          <w:tcPr>
            <w:tcW w:w="715" w:type="dxa"/>
            <w:noWrap w:val="0"/>
            <w:tcMar>
              <w:left w:w="57" w:type="dxa"/>
              <w:right w:w="57" w:type="dxa"/>
            </w:tcMar>
            <w:vAlign w:val="center"/>
          </w:tcPr>
          <w:p w14:paraId="72D2BB92">
            <w:pPr>
              <w:spacing w:line="500" w:lineRule="exact"/>
              <w:jc w:val="center"/>
              <w:rPr>
                <w:rFonts w:hint="eastAsia" w:eastAsia="方正书宋_GBK"/>
                <w:sz w:val="24"/>
              </w:rPr>
            </w:pPr>
            <w:r>
              <w:rPr>
                <w:rFonts w:hint="eastAsia" w:eastAsia="方正书宋_GBK"/>
                <w:sz w:val="24"/>
              </w:rPr>
              <w:t>7</w:t>
            </w:r>
          </w:p>
        </w:tc>
        <w:tc>
          <w:tcPr>
            <w:tcW w:w="6091" w:type="dxa"/>
            <w:noWrap w:val="0"/>
            <w:tcMar>
              <w:left w:w="57" w:type="dxa"/>
              <w:right w:w="57" w:type="dxa"/>
            </w:tcMar>
            <w:vAlign w:val="center"/>
          </w:tcPr>
          <w:p w14:paraId="515AB7B6">
            <w:pPr>
              <w:spacing w:line="500" w:lineRule="exact"/>
              <w:rPr>
                <w:rFonts w:hint="eastAsia" w:eastAsia="方正书宋_GBK"/>
                <w:sz w:val="24"/>
              </w:rPr>
            </w:pPr>
            <w:r>
              <w:rPr>
                <w:rFonts w:hint="eastAsia" w:eastAsia="方正书宋_GBK"/>
                <w:sz w:val="24"/>
              </w:rPr>
              <w:t>注册志愿者人数占常住人口总数比例（%）</w:t>
            </w:r>
          </w:p>
        </w:tc>
        <w:tc>
          <w:tcPr>
            <w:tcW w:w="979" w:type="dxa"/>
            <w:noWrap w:val="0"/>
            <w:tcMar>
              <w:left w:w="57" w:type="dxa"/>
              <w:right w:w="57" w:type="dxa"/>
            </w:tcMar>
            <w:vAlign w:val="center"/>
          </w:tcPr>
          <w:p w14:paraId="7F604C0D">
            <w:pPr>
              <w:spacing w:line="500" w:lineRule="exact"/>
              <w:jc w:val="center"/>
              <w:rPr>
                <w:rFonts w:hint="eastAsia" w:eastAsia="方正书宋_GBK"/>
                <w:sz w:val="24"/>
              </w:rPr>
            </w:pPr>
            <w:r>
              <w:rPr>
                <w:rFonts w:hint="eastAsia" w:eastAsia="方正书宋_GBK"/>
                <w:sz w:val="24"/>
              </w:rPr>
              <w:t>2</w:t>
            </w:r>
            <w:r>
              <w:rPr>
                <w:rFonts w:eastAsia="方正书宋_GBK"/>
                <w:sz w:val="24"/>
              </w:rPr>
              <w:t>4.6</w:t>
            </w:r>
          </w:p>
        </w:tc>
        <w:tc>
          <w:tcPr>
            <w:tcW w:w="980" w:type="dxa"/>
            <w:noWrap w:val="0"/>
            <w:tcMar>
              <w:left w:w="57" w:type="dxa"/>
              <w:right w:w="57" w:type="dxa"/>
            </w:tcMar>
            <w:vAlign w:val="center"/>
          </w:tcPr>
          <w:p w14:paraId="595D2DA4">
            <w:pPr>
              <w:spacing w:line="500" w:lineRule="exact"/>
              <w:jc w:val="center"/>
              <w:rPr>
                <w:rFonts w:hint="eastAsia" w:eastAsia="方正书宋_GBK"/>
                <w:sz w:val="24"/>
              </w:rPr>
            </w:pPr>
            <w:r>
              <w:rPr>
                <w:rFonts w:hint="eastAsia" w:eastAsia="方正书宋_GBK"/>
                <w:sz w:val="24"/>
              </w:rPr>
              <w:t>3</w:t>
            </w:r>
            <w:r>
              <w:rPr>
                <w:rFonts w:eastAsia="方正书宋_GBK"/>
                <w:sz w:val="24"/>
              </w:rPr>
              <w:t>0</w:t>
            </w:r>
          </w:p>
        </w:tc>
      </w:tr>
      <w:tr w14:paraId="69FA1112">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510" w:hRule="atLeast"/>
          <w:jc w:val="center"/>
        </w:trPr>
        <w:tc>
          <w:tcPr>
            <w:tcW w:w="715" w:type="dxa"/>
            <w:noWrap w:val="0"/>
            <w:tcMar>
              <w:left w:w="57" w:type="dxa"/>
              <w:right w:w="57" w:type="dxa"/>
            </w:tcMar>
            <w:vAlign w:val="center"/>
          </w:tcPr>
          <w:p w14:paraId="53B6DB2A">
            <w:pPr>
              <w:spacing w:line="500" w:lineRule="exact"/>
              <w:jc w:val="center"/>
              <w:rPr>
                <w:rFonts w:hint="eastAsia" w:eastAsia="方正书宋_GBK"/>
                <w:sz w:val="24"/>
              </w:rPr>
            </w:pPr>
            <w:r>
              <w:rPr>
                <w:rFonts w:eastAsia="方正书宋_GBK"/>
                <w:sz w:val="24"/>
              </w:rPr>
              <w:t>8</w:t>
            </w:r>
          </w:p>
        </w:tc>
        <w:tc>
          <w:tcPr>
            <w:tcW w:w="6091" w:type="dxa"/>
            <w:noWrap w:val="0"/>
            <w:tcMar>
              <w:left w:w="57" w:type="dxa"/>
              <w:right w:w="57" w:type="dxa"/>
            </w:tcMar>
            <w:vAlign w:val="center"/>
          </w:tcPr>
          <w:p w14:paraId="715635DF">
            <w:pPr>
              <w:spacing w:line="500" w:lineRule="exact"/>
              <w:rPr>
                <w:rFonts w:hint="eastAsia" w:eastAsia="方正书宋_GBK"/>
                <w:sz w:val="24"/>
              </w:rPr>
            </w:pPr>
            <w:r>
              <w:rPr>
                <w:rFonts w:hint="eastAsia" w:eastAsia="方正书宋_GBK"/>
                <w:sz w:val="24"/>
              </w:rPr>
              <w:t>区级以上文明村占比（%）</w:t>
            </w:r>
          </w:p>
        </w:tc>
        <w:tc>
          <w:tcPr>
            <w:tcW w:w="979" w:type="dxa"/>
            <w:noWrap w:val="0"/>
            <w:tcMar>
              <w:left w:w="57" w:type="dxa"/>
              <w:right w:w="57" w:type="dxa"/>
            </w:tcMar>
            <w:vAlign w:val="center"/>
          </w:tcPr>
          <w:p w14:paraId="5F9B4EDB">
            <w:pPr>
              <w:spacing w:line="500" w:lineRule="exact"/>
              <w:jc w:val="center"/>
              <w:rPr>
                <w:rFonts w:hint="eastAsia" w:eastAsia="方正书宋_GBK"/>
                <w:sz w:val="24"/>
              </w:rPr>
            </w:pPr>
            <w:r>
              <w:rPr>
                <w:rFonts w:hint="eastAsia" w:eastAsia="方正书宋_GBK"/>
                <w:sz w:val="24"/>
              </w:rPr>
              <w:t>4</w:t>
            </w:r>
            <w:r>
              <w:rPr>
                <w:rFonts w:eastAsia="方正书宋_GBK"/>
                <w:sz w:val="24"/>
              </w:rPr>
              <w:t>3.4</w:t>
            </w:r>
          </w:p>
        </w:tc>
        <w:tc>
          <w:tcPr>
            <w:tcW w:w="980" w:type="dxa"/>
            <w:noWrap w:val="0"/>
            <w:tcMar>
              <w:left w:w="57" w:type="dxa"/>
              <w:right w:w="57" w:type="dxa"/>
            </w:tcMar>
            <w:vAlign w:val="center"/>
          </w:tcPr>
          <w:p w14:paraId="3D22F86E">
            <w:pPr>
              <w:spacing w:line="500" w:lineRule="exact"/>
              <w:jc w:val="center"/>
              <w:rPr>
                <w:rFonts w:hint="eastAsia" w:eastAsia="方正书宋_GBK"/>
                <w:sz w:val="24"/>
              </w:rPr>
            </w:pPr>
            <w:r>
              <w:rPr>
                <w:rFonts w:hint="eastAsia" w:eastAsia="方正书宋_GBK"/>
                <w:sz w:val="24"/>
              </w:rPr>
              <w:t>6</w:t>
            </w:r>
            <w:r>
              <w:rPr>
                <w:rFonts w:eastAsia="方正书宋_GBK"/>
                <w:sz w:val="24"/>
              </w:rPr>
              <w:t>0</w:t>
            </w:r>
          </w:p>
        </w:tc>
      </w:tr>
      <w:tr w14:paraId="12FFF2EF">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510" w:hRule="atLeast"/>
          <w:jc w:val="center"/>
        </w:trPr>
        <w:tc>
          <w:tcPr>
            <w:tcW w:w="715" w:type="dxa"/>
            <w:noWrap w:val="0"/>
            <w:tcMar>
              <w:left w:w="57" w:type="dxa"/>
              <w:right w:w="57" w:type="dxa"/>
            </w:tcMar>
            <w:vAlign w:val="center"/>
          </w:tcPr>
          <w:p w14:paraId="6A305708">
            <w:pPr>
              <w:spacing w:line="500" w:lineRule="exact"/>
              <w:jc w:val="center"/>
              <w:rPr>
                <w:rFonts w:hint="eastAsia" w:eastAsia="方正书宋_GBK"/>
                <w:sz w:val="24"/>
              </w:rPr>
            </w:pPr>
            <w:r>
              <w:rPr>
                <w:rFonts w:eastAsia="方正书宋_GBK"/>
                <w:sz w:val="24"/>
              </w:rPr>
              <w:t>9</w:t>
            </w:r>
          </w:p>
        </w:tc>
        <w:tc>
          <w:tcPr>
            <w:tcW w:w="6091" w:type="dxa"/>
            <w:noWrap w:val="0"/>
            <w:tcMar>
              <w:left w:w="57" w:type="dxa"/>
              <w:right w:w="57" w:type="dxa"/>
            </w:tcMar>
            <w:vAlign w:val="center"/>
          </w:tcPr>
          <w:p w14:paraId="63914382">
            <w:pPr>
              <w:spacing w:line="500" w:lineRule="exact"/>
              <w:rPr>
                <w:rFonts w:hint="eastAsia" w:eastAsia="方正书宋_GBK"/>
                <w:sz w:val="24"/>
              </w:rPr>
            </w:pPr>
            <w:r>
              <w:rPr>
                <w:rFonts w:hint="eastAsia" w:eastAsia="方正书宋_GBK"/>
                <w:sz w:val="24"/>
              </w:rPr>
              <w:t>区级以上文明镇占比（%）</w:t>
            </w:r>
          </w:p>
        </w:tc>
        <w:tc>
          <w:tcPr>
            <w:tcW w:w="979" w:type="dxa"/>
            <w:noWrap w:val="0"/>
            <w:tcMar>
              <w:left w:w="57" w:type="dxa"/>
              <w:right w:w="57" w:type="dxa"/>
            </w:tcMar>
            <w:vAlign w:val="center"/>
          </w:tcPr>
          <w:p w14:paraId="5527CDC0">
            <w:pPr>
              <w:spacing w:line="500" w:lineRule="exact"/>
              <w:jc w:val="center"/>
              <w:rPr>
                <w:rFonts w:hint="eastAsia" w:eastAsia="方正书宋_GBK"/>
                <w:sz w:val="24"/>
              </w:rPr>
            </w:pPr>
            <w:r>
              <w:rPr>
                <w:rFonts w:hint="eastAsia" w:eastAsia="方正书宋_GBK"/>
                <w:sz w:val="24"/>
              </w:rPr>
              <w:t>2</w:t>
            </w:r>
            <w:r>
              <w:rPr>
                <w:rFonts w:eastAsia="方正书宋_GBK"/>
                <w:sz w:val="24"/>
              </w:rPr>
              <w:t>6.1</w:t>
            </w:r>
          </w:p>
        </w:tc>
        <w:tc>
          <w:tcPr>
            <w:tcW w:w="980" w:type="dxa"/>
            <w:noWrap w:val="0"/>
            <w:tcMar>
              <w:left w:w="57" w:type="dxa"/>
              <w:right w:w="57" w:type="dxa"/>
            </w:tcMar>
            <w:vAlign w:val="center"/>
          </w:tcPr>
          <w:p w14:paraId="7E30A9A0">
            <w:pPr>
              <w:spacing w:line="500" w:lineRule="exact"/>
              <w:jc w:val="center"/>
              <w:rPr>
                <w:rFonts w:hint="eastAsia" w:eastAsia="方正书宋_GBK"/>
                <w:sz w:val="24"/>
              </w:rPr>
            </w:pPr>
            <w:r>
              <w:rPr>
                <w:rFonts w:hint="eastAsia" w:eastAsia="方正书宋_GBK"/>
                <w:sz w:val="24"/>
              </w:rPr>
              <w:t>7</w:t>
            </w:r>
            <w:r>
              <w:rPr>
                <w:rFonts w:eastAsia="方正书宋_GBK"/>
                <w:sz w:val="24"/>
              </w:rPr>
              <w:t>5</w:t>
            </w:r>
          </w:p>
        </w:tc>
      </w:tr>
      <w:tr w14:paraId="79549252">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510" w:hRule="atLeast"/>
          <w:jc w:val="center"/>
        </w:trPr>
        <w:tc>
          <w:tcPr>
            <w:tcW w:w="715" w:type="dxa"/>
            <w:noWrap w:val="0"/>
            <w:tcMar>
              <w:left w:w="57" w:type="dxa"/>
              <w:right w:w="57" w:type="dxa"/>
            </w:tcMar>
            <w:vAlign w:val="center"/>
          </w:tcPr>
          <w:p w14:paraId="6D87ACA8">
            <w:pPr>
              <w:spacing w:line="500" w:lineRule="exact"/>
              <w:jc w:val="center"/>
              <w:rPr>
                <w:rFonts w:hint="eastAsia" w:eastAsia="方正书宋_GBK"/>
                <w:sz w:val="24"/>
              </w:rPr>
            </w:pPr>
            <w:r>
              <w:rPr>
                <w:rFonts w:hint="eastAsia" w:eastAsia="方正书宋_GBK"/>
                <w:sz w:val="24"/>
              </w:rPr>
              <w:t>1</w:t>
            </w:r>
            <w:r>
              <w:rPr>
                <w:rFonts w:eastAsia="方正书宋_GBK"/>
                <w:sz w:val="24"/>
              </w:rPr>
              <w:t>0</w:t>
            </w:r>
          </w:p>
        </w:tc>
        <w:tc>
          <w:tcPr>
            <w:tcW w:w="6091" w:type="dxa"/>
            <w:noWrap w:val="0"/>
            <w:tcMar>
              <w:left w:w="57" w:type="dxa"/>
              <w:right w:w="57" w:type="dxa"/>
            </w:tcMar>
            <w:vAlign w:val="center"/>
          </w:tcPr>
          <w:p w14:paraId="3F5DA471">
            <w:pPr>
              <w:spacing w:line="500" w:lineRule="exact"/>
              <w:rPr>
                <w:rFonts w:hint="eastAsia" w:eastAsia="方正书宋_GBK"/>
                <w:sz w:val="24"/>
              </w:rPr>
            </w:pPr>
            <w:r>
              <w:rPr>
                <w:rFonts w:hint="eastAsia" w:eastAsia="方正书宋_GBK"/>
                <w:sz w:val="24"/>
              </w:rPr>
              <w:t>区级以上文明单位数量（个）</w:t>
            </w:r>
          </w:p>
        </w:tc>
        <w:tc>
          <w:tcPr>
            <w:tcW w:w="979" w:type="dxa"/>
            <w:noWrap w:val="0"/>
            <w:tcMar>
              <w:left w:w="57" w:type="dxa"/>
              <w:right w:w="57" w:type="dxa"/>
            </w:tcMar>
            <w:vAlign w:val="center"/>
          </w:tcPr>
          <w:p w14:paraId="7706E2AF">
            <w:pPr>
              <w:spacing w:line="500" w:lineRule="exact"/>
              <w:jc w:val="center"/>
              <w:rPr>
                <w:rFonts w:hint="eastAsia" w:eastAsia="方正书宋_GBK"/>
                <w:sz w:val="24"/>
              </w:rPr>
            </w:pPr>
            <w:r>
              <w:rPr>
                <w:rFonts w:hint="eastAsia" w:eastAsia="方正书宋_GBK"/>
                <w:sz w:val="24"/>
              </w:rPr>
              <w:t>1</w:t>
            </w:r>
            <w:r>
              <w:rPr>
                <w:rFonts w:eastAsia="方正书宋_GBK"/>
                <w:sz w:val="24"/>
              </w:rPr>
              <w:t>00</w:t>
            </w:r>
          </w:p>
        </w:tc>
        <w:tc>
          <w:tcPr>
            <w:tcW w:w="980" w:type="dxa"/>
            <w:noWrap w:val="0"/>
            <w:tcMar>
              <w:left w:w="57" w:type="dxa"/>
              <w:right w:w="57" w:type="dxa"/>
            </w:tcMar>
            <w:vAlign w:val="center"/>
          </w:tcPr>
          <w:p w14:paraId="292D472C">
            <w:pPr>
              <w:spacing w:line="500" w:lineRule="exact"/>
              <w:jc w:val="center"/>
              <w:rPr>
                <w:rFonts w:hint="eastAsia" w:eastAsia="方正书宋_GBK"/>
                <w:sz w:val="24"/>
              </w:rPr>
            </w:pPr>
            <w:r>
              <w:rPr>
                <w:rFonts w:eastAsia="方正书宋_GBK"/>
                <w:sz w:val="24"/>
              </w:rPr>
              <w:t>250</w:t>
            </w:r>
          </w:p>
        </w:tc>
      </w:tr>
      <w:tr w14:paraId="3375F5D8">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510" w:hRule="atLeast"/>
          <w:jc w:val="center"/>
        </w:trPr>
        <w:tc>
          <w:tcPr>
            <w:tcW w:w="715" w:type="dxa"/>
            <w:noWrap w:val="0"/>
            <w:tcMar>
              <w:left w:w="57" w:type="dxa"/>
              <w:right w:w="57" w:type="dxa"/>
            </w:tcMar>
            <w:vAlign w:val="center"/>
          </w:tcPr>
          <w:p w14:paraId="309D6B5A">
            <w:pPr>
              <w:spacing w:line="500" w:lineRule="exact"/>
              <w:jc w:val="center"/>
              <w:rPr>
                <w:rFonts w:hint="eastAsia" w:eastAsia="方正书宋_GBK"/>
                <w:sz w:val="24"/>
              </w:rPr>
            </w:pPr>
            <w:r>
              <w:rPr>
                <w:rFonts w:hint="eastAsia" w:eastAsia="方正书宋_GBK"/>
                <w:sz w:val="24"/>
              </w:rPr>
              <w:t>1</w:t>
            </w:r>
            <w:r>
              <w:rPr>
                <w:rFonts w:eastAsia="方正书宋_GBK"/>
                <w:sz w:val="24"/>
              </w:rPr>
              <w:t>1</w:t>
            </w:r>
          </w:p>
        </w:tc>
        <w:tc>
          <w:tcPr>
            <w:tcW w:w="6091" w:type="dxa"/>
            <w:noWrap w:val="0"/>
            <w:tcMar>
              <w:left w:w="57" w:type="dxa"/>
              <w:right w:w="57" w:type="dxa"/>
            </w:tcMar>
            <w:vAlign w:val="center"/>
          </w:tcPr>
          <w:p w14:paraId="78C1DD12">
            <w:pPr>
              <w:spacing w:line="500" w:lineRule="exact"/>
              <w:rPr>
                <w:rFonts w:hint="eastAsia" w:eastAsia="方正书宋_GBK"/>
                <w:sz w:val="24"/>
              </w:rPr>
            </w:pPr>
            <w:r>
              <w:rPr>
                <w:rFonts w:hint="eastAsia" w:eastAsia="方正书宋_GBK"/>
                <w:sz w:val="24"/>
              </w:rPr>
              <w:t>区级以上文明家庭（户）</w:t>
            </w:r>
          </w:p>
        </w:tc>
        <w:tc>
          <w:tcPr>
            <w:tcW w:w="979" w:type="dxa"/>
            <w:noWrap w:val="0"/>
            <w:tcMar>
              <w:left w:w="57" w:type="dxa"/>
              <w:right w:w="57" w:type="dxa"/>
            </w:tcMar>
            <w:vAlign w:val="center"/>
          </w:tcPr>
          <w:p w14:paraId="04F4C992">
            <w:pPr>
              <w:spacing w:line="500" w:lineRule="exact"/>
              <w:jc w:val="center"/>
              <w:rPr>
                <w:rFonts w:hint="eastAsia" w:eastAsia="方正书宋_GBK"/>
                <w:sz w:val="24"/>
              </w:rPr>
            </w:pPr>
            <w:r>
              <w:rPr>
                <w:rFonts w:hint="eastAsia" w:eastAsia="方正书宋_GBK"/>
                <w:sz w:val="24"/>
              </w:rPr>
              <w:t>4</w:t>
            </w:r>
          </w:p>
        </w:tc>
        <w:tc>
          <w:tcPr>
            <w:tcW w:w="980" w:type="dxa"/>
            <w:noWrap w:val="0"/>
            <w:tcMar>
              <w:left w:w="57" w:type="dxa"/>
              <w:right w:w="57" w:type="dxa"/>
            </w:tcMar>
            <w:vAlign w:val="center"/>
          </w:tcPr>
          <w:p w14:paraId="7FE94045">
            <w:pPr>
              <w:spacing w:line="500" w:lineRule="exact"/>
              <w:jc w:val="center"/>
              <w:rPr>
                <w:rFonts w:hint="eastAsia" w:eastAsia="方正书宋_GBK"/>
                <w:sz w:val="24"/>
              </w:rPr>
            </w:pPr>
            <w:r>
              <w:rPr>
                <w:rFonts w:hint="eastAsia" w:eastAsia="方正书宋_GBK"/>
                <w:sz w:val="24"/>
              </w:rPr>
              <w:t>1</w:t>
            </w:r>
            <w:r>
              <w:rPr>
                <w:rFonts w:eastAsia="方正书宋_GBK"/>
                <w:sz w:val="24"/>
              </w:rPr>
              <w:t>00</w:t>
            </w:r>
          </w:p>
        </w:tc>
      </w:tr>
      <w:tr w14:paraId="30369D42">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510" w:hRule="atLeast"/>
          <w:jc w:val="center"/>
        </w:trPr>
        <w:tc>
          <w:tcPr>
            <w:tcW w:w="715" w:type="dxa"/>
            <w:noWrap w:val="0"/>
            <w:tcMar>
              <w:left w:w="57" w:type="dxa"/>
              <w:right w:w="57" w:type="dxa"/>
            </w:tcMar>
            <w:vAlign w:val="center"/>
          </w:tcPr>
          <w:p w14:paraId="1C3D7FB5">
            <w:pPr>
              <w:spacing w:line="500" w:lineRule="exact"/>
              <w:jc w:val="center"/>
              <w:rPr>
                <w:rFonts w:hint="eastAsia" w:eastAsia="方正书宋_GBK"/>
                <w:sz w:val="24"/>
              </w:rPr>
            </w:pPr>
            <w:r>
              <w:rPr>
                <w:rFonts w:hint="eastAsia" w:eastAsia="方正书宋_GBK"/>
                <w:sz w:val="24"/>
              </w:rPr>
              <w:t>1</w:t>
            </w:r>
            <w:r>
              <w:rPr>
                <w:rFonts w:eastAsia="方正书宋_GBK"/>
                <w:sz w:val="24"/>
              </w:rPr>
              <w:t>2</w:t>
            </w:r>
          </w:p>
        </w:tc>
        <w:tc>
          <w:tcPr>
            <w:tcW w:w="6091" w:type="dxa"/>
            <w:noWrap w:val="0"/>
            <w:tcMar>
              <w:left w:w="57" w:type="dxa"/>
              <w:right w:w="57" w:type="dxa"/>
            </w:tcMar>
            <w:vAlign w:val="center"/>
          </w:tcPr>
          <w:p w14:paraId="57BD7CA1">
            <w:pPr>
              <w:spacing w:line="500" w:lineRule="exact"/>
              <w:rPr>
                <w:rFonts w:hint="eastAsia" w:eastAsia="方正书宋_GBK"/>
                <w:sz w:val="24"/>
              </w:rPr>
            </w:pPr>
            <w:r>
              <w:rPr>
                <w:rFonts w:hint="eastAsia" w:eastAsia="方正书宋_GBK"/>
                <w:sz w:val="24"/>
              </w:rPr>
              <w:t>区级以上文明校园占比（%）</w:t>
            </w:r>
          </w:p>
        </w:tc>
        <w:tc>
          <w:tcPr>
            <w:tcW w:w="979" w:type="dxa"/>
            <w:noWrap w:val="0"/>
            <w:tcMar>
              <w:left w:w="57" w:type="dxa"/>
              <w:right w:w="57" w:type="dxa"/>
            </w:tcMar>
            <w:vAlign w:val="center"/>
          </w:tcPr>
          <w:p w14:paraId="34BB2800">
            <w:pPr>
              <w:spacing w:line="500" w:lineRule="exact"/>
              <w:jc w:val="center"/>
              <w:rPr>
                <w:rFonts w:hint="eastAsia" w:eastAsia="方正书宋_GBK"/>
                <w:sz w:val="24"/>
              </w:rPr>
            </w:pPr>
            <w:r>
              <w:rPr>
                <w:rFonts w:hint="eastAsia" w:eastAsia="方正书宋_GBK"/>
                <w:sz w:val="24"/>
              </w:rPr>
              <w:t>4</w:t>
            </w:r>
            <w:r>
              <w:rPr>
                <w:rFonts w:eastAsia="方正书宋_GBK"/>
                <w:sz w:val="24"/>
              </w:rPr>
              <w:t>7</w:t>
            </w:r>
          </w:p>
        </w:tc>
        <w:tc>
          <w:tcPr>
            <w:tcW w:w="980" w:type="dxa"/>
            <w:noWrap w:val="0"/>
            <w:tcMar>
              <w:left w:w="57" w:type="dxa"/>
              <w:right w:w="57" w:type="dxa"/>
            </w:tcMar>
            <w:vAlign w:val="center"/>
          </w:tcPr>
          <w:p w14:paraId="069DA26F">
            <w:pPr>
              <w:spacing w:line="500" w:lineRule="exact"/>
              <w:jc w:val="center"/>
              <w:rPr>
                <w:rFonts w:hint="eastAsia" w:eastAsia="方正书宋_GBK"/>
                <w:sz w:val="24"/>
              </w:rPr>
            </w:pPr>
            <w:r>
              <w:rPr>
                <w:rFonts w:eastAsia="方正书宋_GBK"/>
                <w:sz w:val="24"/>
              </w:rPr>
              <w:t>70</w:t>
            </w:r>
          </w:p>
        </w:tc>
      </w:tr>
      <w:tr w14:paraId="14665ADD">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510" w:hRule="atLeast"/>
          <w:jc w:val="center"/>
        </w:trPr>
        <w:tc>
          <w:tcPr>
            <w:tcW w:w="715" w:type="dxa"/>
            <w:noWrap w:val="0"/>
            <w:tcMar>
              <w:left w:w="57" w:type="dxa"/>
              <w:right w:w="57" w:type="dxa"/>
            </w:tcMar>
            <w:vAlign w:val="center"/>
          </w:tcPr>
          <w:p w14:paraId="5A79868D">
            <w:pPr>
              <w:spacing w:line="500" w:lineRule="exact"/>
              <w:jc w:val="center"/>
              <w:rPr>
                <w:rFonts w:hint="eastAsia" w:eastAsia="方正书宋_GBK"/>
                <w:sz w:val="24"/>
              </w:rPr>
            </w:pPr>
            <w:r>
              <w:rPr>
                <w:rFonts w:hint="eastAsia" w:eastAsia="方正书宋_GBK"/>
                <w:sz w:val="24"/>
              </w:rPr>
              <w:t>1</w:t>
            </w:r>
            <w:r>
              <w:rPr>
                <w:rFonts w:eastAsia="方正书宋_GBK"/>
                <w:sz w:val="24"/>
              </w:rPr>
              <w:t>3</w:t>
            </w:r>
          </w:p>
        </w:tc>
        <w:tc>
          <w:tcPr>
            <w:tcW w:w="6091" w:type="dxa"/>
            <w:noWrap w:val="0"/>
            <w:tcMar>
              <w:left w:w="57" w:type="dxa"/>
              <w:right w:w="57" w:type="dxa"/>
            </w:tcMar>
            <w:vAlign w:val="center"/>
          </w:tcPr>
          <w:p w14:paraId="03BA47A5">
            <w:pPr>
              <w:spacing w:line="500" w:lineRule="exact"/>
              <w:rPr>
                <w:rFonts w:hint="eastAsia" w:eastAsia="方正书宋_GBK"/>
                <w:sz w:val="24"/>
              </w:rPr>
            </w:pPr>
            <w:r>
              <w:rPr>
                <w:rFonts w:hint="eastAsia" w:eastAsia="方正书宋_GBK"/>
                <w:sz w:val="24"/>
              </w:rPr>
              <w:t>公民具备科学素质的比例（%）</w:t>
            </w:r>
          </w:p>
        </w:tc>
        <w:tc>
          <w:tcPr>
            <w:tcW w:w="979" w:type="dxa"/>
            <w:noWrap w:val="0"/>
            <w:tcMar>
              <w:left w:w="57" w:type="dxa"/>
              <w:right w:w="57" w:type="dxa"/>
            </w:tcMar>
            <w:vAlign w:val="center"/>
          </w:tcPr>
          <w:p w14:paraId="1BF1938D">
            <w:pPr>
              <w:spacing w:line="500" w:lineRule="exact"/>
              <w:jc w:val="center"/>
              <w:rPr>
                <w:rFonts w:hint="eastAsia" w:eastAsia="方正书宋_GBK"/>
                <w:sz w:val="24"/>
              </w:rPr>
            </w:pPr>
            <w:r>
              <w:rPr>
                <w:rFonts w:hint="eastAsia" w:eastAsia="方正书宋_GBK"/>
                <w:sz w:val="24"/>
              </w:rPr>
              <w:t>8</w:t>
            </w:r>
            <w:r>
              <w:rPr>
                <w:rFonts w:eastAsia="方正书宋_GBK"/>
                <w:sz w:val="24"/>
              </w:rPr>
              <w:t>.36</w:t>
            </w:r>
          </w:p>
        </w:tc>
        <w:tc>
          <w:tcPr>
            <w:tcW w:w="980" w:type="dxa"/>
            <w:noWrap w:val="0"/>
            <w:tcMar>
              <w:left w:w="57" w:type="dxa"/>
              <w:right w:w="57" w:type="dxa"/>
            </w:tcMar>
            <w:vAlign w:val="center"/>
          </w:tcPr>
          <w:p w14:paraId="1BAC6F1B">
            <w:pPr>
              <w:spacing w:line="500" w:lineRule="exact"/>
              <w:jc w:val="center"/>
              <w:rPr>
                <w:rFonts w:hint="eastAsia" w:eastAsia="方正书宋_GBK"/>
                <w:sz w:val="24"/>
              </w:rPr>
            </w:pPr>
            <w:r>
              <w:rPr>
                <w:rFonts w:hint="eastAsia" w:eastAsia="方正书宋_GBK"/>
                <w:sz w:val="24"/>
              </w:rPr>
              <w:t>1</w:t>
            </w:r>
            <w:r>
              <w:rPr>
                <w:rFonts w:eastAsia="方正书宋_GBK"/>
                <w:sz w:val="24"/>
              </w:rPr>
              <w:t>5</w:t>
            </w:r>
          </w:p>
        </w:tc>
      </w:tr>
      <w:tr w14:paraId="5019806D">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510" w:hRule="atLeast"/>
          <w:jc w:val="center"/>
        </w:trPr>
        <w:tc>
          <w:tcPr>
            <w:tcW w:w="715" w:type="dxa"/>
            <w:noWrap w:val="0"/>
            <w:tcMar>
              <w:left w:w="57" w:type="dxa"/>
              <w:right w:w="57" w:type="dxa"/>
            </w:tcMar>
            <w:vAlign w:val="center"/>
          </w:tcPr>
          <w:p w14:paraId="708A9A69">
            <w:pPr>
              <w:spacing w:line="500" w:lineRule="exact"/>
              <w:jc w:val="center"/>
              <w:rPr>
                <w:rFonts w:hint="eastAsia" w:eastAsia="方正书宋_GBK"/>
                <w:sz w:val="24"/>
              </w:rPr>
            </w:pPr>
            <w:r>
              <w:rPr>
                <w:rFonts w:hint="eastAsia" w:eastAsia="方正书宋_GBK"/>
                <w:sz w:val="24"/>
              </w:rPr>
              <w:t>1</w:t>
            </w:r>
            <w:r>
              <w:rPr>
                <w:rFonts w:eastAsia="方正书宋_GBK"/>
                <w:sz w:val="24"/>
              </w:rPr>
              <w:t>5</w:t>
            </w:r>
          </w:p>
        </w:tc>
        <w:tc>
          <w:tcPr>
            <w:tcW w:w="6091" w:type="dxa"/>
            <w:noWrap w:val="0"/>
            <w:tcMar>
              <w:left w:w="57" w:type="dxa"/>
              <w:right w:w="57" w:type="dxa"/>
            </w:tcMar>
            <w:vAlign w:val="center"/>
          </w:tcPr>
          <w:p w14:paraId="472377A8">
            <w:pPr>
              <w:spacing w:line="500" w:lineRule="exact"/>
              <w:rPr>
                <w:rFonts w:hint="eastAsia" w:eastAsia="方正书宋_GBK"/>
                <w:sz w:val="24"/>
              </w:rPr>
            </w:pPr>
            <w:r>
              <w:rPr>
                <w:rFonts w:hint="eastAsia" w:eastAsia="方正书宋_GBK"/>
                <w:sz w:val="24"/>
              </w:rPr>
              <w:t>万人拥有公共文化设施面积（平方米）</w:t>
            </w:r>
          </w:p>
        </w:tc>
        <w:tc>
          <w:tcPr>
            <w:tcW w:w="979" w:type="dxa"/>
            <w:noWrap w:val="0"/>
            <w:tcMar>
              <w:left w:w="57" w:type="dxa"/>
              <w:right w:w="57" w:type="dxa"/>
            </w:tcMar>
            <w:vAlign w:val="center"/>
          </w:tcPr>
          <w:p w14:paraId="4E6AA785">
            <w:pPr>
              <w:spacing w:line="500" w:lineRule="exact"/>
              <w:jc w:val="center"/>
              <w:rPr>
                <w:rFonts w:eastAsia="方正书宋_GBK"/>
                <w:sz w:val="24"/>
              </w:rPr>
            </w:pPr>
            <w:r>
              <w:rPr>
                <w:rFonts w:hint="eastAsia" w:eastAsia="方正书宋_GBK"/>
                <w:sz w:val="24"/>
              </w:rPr>
              <w:t>553</w:t>
            </w:r>
          </w:p>
        </w:tc>
        <w:tc>
          <w:tcPr>
            <w:tcW w:w="980" w:type="dxa"/>
            <w:noWrap w:val="0"/>
            <w:tcMar>
              <w:left w:w="57" w:type="dxa"/>
              <w:right w:w="57" w:type="dxa"/>
            </w:tcMar>
            <w:vAlign w:val="center"/>
          </w:tcPr>
          <w:p w14:paraId="7412D68F">
            <w:pPr>
              <w:spacing w:line="500" w:lineRule="exact"/>
              <w:jc w:val="center"/>
              <w:rPr>
                <w:rFonts w:hint="eastAsia" w:eastAsia="方正书宋_GBK"/>
                <w:sz w:val="24"/>
              </w:rPr>
            </w:pPr>
            <w:r>
              <w:rPr>
                <w:rFonts w:hint="eastAsia" w:eastAsia="方正书宋_GBK"/>
                <w:sz w:val="24"/>
              </w:rPr>
              <w:t>7</w:t>
            </w:r>
            <w:r>
              <w:rPr>
                <w:rFonts w:eastAsia="方正书宋_GBK"/>
                <w:sz w:val="24"/>
              </w:rPr>
              <w:t>00</w:t>
            </w:r>
          </w:p>
        </w:tc>
      </w:tr>
      <w:tr w14:paraId="3E004CAF">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510" w:hRule="atLeast"/>
          <w:jc w:val="center"/>
        </w:trPr>
        <w:tc>
          <w:tcPr>
            <w:tcW w:w="715" w:type="dxa"/>
            <w:noWrap w:val="0"/>
            <w:tcMar>
              <w:left w:w="57" w:type="dxa"/>
              <w:right w:w="57" w:type="dxa"/>
            </w:tcMar>
            <w:vAlign w:val="center"/>
          </w:tcPr>
          <w:p w14:paraId="6C81ECF5">
            <w:pPr>
              <w:spacing w:line="500" w:lineRule="exact"/>
              <w:jc w:val="center"/>
              <w:rPr>
                <w:rFonts w:hint="eastAsia" w:eastAsia="方正书宋_GBK"/>
                <w:sz w:val="24"/>
              </w:rPr>
            </w:pPr>
            <w:r>
              <w:rPr>
                <w:rFonts w:hint="eastAsia" w:eastAsia="方正书宋_GBK"/>
                <w:sz w:val="24"/>
              </w:rPr>
              <w:t>1</w:t>
            </w:r>
            <w:r>
              <w:rPr>
                <w:rFonts w:eastAsia="方正书宋_GBK"/>
                <w:sz w:val="24"/>
              </w:rPr>
              <w:t>6</w:t>
            </w:r>
          </w:p>
        </w:tc>
        <w:tc>
          <w:tcPr>
            <w:tcW w:w="6091" w:type="dxa"/>
            <w:noWrap w:val="0"/>
            <w:tcMar>
              <w:left w:w="57" w:type="dxa"/>
              <w:right w:w="57" w:type="dxa"/>
            </w:tcMar>
            <w:vAlign w:val="center"/>
          </w:tcPr>
          <w:p w14:paraId="5D1B3B5B">
            <w:pPr>
              <w:spacing w:line="500" w:lineRule="exact"/>
              <w:rPr>
                <w:rFonts w:hint="eastAsia" w:eastAsia="方正书宋_GBK"/>
                <w:sz w:val="24"/>
              </w:rPr>
            </w:pPr>
            <w:r>
              <w:rPr>
                <w:rFonts w:hint="eastAsia" w:eastAsia="方正书宋_GBK"/>
                <w:sz w:val="24"/>
              </w:rPr>
              <w:t>全民阅读活动品牌镇街覆盖率（%）</w:t>
            </w:r>
          </w:p>
        </w:tc>
        <w:tc>
          <w:tcPr>
            <w:tcW w:w="979" w:type="dxa"/>
            <w:noWrap w:val="0"/>
            <w:tcMar>
              <w:left w:w="57" w:type="dxa"/>
              <w:right w:w="57" w:type="dxa"/>
            </w:tcMar>
            <w:vAlign w:val="center"/>
          </w:tcPr>
          <w:p w14:paraId="6AD7CB10">
            <w:pPr>
              <w:spacing w:line="500" w:lineRule="exact"/>
              <w:jc w:val="center"/>
              <w:rPr>
                <w:rFonts w:eastAsia="方正书宋_GBK"/>
                <w:sz w:val="24"/>
              </w:rPr>
            </w:pPr>
            <w:r>
              <w:rPr>
                <w:rFonts w:eastAsia="方正书宋_GBK"/>
                <w:sz w:val="24"/>
              </w:rPr>
              <w:t>30</w:t>
            </w:r>
          </w:p>
        </w:tc>
        <w:tc>
          <w:tcPr>
            <w:tcW w:w="980" w:type="dxa"/>
            <w:noWrap w:val="0"/>
            <w:tcMar>
              <w:left w:w="57" w:type="dxa"/>
              <w:right w:w="57" w:type="dxa"/>
            </w:tcMar>
            <w:vAlign w:val="center"/>
          </w:tcPr>
          <w:p w14:paraId="4E81DEA1">
            <w:pPr>
              <w:spacing w:line="500" w:lineRule="exact"/>
              <w:jc w:val="center"/>
              <w:rPr>
                <w:rFonts w:hint="eastAsia" w:eastAsia="方正书宋_GBK"/>
                <w:sz w:val="24"/>
              </w:rPr>
            </w:pPr>
            <w:r>
              <w:rPr>
                <w:rFonts w:hint="eastAsia" w:eastAsia="方正书宋_GBK"/>
                <w:sz w:val="24"/>
              </w:rPr>
              <w:t>5</w:t>
            </w:r>
            <w:r>
              <w:rPr>
                <w:rFonts w:eastAsia="方正书宋_GBK"/>
                <w:sz w:val="24"/>
              </w:rPr>
              <w:t>0</w:t>
            </w:r>
          </w:p>
        </w:tc>
      </w:tr>
      <w:tr w14:paraId="4EF612EF">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510" w:hRule="atLeast"/>
          <w:jc w:val="center"/>
        </w:trPr>
        <w:tc>
          <w:tcPr>
            <w:tcW w:w="715" w:type="dxa"/>
            <w:noWrap w:val="0"/>
            <w:tcMar>
              <w:left w:w="57" w:type="dxa"/>
              <w:right w:w="57" w:type="dxa"/>
            </w:tcMar>
            <w:vAlign w:val="center"/>
          </w:tcPr>
          <w:p w14:paraId="5A79176E">
            <w:pPr>
              <w:spacing w:line="500" w:lineRule="exact"/>
              <w:jc w:val="center"/>
              <w:rPr>
                <w:rFonts w:hint="eastAsia" w:eastAsia="方正书宋_GBK"/>
                <w:sz w:val="24"/>
              </w:rPr>
            </w:pPr>
            <w:r>
              <w:rPr>
                <w:rFonts w:hint="eastAsia" w:eastAsia="方正书宋_GBK"/>
                <w:sz w:val="24"/>
              </w:rPr>
              <w:t>1</w:t>
            </w:r>
            <w:r>
              <w:rPr>
                <w:rFonts w:eastAsia="方正书宋_GBK"/>
                <w:sz w:val="24"/>
              </w:rPr>
              <w:t>7</w:t>
            </w:r>
          </w:p>
        </w:tc>
        <w:tc>
          <w:tcPr>
            <w:tcW w:w="6091" w:type="dxa"/>
            <w:noWrap w:val="0"/>
            <w:tcMar>
              <w:left w:w="57" w:type="dxa"/>
              <w:right w:w="57" w:type="dxa"/>
            </w:tcMar>
            <w:vAlign w:val="center"/>
          </w:tcPr>
          <w:p w14:paraId="63B78B33">
            <w:pPr>
              <w:spacing w:line="500" w:lineRule="exact"/>
              <w:rPr>
                <w:rFonts w:hint="eastAsia" w:eastAsia="方正书宋_GBK"/>
                <w:sz w:val="24"/>
              </w:rPr>
            </w:pPr>
            <w:r>
              <w:rPr>
                <w:rFonts w:hint="eastAsia" w:eastAsia="方正书宋_GBK"/>
                <w:sz w:val="24"/>
              </w:rPr>
              <w:t>人均体育场地面积（平方米）</w:t>
            </w:r>
          </w:p>
        </w:tc>
        <w:tc>
          <w:tcPr>
            <w:tcW w:w="979" w:type="dxa"/>
            <w:noWrap w:val="0"/>
            <w:tcMar>
              <w:left w:w="57" w:type="dxa"/>
              <w:right w:w="57" w:type="dxa"/>
            </w:tcMar>
            <w:vAlign w:val="center"/>
          </w:tcPr>
          <w:p w14:paraId="284E130A">
            <w:pPr>
              <w:spacing w:line="500" w:lineRule="exact"/>
              <w:jc w:val="center"/>
              <w:rPr>
                <w:rFonts w:hint="eastAsia" w:eastAsia="方正书宋_GBK"/>
                <w:sz w:val="24"/>
              </w:rPr>
            </w:pPr>
            <w:r>
              <w:rPr>
                <w:rFonts w:hint="eastAsia" w:eastAsia="方正书宋_GBK"/>
                <w:sz w:val="24"/>
              </w:rPr>
              <w:t>1</w:t>
            </w:r>
            <w:r>
              <w:rPr>
                <w:rFonts w:eastAsia="方正书宋_GBK"/>
                <w:sz w:val="24"/>
              </w:rPr>
              <w:t>.7</w:t>
            </w:r>
          </w:p>
        </w:tc>
        <w:tc>
          <w:tcPr>
            <w:tcW w:w="980" w:type="dxa"/>
            <w:noWrap w:val="0"/>
            <w:tcMar>
              <w:left w:w="57" w:type="dxa"/>
              <w:right w:w="57" w:type="dxa"/>
            </w:tcMar>
            <w:vAlign w:val="center"/>
          </w:tcPr>
          <w:p w14:paraId="0027574F">
            <w:pPr>
              <w:spacing w:line="500" w:lineRule="exact"/>
              <w:jc w:val="center"/>
              <w:rPr>
                <w:rFonts w:hint="eastAsia" w:eastAsia="方正书宋_GBK"/>
                <w:sz w:val="24"/>
              </w:rPr>
            </w:pPr>
            <w:r>
              <w:rPr>
                <w:rFonts w:eastAsia="方正书宋_GBK"/>
                <w:sz w:val="24"/>
              </w:rPr>
              <w:t>&gt;2</w:t>
            </w:r>
          </w:p>
        </w:tc>
      </w:tr>
      <w:tr w14:paraId="364AA01E">
        <w:tblPrEx>
          <w:tblBorders>
            <w:top w:val="single" w:color="auto" w:sz="6" w:space="0"/>
            <w:left w:val="single" w:color="auto" w:sz="6" w:space="0"/>
            <w:bottom w:val="single" w:color="auto" w:sz="6" w:space="0"/>
            <w:right w:val="single" w:color="auto" w:sz="6" w:space="0"/>
            <w:insideH w:val="single" w:color="auto" w:sz="2" w:space="0"/>
            <w:insideV w:val="single" w:color="auto" w:sz="2" w:space="0"/>
          </w:tblBorders>
          <w:tblCellMar>
            <w:top w:w="0" w:type="dxa"/>
            <w:left w:w="108" w:type="dxa"/>
            <w:bottom w:w="0" w:type="dxa"/>
            <w:right w:w="108" w:type="dxa"/>
          </w:tblCellMar>
        </w:tblPrEx>
        <w:trPr>
          <w:trHeight w:val="510" w:hRule="atLeast"/>
          <w:jc w:val="center"/>
        </w:trPr>
        <w:tc>
          <w:tcPr>
            <w:tcW w:w="715" w:type="dxa"/>
            <w:noWrap w:val="0"/>
            <w:tcMar>
              <w:left w:w="57" w:type="dxa"/>
              <w:right w:w="57" w:type="dxa"/>
            </w:tcMar>
            <w:vAlign w:val="center"/>
          </w:tcPr>
          <w:p w14:paraId="794E1B8B">
            <w:pPr>
              <w:spacing w:line="500" w:lineRule="exact"/>
              <w:jc w:val="center"/>
              <w:rPr>
                <w:rFonts w:eastAsia="方正书宋_GBK"/>
                <w:sz w:val="24"/>
              </w:rPr>
            </w:pPr>
            <w:r>
              <w:rPr>
                <w:rFonts w:hint="eastAsia" w:eastAsia="方正书宋_GBK"/>
                <w:sz w:val="24"/>
              </w:rPr>
              <w:t>1</w:t>
            </w:r>
            <w:r>
              <w:rPr>
                <w:rFonts w:eastAsia="方正书宋_GBK"/>
                <w:sz w:val="24"/>
              </w:rPr>
              <w:t>8</w:t>
            </w:r>
          </w:p>
        </w:tc>
        <w:tc>
          <w:tcPr>
            <w:tcW w:w="6091" w:type="dxa"/>
            <w:noWrap w:val="0"/>
            <w:tcMar>
              <w:left w:w="57" w:type="dxa"/>
              <w:right w:w="57" w:type="dxa"/>
            </w:tcMar>
            <w:vAlign w:val="center"/>
          </w:tcPr>
          <w:p w14:paraId="6400E6B8">
            <w:pPr>
              <w:spacing w:line="500" w:lineRule="exact"/>
              <w:rPr>
                <w:rFonts w:hint="eastAsia" w:eastAsia="方正书宋_GBK"/>
                <w:sz w:val="24"/>
              </w:rPr>
            </w:pPr>
            <w:r>
              <w:rPr>
                <w:rFonts w:hint="eastAsia" w:eastAsia="方正书宋_GBK"/>
                <w:sz w:val="24"/>
              </w:rPr>
              <w:t>居民健康素养水平（%）</w:t>
            </w:r>
          </w:p>
        </w:tc>
        <w:tc>
          <w:tcPr>
            <w:tcW w:w="979" w:type="dxa"/>
            <w:noWrap w:val="0"/>
            <w:tcMar>
              <w:left w:w="57" w:type="dxa"/>
              <w:right w:w="57" w:type="dxa"/>
            </w:tcMar>
            <w:vAlign w:val="center"/>
          </w:tcPr>
          <w:p w14:paraId="0E291D66">
            <w:pPr>
              <w:spacing w:line="500" w:lineRule="exact"/>
              <w:jc w:val="center"/>
              <w:rPr>
                <w:rFonts w:hint="eastAsia" w:eastAsia="方正书宋_GBK"/>
                <w:sz w:val="24"/>
              </w:rPr>
            </w:pPr>
            <w:r>
              <w:rPr>
                <w:rFonts w:hint="eastAsia" w:eastAsia="方正书宋_GBK"/>
                <w:sz w:val="24"/>
              </w:rPr>
              <w:t>2</w:t>
            </w:r>
            <w:r>
              <w:rPr>
                <w:rFonts w:eastAsia="方正书宋_GBK"/>
                <w:sz w:val="24"/>
              </w:rPr>
              <w:t>3.01</w:t>
            </w:r>
          </w:p>
        </w:tc>
        <w:tc>
          <w:tcPr>
            <w:tcW w:w="980" w:type="dxa"/>
            <w:noWrap w:val="0"/>
            <w:tcMar>
              <w:left w:w="57" w:type="dxa"/>
              <w:right w:w="57" w:type="dxa"/>
            </w:tcMar>
            <w:vAlign w:val="center"/>
          </w:tcPr>
          <w:p w14:paraId="107ACF7E">
            <w:pPr>
              <w:spacing w:line="500" w:lineRule="exact"/>
              <w:jc w:val="center"/>
              <w:rPr>
                <w:rFonts w:hint="eastAsia" w:eastAsia="方正书宋_GBK"/>
                <w:sz w:val="24"/>
              </w:rPr>
            </w:pPr>
            <w:r>
              <w:rPr>
                <w:rFonts w:hint="eastAsia" w:eastAsia="方正书宋_GBK"/>
                <w:sz w:val="24"/>
              </w:rPr>
              <w:t>3</w:t>
            </w:r>
            <w:r>
              <w:rPr>
                <w:rFonts w:eastAsia="方正书宋_GBK"/>
                <w:sz w:val="24"/>
              </w:rPr>
              <w:t>0</w:t>
            </w:r>
          </w:p>
        </w:tc>
      </w:tr>
    </w:tbl>
    <w:p w14:paraId="03E78F6D">
      <w:pPr>
        <w:adjustRightInd w:val="0"/>
        <w:snapToGrid w:val="0"/>
        <w:spacing w:line="600" w:lineRule="exact"/>
        <w:jc w:val="center"/>
        <w:rPr>
          <w:rFonts w:hint="eastAsia" w:eastAsia="方正楷体_GBK"/>
          <w:sz w:val="32"/>
          <w:szCs w:val="32"/>
          <w:lang w:eastAsia="zh-CN"/>
        </w:rPr>
      </w:pPr>
      <w:r>
        <w:rPr>
          <w:rFonts w:hint="eastAsia" w:eastAsia="方正楷体_GBK"/>
          <w:sz w:val="32"/>
          <w:szCs w:val="32"/>
        </w:rPr>
        <w:t>第六节  全区精神文明建设</w:t>
      </w:r>
      <w:r>
        <w:rPr>
          <w:rFonts w:hint="eastAsia" w:eastAsia="方正楷体_GBK"/>
          <w:sz w:val="32"/>
          <w:szCs w:val="32"/>
          <w:lang w:eastAsia="zh-CN"/>
        </w:rPr>
        <w:t>二〇三五年远景目标</w:t>
      </w:r>
    </w:p>
    <w:p w14:paraId="6F38254E">
      <w:pPr>
        <w:spacing w:line="600" w:lineRule="exact"/>
        <w:ind w:firstLine="640" w:firstLineChars="200"/>
        <w:rPr>
          <w:rFonts w:hint="eastAsia" w:eastAsia="方正仿宋_GBK"/>
          <w:sz w:val="32"/>
          <w:szCs w:val="32"/>
        </w:rPr>
      </w:pPr>
      <w:r>
        <w:rPr>
          <w:rFonts w:hint="eastAsia" w:eastAsia="方正仿宋_GBK"/>
          <w:sz w:val="32"/>
          <w:szCs w:val="32"/>
        </w:rPr>
        <w:t>按照党的十九大对实现第二个百年奋斗目标作出的“两步走”战略安排，到二○三五年我区将与全国、全市一道基本实现社会主义现代化。展望二○三五年，全区精神文明建设将迈上新的台阶，实现社会主义精神文明与物质文明全面协调发展，道路自信、理论自信、制度自信、文化自信更加坚定不移，社会主义核心价值观成为人民群众日用而不觉的行为准则，文明实践、文明培育、文明创建迈向更高水平，公民素质和社会文明程度达到新高度。</w:t>
      </w:r>
    </w:p>
    <w:p w14:paraId="45827D88">
      <w:pPr>
        <w:shd w:val="clear" w:color="auto" w:fill="FFFFFF"/>
        <w:adjustRightInd w:val="0"/>
        <w:snapToGrid w:val="0"/>
        <w:spacing w:line="600" w:lineRule="exact"/>
        <w:jc w:val="center"/>
        <w:rPr>
          <w:rFonts w:hint="eastAsia" w:eastAsia="方正黑体_GBK"/>
          <w:sz w:val="32"/>
          <w:szCs w:val="32"/>
        </w:rPr>
      </w:pPr>
      <w:r>
        <w:rPr>
          <w:rFonts w:hint="eastAsia" w:eastAsia="方正黑体_GBK"/>
          <w:sz w:val="32"/>
          <w:szCs w:val="32"/>
        </w:rPr>
        <w:t>第三章  持续深入学习宣传贯彻习近平新时代</w:t>
      </w:r>
    </w:p>
    <w:p w14:paraId="558CB417">
      <w:pPr>
        <w:shd w:val="clear" w:color="auto" w:fill="FFFFFF"/>
        <w:adjustRightInd w:val="0"/>
        <w:snapToGrid w:val="0"/>
        <w:spacing w:line="620" w:lineRule="exact"/>
        <w:jc w:val="center"/>
        <w:rPr>
          <w:rFonts w:hint="eastAsia" w:eastAsia="方正黑体_GBK"/>
          <w:sz w:val="32"/>
          <w:szCs w:val="32"/>
        </w:rPr>
      </w:pPr>
      <w:r>
        <w:rPr>
          <w:rFonts w:hint="eastAsia" w:eastAsia="方正黑体_GBK"/>
          <w:sz w:val="32"/>
          <w:szCs w:val="32"/>
        </w:rPr>
        <w:t>中国特色社会主义思想</w:t>
      </w:r>
    </w:p>
    <w:p w14:paraId="70F6659C">
      <w:pPr>
        <w:adjustRightInd w:val="0"/>
        <w:snapToGrid w:val="0"/>
        <w:spacing w:line="620" w:lineRule="exact"/>
        <w:jc w:val="center"/>
        <w:rPr>
          <w:rFonts w:eastAsia="方正楷体_GBK"/>
          <w:sz w:val="32"/>
          <w:szCs w:val="32"/>
        </w:rPr>
      </w:pPr>
      <w:r>
        <w:rPr>
          <w:rFonts w:hint="eastAsia" w:eastAsia="方正楷体_GBK"/>
          <w:sz w:val="32"/>
          <w:szCs w:val="32"/>
        </w:rPr>
        <w:t xml:space="preserve">第七节 </w:t>
      </w:r>
      <w:r>
        <w:rPr>
          <w:rFonts w:eastAsia="方正楷体_GBK"/>
          <w:sz w:val="32"/>
          <w:szCs w:val="32"/>
        </w:rPr>
        <w:t xml:space="preserve"> </w:t>
      </w:r>
      <w:r>
        <w:rPr>
          <w:rFonts w:hint="eastAsia" w:eastAsia="方正楷体_GBK"/>
          <w:sz w:val="32"/>
          <w:szCs w:val="32"/>
        </w:rPr>
        <w:t>强化理论学习教育</w:t>
      </w:r>
    </w:p>
    <w:p w14:paraId="63CC249C">
      <w:pPr>
        <w:shd w:val="clear" w:color="auto" w:fill="FFFFFF"/>
        <w:adjustRightInd w:val="0"/>
        <w:snapToGrid w:val="0"/>
        <w:spacing w:line="620" w:lineRule="exact"/>
        <w:ind w:firstLine="627" w:firstLineChars="196"/>
        <w:rPr>
          <w:rFonts w:eastAsia="方正仿宋_GBK"/>
          <w:sz w:val="32"/>
          <w:szCs w:val="32"/>
        </w:rPr>
      </w:pPr>
      <w:r>
        <w:rPr>
          <w:rFonts w:hint="eastAsia" w:eastAsia="方正仿宋_GBK"/>
          <w:sz w:val="32"/>
          <w:szCs w:val="32"/>
        </w:rPr>
        <w:t>抓住领导干部这个“关键少数”，聚焦党委（党组）理论学习中心组这个重要抓手，用好区委巡察工作意识形态专项检查这个“利器”，严格执行《重庆市贯彻〈中国共产党党委（党组）理论学习中心组学习规则〉实施办法》，落实好列席旁听、学习评价、学习考核，在区内培育一批学习中心组“示范班”。抓好党员、干部和青年学生等重点群体，统筹推进集中宣讲、“六进”宣讲、微宣讲、新时代文明实践“六讲”志愿服务、“榜样面对面”宣讲等，实施“青年大学习”行动，做大做强“潼城潼心”宣讲品牌，不断提升理论宣讲的到达率和吸引力，努力推动习近平新时代中国特色社会主义思想学习教育走深走实，引导全区干部群众学懂弄通做实，凝聚在新时代伟大思想旗帜下。</w:t>
      </w:r>
    </w:p>
    <w:p w14:paraId="5E7471C5">
      <w:pPr>
        <w:adjustRightInd w:val="0"/>
        <w:snapToGrid w:val="0"/>
        <w:spacing w:line="620" w:lineRule="exact"/>
        <w:jc w:val="center"/>
        <w:rPr>
          <w:rFonts w:eastAsia="方正楷体_GBK"/>
          <w:sz w:val="32"/>
          <w:szCs w:val="32"/>
        </w:rPr>
      </w:pPr>
      <w:r>
        <w:rPr>
          <w:rFonts w:hint="eastAsia" w:eastAsia="方正楷体_GBK"/>
          <w:sz w:val="32"/>
          <w:szCs w:val="32"/>
        </w:rPr>
        <w:t xml:space="preserve">第八节 </w:t>
      </w:r>
      <w:r>
        <w:rPr>
          <w:rFonts w:eastAsia="方正楷体_GBK"/>
          <w:sz w:val="32"/>
          <w:szCs w:val="32"/>
        </w:rPr>
        <w:t xml:space="preserve"> </w:t>
      </w:r>
      <w:r>
        <w:rPr>
          <w:rFonts w:hint="eastAsia" w:eastAsia="方正楷体_GBK"/>
          <w:sz w:val="32"/>
          <w:szCs w:val="32"/>
        </w:rPr>
        <w:t>强化宣传阵地建设</w:t>
      </w:r>
    </w:p>
    <w:p w14:paraId="0E5761FE">
      <w:pPr>
        <w:spacing w:line="620" w:lineRule="exact"/>
        <w:ind w:firstLine="640" w:firstLineChars="200"/>
        <w:rPr>
          <w:rFonts w:hint="eastAsia" w:eastAsia="方正仿宋_GBK"/>
          <w:sz w:val="32"/>
          <w:szCs w:val="32"/>
        </w:rPr>
      </w:pPr>
      <w:r>
        <w:rPr>
          <w:rFonts w:hint="eastAsia" w:eastAsia="方正仿宋_GBK"/>
          <w:sz w:val="32"/>
          <w:szCs w:val="32"/>
        </w:rPr>
        <w:t>深化拓展新时代文明实践中心建设，实现镇（街道</w:t>
      </w:r>
      <w:r>
        <w:rPr>
          <w:rFonts w:eastAsia="方正仿宋_GBK"/>
          <w:sz w:val="32"/>
          <w:szCs w:val="32"/>
        </w:rPr>
        <w:t>）、村</w:t>
      </w:r>
      <w:r>
        <w:rPr>
          <w:rFonts w:hint="eastAsia" w:eastAsia="方正仿宋_GBK"/>
          <w:sz w:val="32"/>
          <w:szCs w:val="32"/>
        </w:rPr>
        <w:t>（社区）全覆盖，配齐配强工作力量，推动文明实践有力有效。加大资源整合力度，统筹使用各类阵地，发挥党员干部带动作用，到2025年全区在职党员文明实践参与率达到9</w:t>
      </w:r>
      <w:r>
        <w:rPr>
          <w:rFonts w:eastAsia="方正仿宋_GBK"/>
          <w:sz w:val="32"/>
          <w:szCs w:val="32"/>
        </w:rPr>
        <w:t>0</w:t>
      </w:r>
      <w:r>
        <w:rPr>
          <w:rFonts w:hint="eastAsia" w:eastAsia="方正仿宋_GBK"/>
          <w:sz w:val="32"/>
          <w:szCs w:val="32"/>
        </w:rPr>
        <w:t>%，村（社区）常住人口文明实践参与率达到</w:t>
      </w:r>
      <w:r>
        <w:rPr>
          <w:rFonts w:eastAsia="方正仿宋_GBK"/>
          <w:sz w:val="32"/>
          <w:szCs w:val="32"/>
        </w:rPr>
        <w:t>80</w:t>
      </w:r>
      <w:r>
        <w:rPr>
          <w:rFonts w:hint="eastAsia" w:eastAsia="方正仿宋_GBK"/>
          <w:sz w:val="32"/>
          <w:szCs w:val="32"/>
        </w:rPr>
        <w:t>%，推动文明实践深入开展。建好用好潼南区新时代文明实践云平台，健全点单、派单、接单、评单流程，推动文明实践精准推进。加快推进媒体深度融合发展，出台《潼南区加快推进媒体深度融合发展的意见》，升级“新潼南”客户端，做大做强“潼掌柜”电商平台。深化媒体内部体制机制改革，在重点领域和关键环节实现突破，进一步优化全媒体采编网络和工作流程，实现融为一体、合而为一。大力整合传媒资源，对区内公交站台、户外LED大屏等进行统一运营，打造崭新户外传播平台，提升传媒产品附加值。积极参与智慧城市建设，整合就医、旅游、购物等各类资源，提供全方位便民服务。加强“潼南发布”政务新媒体建设，打造更具权威的信息发布解读和回应平台、更加便捷的政民互动和办事服务平台。用好“学习强国”重庆学习平台，创新开展线上线下活动，推动平台从党内走向党外，到2025年新增注册用户</w:t>
      </w:r>
      <w:r>
        <w:rPr>
          <w:rFonts w:eastAsia="方正仿宋_GBK"/>
          <w:sz w:val="32"/>
          <w:szCs w:val="32"/>
        </w:rPr>
        <w:t>1.4</w:t>
      </w:r>
      <w:r>
        <w:rPr>
          <w:rFonts w:hint="eastAsia" w:eastAsia="方正仿宋_GBK"/>
          <w:sz w:val="32"/>
          <w:szCs w:val="32"/>
        </w:rPr>
        <w:t>万人，社会影响力和辐射面进一步提升。</w:t>
      </w:r>
    </w:p>
    <w:p w14:paraId="4E408107">
      <w:pPr>
        <w:adjustRightInd w:val="0"/>
        <w:snapToGrid w:val="0"/>
        <w:spacing w:line="620" w:lineRule="exact"/>
        <w:jc w:val="center"/>
        <w:rPr>
          <w:rFonts w:eastAsia="方正楷体_GBK"/>
          <w:sz w:val="32"/>
          <w:szCs w:val="32"/>
        </w:rPr>
      </w:pPr>
      <w:r>
        <w:rPr>
          <w:rFonts w:hint="eastAsia" w:eastAsia="方正楷体_GBK"/>
          <w:sz w:val="32"/>
          <w:szCs w:val="32"/>
        </w:rPr>
        <w:t xml:space="preserve">第九节 </w:t>
      </w:r>
      <w:r>
        <w:rPr>
          <w:rFonts w:eastAsia="方正楷体_GBK"/>
          <w:sz w:val="32"/>
          <w:szCs w:val="32"/>
        </w:rPr>
        <w:t xml:space="preserve"> </w:t>
      </w:r>
      <w:r>
        <w:rPr>
          <w:rFonts w:hint="eastAsia" w:eastAsia="方正楷体_GBK"/>
          <w:sz w:val="32"/>
          <w:szCs w:val="32"/>
        </w:rPr>
        <w:t>强化理论研究阐释</w:t>
      </w:r>
    </w:p>
    <w:p w14:paraId="55B49DB2">
      <w:pPr>
        <w:shd w:val="clear" w:color="auto" w:fill="FFFFFF"/>
        <w:adjustRightInd w:val="0"/>
        <w:snapToGrid w:val="0"/>
        <w:spacing w:line="620" w:lineRule="exact"/>
        <w:ind w:firstLine="627" w:firstLineChars="196"/>
        <w:rPr>
          <w:rFonts w:hint="eastAsia" w:eastAsia="方正仿宋_GBK"/>
          <w:sz w:val="32"/>
          <w:szCs w:val="32"/>
        </w:rPr>
      </w:pPr>
      <w:r>
        <w:rPr>
          <w:rFonts w:hint="eastAsia" w:eastAsia="方正仿宋_GBK"/>
          <w:sz w:val="32"/>
          <w:szCs w:val="32"/>
        </w:rPr>
        <w:t>推出通俗理论读物，深入浅出地阐释好、解读好习近平新时代中国特色社会主义思想，把理论问题和人民群众关心最直接最现实的利益问题，与解决工作中的实际问题结合起来。推动提升其科研、教学和宣讲水平，培养一批有坚定马克思主义信仰的社科理论研究人才，逐步提高理论研究和理论宣讲能力水平。围绕习近平总书记关于宣传思想工作的重要思想、成渝地区双城经济圈建设、乡村振兴等重大主题，精心策划实施一批理论研究和调研课题，充分发挥研究和调研成果的决策咨政作用，为全区发展提供强有力的理论支撑。</w:t>
      </w:r>
    </w:p>
    <w:p w14:paraId="5310C9D8">
      <w:pPr>
        <w:shd w:val="clear" w:color="auto" w:fill="FFFFFF"/>
        <w:adjustRightInd w:val="0"/>
        <w:snapToGrid w:val="0"/>
        <w:spacing w:line="620" w:lineRule="exact"/>
        <w:jc w:val="center"/>
        <w:rPr>
          <w:rFonts w:hint="eastAsia" w:eastAsia="方正黑体_GBK"/>
          <w:sz w:val="32"/>
          <w:szCs w:val="32"/>
        </w:rPr>
      </w:pPr>
      <w:r>
        <w:rPr>
          <w:rFonts w:hint="eastAsia" w:eastAsia="方正黑体_GBK"/>
          <w:sz w:val="32"/>
          <w:szCs w:val="32"/>
        </w:rPr>
        <w:t>专栏2  理论武装重点项目</w:t>
      </w:r>
    </w:p>
    <w:p w14:paraId="273114F7">
      <w:pPr>
        <w:pBdr>
          <w:top w:val="single" w:color="auto" w:sz="6" w:space="1"/>
          <w:left w:val="single" w:color="auto" w:sz="6" w:space="4"/>
          <w:bottom w:val="single" w:color="auto" w:sz="6" w:space="1"/>
          <w:right w:val="single" w:color="auto" w:sz="6" w:space="4"/>
        </w:pBdr>
        <w:spacing w:line="500" w:lineRule="exact"/>
        <w:ind w:left="105" w:leftChars="50" w:right="105" w:rightChars="50" w:firstLine="482" w:firstLineChars="200"/>
        <w:rPr>
          <w:rFonts w:hint="eastAsia" w:eastAsia="方正书宋_GBK"/>
          <w:sz w:val="24"/>
        </w:rPr>
      </w:pPr>
      <w:r>
        <w:rPr>
          <w:rFonts w:hint="eastAsia" w:eastAsia="方正楷体_GBK"/>
          <w:b/>
          <w:bCs/>
          <w:sz w:val="24"/>
        </w:rPr>
        <w:t>新时代文明实践中心建设。</w:t>
      </w:r>
      <w:r>
        <w:rPr>
          <w:rFonts w:hint="eastAsia" w:eastAsia="方正书宋_GBK"/>
          <w:sz w:val="24"/>
        </w:rPr>
        <w:t>以区、镇（街道）、村（社区）三级为单元，全覆盖建立新时代文明实践中心、所、站，创新设立新时代文明实践点，以志愿服务为基本形式，统筹推进学习实践科学理论、宣传宣讲党的政策、培育践行主流价值、丰富活跃文化生活、持续深化移风易俗、开展实施关爱帮扶等，打通宣传群众、教育群众、关心群众、服务群众的“最后一公里”。</w:t>
      </w:r>
    </w:p>
    <w:p w14:paraId="4FA86532">
      <w:pPr>
        <w:pBdr>
          <w:top w:val="single" w:color="auto" w:sz="6" w:space="1"/>
          <w:left w:val="single" w:color="auto" w:sz="6" w:space="4"/>
          <w:bottom w:val="single" w:color="auto" w:sz="6" w:space="1"/>
          <w:right w:val="single" w:color="auto" w:sz="6" w:space="4"/>
        </w:pBdr>
        <w:spacing w:line="500" w:lineRule="exact"/>
        <w:ind w:left="105" w:leftChars="50" w:right="105" w:rightChars="50" w:firstLine="482" w:firstLineChars="200"/>
        <w:rPr>
          <w:rFonts w:hint="eastAsia" w:eastAsia="方正书宋_GBK"/>
          <w:sz w:val="24"/>
        </w:rPr>
      </w:pPr>
      <w:r>
        <w:rPr>
          <w:rFonts w:hint="eastAsia" w:eastAsia="方正楷体_GBK"/>
          <w:b/>
          <w:bCs/>
          <w:sz w:val="24"/>
        </w:rPr>
        <w:t>构建全媒体传播体系。</w:t>
      </w:r>
      <w:r>
        <w:rPr>
          <w:rFonts w:hint="eastAsia" w:eastAsia="方正书宋_GBK"/>
          <w:sz w:val="24"/>
        </w:rPr>
        <w:t>以内容建设为根本、先进技术为支撑、改革创新为抓手，按照资源集约、结构合理、差异发展、协同高效的原则，推动传统媒体和新兴媒体交融并存、网上和网下一体发展，构建起纵向到底、横向到边的全媒体传播体系。</w:t>
      </w:r>
    </w:p>
    <w:p w14:paraId="4B728412">
      <w:pPr>
        <w:pBdr>
          <w:top w:val="single" w:color="auto" w:sz="6" w:space="1"/>
          <w:left w:val="single" w:color="auto" w:sz="6" w:space="4"/>
          <w:bottom w:val="single" w:color="auto" w:sz="6" w:space="1"/>
          <w:right w:val="single" w:color="auto" w:sz="6" w:space="4"/>
        </w:pBdr>
        <w:spacing w:line="500" w:lineRule="exact"/>
        <w:ind w:left="105" w:leftChars="50" w:right="105" w:rightChars="50" w:firstLine="482" w:firstLineChars="200"/>
        <w:rPr>
          <w:rFonts w:hint="eastAsia" w:eastAsia="方正书宋_GBK"/>
          <w:sz w:val="24"/>
        </w:rPr>
      </w:pPr>
      <w:r>
        <w:rPr>
          <w:rFonts w:hint="eastAsia" w:eastAsia="方正楷体_GBK"/>
          <w:b/>
          <w:bCs/>
          <w:sz w:val="24"/>
        </w:rPr>
        <w:t>“学习强国”学习平台使用。</w:t>
      </w:r>
      <w:r>
        <w:rPr>
          <w:rFonts w:hint="eastAsia" w:eastAsia="方正书宋_GBK"/>
          <w:sz w:val="24"/>
        </w:rPr>
        <w:t>新增注册用户</w:t>
      </w:r>
      <w:r>
        <w:rPr>
          <w:rFonts w:eastAsia="方正书宋_GBK"/>
          <w:sz w:val="24"/>
        </w:rPr>
        <w:t>1.4</w:t>
      </w:r>
      <w:r>
        <w:rPr>
          <w:rFonts w:hint="eastAsia" w:eastAsia="方正书宋_GBK"/>
          <w:sz w:val="24"/>
        </w:rPr>
        <w:t>万人，社会影响力和辐射面进一步提升，成为传播党的创新理论的核心阵地。</w:t>
      </w:r>
    </w:p>
    <w:p w14:paraId="742128F4">
      <w:pPr>
        <w:pBdr>
          <w:top w:val="single" w:color="auto" w:sz="6" w:space="1"/>
          <w:left w:val="single" w:color="auto" w:sz="6" w:space="4"/>
          <w:bottom w:val="single" w:color="auto" w:sz="6" w:space="1"/>
          <w:right w:val="single" w:color="auto" w:sz="6" w:space="4"/>
        </w:pBdr>
        <w:spacing w:line="500" w:lineRule="exact"/>
        <w:ind w:left="105" w:leftChars="50" w:right="105" w:rightChars="50" w:firstLine="466" w:firstLineChars="200"/>
        <w:rPr>
          <w:rFonts w:hint="eastAsia" w:eastAsia="方正书宋_GBK"/>
          <w:spacing w:val="-4"/>
          <w:sz w:val="24"/>
        </w:rPr>
      </w:pPr>
      <w:r>
        <w:rPr>
          <w:rFonts w:hint="eastAsia" w:eastAsia="方正楷体_GBK"/>
          <w:b/>
          <w:bCs/>
          <w:spacing w:val="-4"/>
          <w:sz w:val="24"/>
        </w:rPr>
        <w:t>强化马克思主义理论建设。</w:t>
      </w:r>
      <w:r>
        <w:rPr>
          <w:rFonts w:hint="eastAsia" w:eastAsia="方正书宋_GBK"/>
          <w:spacing w:val="-4"/>
          <w:sz w:val="24"/>
        </w:rPr>
        <w:t>推动区委党校等单位的马克思主义的科研、教学和宣讲水平，培养一批有坚定马克思主义信仰的社科理论研究人才。</w:t>
      </w:r>
    </w:p>
    <w:p w14:paraId="2B26A3F4">
      <w:pPr>
        <w:pBdr>
          <w:top w:val="single" w:color="auto" w:sz="6" w:space="1"/>
          <w:left w:val="single" w:color="auto" w:sz="6" w:space="4"/>
          <w:bottom w:val="single" w:color="auto" w:sz="6" w:space="1"/>
          <w:right w:val="single" w:color="auto" w:sz="6" w:space="4"/>
        </w:pBdr>
        <w:spacing w:line="500" w:lineRule="exact"/>
        <w:ind w:left="105" w:leftChars="50" w:right="105" w:rightChars="50" w:firstLine="482" w:firstLineChars="200"/>
        <w:rPr>
          <w:rFonts w:hint="eastAsia" w:eastAsia="方正书宋_GBK"/>
          <w:sz w:val="24"/>
        </w:rPr>
      </w:pPr>
      <w:r>
        <w:rPr>
          <w:rFonts w:hint="eastAsia" w:eastAsia="方正楷体_GBK"/>
          <w:b/>
          <w:bCs/>
          <w:sz w:val="24"/>
        </w:rPr>
        <w:t>青年理论武装。</w:t>
      </w:r>
      <w:r>
        <w:rPr>
          <w:rFonts w:hint="eastAsia" w:eastAsia="方正书宋_GBK"/>
          <w:sz w:val="24"/>
        </w:rPr>
        <w:t>深化“青年大学习”“红领巾爱学习”宣传教育，各级各类学校在校学生参学率不低于70%。加强“青年讲师团”“红领巾讲师团”“少工委讲师团”建设，健全工作体系，区级讲师团规模达到50人，每年开展“六进”宣讲20场以上。持续推进青年马克思主义者培养工程，加强理论研究和调查研究，推动党的科学理论青年化阐发实现常态化、体系化。</w:t>
      </w:r>
    </w:p>
    <w:p w14:paraId="6199E8E9">
      <w:pPr>
        <w:shd w:val="clear" w:color="auto" w:fill="FFFFFF"/>
        <w:adjustRightInd w:val="0"/>
        <w:snapToGrid w:val="0"/>
        <w:spacing w:line="574" w:lineRule="exact"/>
        <w:jc w:val="center"/>
        <w:rPr>
          <w:rFonts w:hint="eastAsia" w:eastAsia="方正黑体_GBK"/>
          <w:sz w:val="32"/>
          <w:szCs w:val="32"/>
        </w:rPr>
      </w:pPr>
      <w:r>
        <w:rPr>
          <w:rFonts w:hint="eastAsia" w:eastAsia="方正黑体_GBK"/>
          <w:sz w:val="32"/>
          <w:szCs w:val="32"/>
        </w:rPr>
        <w:t xml:space="preserve">第四章 </w:t>
      </w:r>
      <w:r>
        <w:rPr>
          <w:rFonts w:eastAsia="方正黑体_GBK"/>
          <w:sz w:val="32"/>
          <w:szCs w:val="32"/>
        </w:rPr>
        <w:t xml:space="preserve"> </w:t>
      </w:r>
      <w:r>
        <w:rPr>
          <w:rFonts w:hint="eastAsia" w:eastAsia="方正黑体_GBK"/>
          <w:sz w:val="32"/>
          <w:szCs w:val="32"/>
        </w:rPr>
        <w:t>大力弘扬社会主义核心价值观</w:t>
      </w:r>
    </w:p>
    <w:p w14:paraId="27793FDE">
      <w:pPr>
        <w:adjustRightInd w:val="0"/>
        <w:snapToGrid w:val="0"/>
        <w:spacing w:line="574" w:lineRule="exact"/>
        <w:jc w:val="center"/>
        <w:rPr>
          <w:rFonts w:eastAsia="方正楷体_GBK"/>
          <w:sz w:val="32"/>
          <w:szCs w:val="32"/>
        </w:rPr>
      </w:pPr>
      <w:r>
        <w:rPr>
          <w:rFonts w:hint="eastAsia" w:eastAsia="方正楷体_GBK"/>
          <w:sz w:val="32"/>
          <w:szCs w:val="32"/>
        </w:rPr>
        <w:t xml:space="preserve">第十节 </w:t>
      </w:r>
      <w:r>
        <w:rPr>
          <w:rFonts w:eastAsia="方正楷体_GBK"/>
          <w:sz w:val="32"/>
          <w:szCs w:val="32"/>
        </w:rPr>
        <w:t xml:space="preserve"> </w:t>
      </w:r>
      <w:r>
        <w:rPr>
          <w:rFonts w:hint="eastAsia" w:eastAsia="方正楷体_GBK"/>
          <w:sz w:val="32"/>
          <w:szCs w:val="32"/>
        </w:rPr>
        <w:t>加强理想信念教育</w:t>
      </w:r>
    </w:p>
    <w:p w14:paraId="14E9A61E">
      <w:pPr>
        <w:spacing w:line="574" w:lineRule="exact"/>
        <w:ind w:firstLine="640" w:firstLineChars="200"/>
        <w:rPr>
          <w:rFonts w:hint="eastAsia" w:eastAsia="方正仿宋_GBK"/>
          <w:sz w:val="32"/>
          <w:szCs w:val="32"/>
        </w:rPr>
      </w:pPr>
      <w:r>
        <w:rPr>
          <w:rFonts w:hint="eastAsia" w:eastAsia="方正仿宋_GBK"/>
          <w:sz w:val="32"/>
          <w:szCs w:val="32"/>
        </w:rPr>
        <w:t>推进理想信念教育常态化制度化，健全青少年理想信念教育齐抓共管机制，持续开展中国特色社会主义和“中国梦”宣传教育，持续巩固拓展党史学习教育成果，精心打造社会主义核心价值观主题公园，引导市民进一步坚定“四个自信”。实施红色基因传承工程，保护好、管理好、运用好革命文物，深化</w:t>
      </w:r>
      <w:r>
        <w:rPr>
          <w:rFonts w:hint="eastAsia" w:eastAsia="方正仿宋_GBK"/>
          <w:sz w:val="32"/>
          <w:szCs w:val="32"/>
          <w:lang w:val="en-US" w:eastAsia="zh-CN"/>
        </w:rPr>
        <w:t>革命风范新时代内涵</w:t>
      </w:r>
      <w:r>
        <w:rPr>
          <w:rFonts w:hint="eastAsia" w:eastAsia="方正仿宋_GBK"/>
          <w:sz w:val="32"/>
          <w:szCs w:val="32"/>
        </w:rPr>
        <w:t>，深入推进“讲红色故事、讲革命精神”“让烈士回家”等活动，推动红色基因、红岩精神融入城市血脉、根植市民心中。加强和改进思想政治工作，加强党史、新中国史、改革开放史、社会主义发展史教育，坚持领导干部上讲台，实施公益广告宣传平台传播工程，切实把统一思想、凝聚共识、坚定信心的工作做好，让理想信念的明灯永远在全区人民心中闪亮。</w:t>
      </w:r>
    </w:p>
    <w:p w14:paraId="5EE5A11D">
      <w:pPr>
        <w:adjustRightInd w:val="0"/>
        <w:snapToGrid w:val="0"/>
        <w:spacing w:line="574" w:lineRule="exact"/>
        <w:jc w:val="center"/>
        <w:rPr>
          <w:rFonts w:eastAsia="方正楷体_GBK"/>
          <w:sz w:val="32"/>
          <w:szCs w:val="32"/>
        </w:rPr>
      </w:pPr>
      <w:r>
        <w:rPr>
          <w:rFonts w:hint="eastAsia" w:eastAsia="方正楷体_GBK"/>
          <w:sz w:val="32"/>
          <w:szCs w:val="32"/>
        </w:rPr>
        <w:t>第十一节</w:t>
      </w:r>
      <w:r>
        <w:rPr>
          <w:rFonts w:eastAsia="方正楷体_GBK"/>
          <w:sz w:val="32"/>
          <w:szCs w:val="32"/>
        </w:rPr>
        <w:t xml:space="preserve">  </w:t>
      </w:r>
      <w:r>
        <w:rPr>
          <w:rFonts w:hint="eastAsia" w:eastAsia="方正楷体_GBK"/>
          <w:sz w:val="32"/>
          <w:szCs w:val="32"/>
        </w:rPr>
        <w:t>加强爱国主义教育</w:t>
      </w:r>
    </w:p>
    <w:p w14:paraId="0D379671">
      <w:pPr>
        <w:adjustRightInd w:val="0"/>
        <w:snapToGrid w:val="0"/>
        <w:spacing w:line="574" w:lineRule="exact"/>
        <w:ind w:firstLine="640" w:firstLineChars="200"/>
        <w:rPr>
          <w:rFonts w:hint="eastAsia" w:eastAsia="方正仿宋_GBK"/>
          <w:sz w:val="32"/>
          <w:szCs w:val="32"/>
        </w:rPr>
      </w:pPr>
      <w:r>
        <w:rPr>
          <w:rFonts w:hint="eastAsia" w:eastAsia="方正仿宋_GBK"/>
          <w:sz w:val="32"/>
          <w:szCs w:val="32"/>
        </w:rPr>
        <w:t>深入贯彻《新时代爱国主义教育实施纲要》，加强爱国主义教育基地建设，提档升级杨闇公杨尚昆陈列馆，深度挖掘杨闇公、杨尚昆</w:t>
      </w:r>
      <w:r>
        <w:rPr>
          <w:rFonts w:hint="eastAsia" w:eastAsia="方正仿宋_GBK"/>
          <w:sz w:val="32"/>
          <w:szCs w:val="32"/>
          <w:lang w:val="en-US" w:eastAsia="zh-CN"/>
        </w:rPr>
        <w:t>的英雄业绩和革命风采</w:t>
      </w:r>
      <w:r>
        <w:rPr>
          <w:rFonts w:hint="eastAsia" w:eastAsia="方正仿宋_GBK"/>
          <w:sz w:val="32"/>
          <w:szCs w:val="32"/>
        </w:rPr>
        <w:t>，</w:t>
      </w:r>
      <w:r>
        <w:rPr>
          <w:rFonts w:hint="eastAsia" w:eastAsia="方正仿宋_GBK"/>
          <w:sz w:val="32"/>
          <w:szCs w:val="32"/>
          <w:lang w:val="en-US" w:eastAsia="zh-CN"/>
        </w:rPr>
        <w:t>打造</w:t>
      </w:r>
      <w:r>
        <w:rPr>
          <w:rFonts w:hint="eastAsia" w:eastAsia="方正仿宋_GBK"/>
          <w:sz w:val="32"/>
          <w:szCs w:val="32"/>
        </w:rPr>
        <w:t>杨闇公</w:t>
      </w:r>
      <w:r>
        <w:rPr>
          <w:rFonts w:hint="eastAsia" w:eastAsia="方正仿宋_GBK"/>
          <w:sz w:val="32"/>
          <w:szCs w:val="32"/>
          <w:lang w:val="en-US" w:eastAsia="zh-CN"/>
        </w:rPr>
        <w:t>革命风范</w:t>
      </w:r>
      <w:r>
        <w:rPr>
          <w:rFonts w:hint="eastAsia" w:eastAsia="方正仿宋_GBK"/>
          <w:sz w:val="32"/>
          <w:szCs w:val="32"/>
        </w:rPr>
        <w:t>研学教育基地，组织爱国主义教育专题精品巡展、联展，开发爱国主义研学体验课程，生动传播爱国主义精神，到2025年全区中小学生到爱国主义教育基地学习实践参与率达100%。统筹发挥杨闇公杨尚昆旧居陈列馆、革命</w:t>
      </w:r>
      <w:r>
        <w:rPr>
          <w:rFonts w:eastAsia="方正仿宋_GBK"/>
          <w:sz w:val="32"/>
          <w:szCs w:val="32"/>
        </w:rPr>
        <w:t>家风馆、家风主题公园</w:t>
      </w:r>
      <w:r>
        <w:rPr>
          <w:rFonts w:hint="eastAsia" w:eastAsia="方正仿宋_GBK"/>
          <w:sz w:val="32"/>
          <w:szCs w:val="32"/>
        </w:rPr>
        <w:t>、张鹏翮廉政文化展览馆的阵地作用，打造“革命精神”“清白家风”“廉政课堂”等群众大讲堂，推动闇公</w:t>
      </w:r>
      <w:r>
        <w:rPr>
          <w:rFonts w:hint="eastAsia" w:eastAsia="方正仿宋_GBK"/>
          <w:sz w:val="32"/>
          <w:szCs w:val="32"/>
          <w:lang w:val="en-US" w:eastAsia="zh-CN"/>
        </w:rPr>
        <w:t>革命风范</w:t>
      </w:r>
      <w:r>
        <w:rPr>
          <w:rFonts w:hint="eastAsia" w:eastAsia="方正仿宋_GBK"/>
          <w:sz w:val="32"/>
          <w:szCs w:val="32"/>
        </w:rPr>
        <w:t>、红色文化、家风文化、廉政文化渗进血液、浸入心肺。在清明节、中国人民抗日战争胜利纪念日、烈士纪念日等，组织公祭、瞻仰杨闇公烈士陵园、祭扫潼南革命烈士墓等纪念活动，在国庆期间深入开展“倡导国庆新民俗、打造爱国活动周”“我们的节日”系列活动，广泛开展国家形象宣传教育，培养爱国意识，传播国家形象，进一步增强对国家和民族的认同感和归属感，让爱国主义成为坚定信念和精神依靠。</w:t>
      </w:r>
    </w:p>
    <w:p w14:paraId="0B1270B2">
      <w:pPr>
        <w:adjustRightInd w:val="0"/>
        <w:snapToGrid w:val="0"/>
        <w:spacing w:line="574" w:lineRule="exact"/>
        <w:jc w:val="center"/>
        <w:rPr>
          <w:rFonts w:eastAsia="方正楷体_GBK"/>
          <w:sz w:val="32"/>
          <w:szCs w:val="32"/>
        </w:rPr>
      </w:pPr>
      <w:r>
        <w:rPr>
          <w:rFonts w:hint="eastAsia" w:eastAsia="方正楷体_GBK"/>
          <w:sz w:val="32"/>
          <w:szCs w:val="32"/>
        </w:rPr>
        <w:t>第十二节</w:t>
      </w:r>
      <w:r>
        <w:rPr>
          <w:rFonts w:eastAsia="方正楷体_GBK"/>
          <w:sz w:val="32"/>
          <w:szCs w:val="32"/>
        </w:rPr>
        <w:t xml:space="preserve">  </w:t>
      </w:r>
      <w:r>
        <w:rPr>
          <w:rFonts w:hint="eastAsia" w:eastAsia="方正楷体_GBK"/>
          <w:sz w:val="32"/>
          <w:szCs w:val="32"/>
        </w:rPr>
        <w:t>加强公民道德建设</w:t>
      </w:r>
    </w:p>
    <w:p w14:paraId="0BDB6FED">
      <w:pPr>
        <w:spacing w:line="574" w:lineRule="exact"/>
        <w:ind w:firstLine="640" w:firstLineChars="200"/>
        <w:rPr>
          <w:rFonts w:hint="eastAsia" w:eastAsia="方正仿宋_GBK"/>
          <w:sz w:val="32"/>
          <w:szCs w:val="32"/>
        </w:rPr>
      </w:pPr>
      <w:r>
        <w:rPr>
          <w:rFonts w:hint="eastAsia" w:eastAsia="方正仿宋_GBK"/>
          <w:sz w:val="32"/>
          <w:szCs w:val="32"/>
        </w:rPr>
        <w:t>全面落实《新时代公民道德建设实施纲要》，</w:t>
      </w:r>
      <w:r>
        <w:rPr>
          <w:rFonts w:hint="eastAsia" w:eastAsia="方正仿宋_GBK" w:cs="方正仿宋_GBK"/>
          <w:sz w:val="32"/>
          <w:szCs w:val="32"/>
        </w:rPr>
        <w:t>坚持以案为鉴，深化拓展“以案四说”“以案促改”</w:t>
      </w:r>
      <w:r>
        <w:rPr>
          <w:rFonts w:hint="eastAsia" w:eastAsia="方正仿宋_GBK"/>
          <w:sz w:val="32"/>
          <w:szCs w:val="32"/>
        </w:rPr>
        <w:t>，广泛开展“德法相伴”主题活动，引导党员干部立政德、明大德、守公德、严私德，多积尺寸之功，引导广大市民自觉遵守社会公德、职业道德、家庭美德、个人品德。实施传统美德传承工程，大力弘扬“坚韧顽强、开放包容、豪爽耿直”等优秀品质，坚决摒弃“袍哥”文化、“码头”文化、江湖习气等封建糟粕。广泛开展以劳动创造幸福为主题的宣传教育，大力弘扬劳模精神、劳动精神、工匠精神，切实提倡艰苦奋斗、勤俭节约。建立多元化发现挖掘、动态管理储备、梯次选树培育、分级宣传推广和礼遇关爱机制，发挥好时代楷模、道德模范、最美人物、感动人物、身边好人、优秀志愿者等的示范作用，形成崇德向善、见贤思齐、德行天下的浓厚氛围。</w:t>
      </w:r>
    </w:p>
    <w:p w14:paraId="450D3A8A">
      <w:pPr>
        <w:adjustRightInd w:val="0"/>
        <w:snapToGrid w:val="0"/>
        <w:spacing w:line="574" w:lineRule="exact"/>
        <w:jc w:val="center"/>
        <w:rPr>
          <w:rFonts w:eastAsia="方正楷体_GBK"/>
          <w:sz w:val="32"/>
          <w:szCs w:val="32"/>
        </w:rPr>
      </w:pPr>
      <w:r>
        <w:rPr>
          <w:rFonts w:hint="eastAsia" w:eastAsia="方正楷体_GBK"/>
          <w:sz w:val="32"/>
          <w:szCs w:val="32"/>
        </w:rPr>
        <w:t>第十三节</w:t>
      </w:r>
      <w:r>
        <w:rPr>
          <w:rFonts w:eastAsia="方正楷体_GBK"/>
          <w:sz w:val="32"/>
          <w:szCs w:val="32"/>
        </w:rPr>
        <w:t xml:space="preserve">  </w:t>
      </w:r>
      <w:r>
        <w:rPr>
          <w:rFonts w:hint="eastAsia" w:eastAsia="方正楷体_GBK"/>
          <w:sz w:val="32"/>
          <w:szCs w:val="32"/>
        </w:rPr>
        <w:t>加强未成年人思想道德建设</w:t>
      </w:r>
    </w:p>
    <w:p w14:paraId="56F0A68E">
      <w:pPr>
        <w:adjustRightInd w:val="0"/>
        <w:snapToGrid w:val="0"/>
        <w:spacing w:line="574" w:lineRule="exact"/>
        <w:ind w:firstLine="640" w:firstLineChars="200"/>
        <w:rPr>
          <w:rFonts w:hint="eastAsia" w:eastAsia="方正仿宋_GBK"/>
          <w:sz w:val="32"/>
          <w:szCs w:val="32"/>
        </w:rPr>
      </w:pPr>
      <w:r>
        <w:rPr>
          <w:rFonts w:hint="eastAsia" w:eastAsia="方正仿宋_GBK"/>
          <w:sz w:val="32"/>
          <w:szCs w:val="32"/>
        </w:rPr>
        <w:t>夯实学校德育基础，创建“德育工作规范化学校”，建立健全劳动教育培养体系要求，优化乡村学校少年宫运行机制，探索建设乡村复兴少年宫，培育打造中小学思想政治课名师工作室，到2025年中小学校立德树人培养机制落地落实。建立德育协同体系，建立全区未成年人劳动教育联盟和心理健康工作联盟，建好青少年校外教育营地、“青少年之家”和家庭教育指导站点，推进未成年人心理健康区级辅导中心、社区辅导站、学校辅导室建设，推动未成年人心理健康核心知识知晓率逐年提升。抓实德育主题活动，不断深化“童心向党”“小萝卜头进校园”“传承闇公</w:t>
      </w:r>
      <w:r>
        <w:rPr>
          <w:rFonts w:hint="eastAsia" w:eastAsia="方正仿宋_GBK"/>
          <w:sz w:val="32"/>
          <w:szCs w:val="32"/>
          <w:lang w:val="en-US" w:eastAsia="zh-CN"/>
        </w:rPr>
        <w:t>革命风范</w:t>
      </w:r>
      <w:r>
        <w:rPr>
          <w:rFonts w:hint="eastAsia" w:eastAsia="方正仿宋_GBK"/>
          <w:sz w:val="32"/>
          <w:szCs w:val="32"/>
        </w:rPr>
        <w:t xml:space="preserve"> 争做时代新人”等活动，广泛开展“我劳动 我快乐”主题活动，扎实推动关爱留守儿童“红樱桃”活动，办好“小公民法律课堂”，抓住未成年人价值观形成和确定的关键时期，引导和帮助未成年人扣好人生“第一粒扣子”。</w:t>
      </w:r>
    </w:p>
    <w:p w14:paraId="0B3AD9F1">
      <w:pPr>
        <w:adjustRightInd w:val="0"/>
        <w:snapToGrid w:val="0"/>
        <w:spacing w:line="574" w:lineRule="exact"/>
        <w:jc w:val="center"/>
        <w:rPr>
          <w:rFonts w:eastAsia="方正楷体_GBK"/>
          <w:b/>
          <w:bCs/>
          <w:sz w:val="32"/>
          <w:szCs w:val="32"/>
        </w:rPr>
      </w:pPr>
      <w:r>
        <w:rPr>
          <w:rFonts w:hint="eastAsia" w:eastAsia="方正楷体_GBK"/>
          <w:sz w:val="32"/>
          <w:szCs w:val="32"/>
        </w:rPr>
        <w:t>第十四节</w:t>
      </w:r>
      <w:r>
        <w:rPr>
          <w:rFonts w:eastAsia="方正楷体_GBK"/>
          <w:sz w:val="32"/>
          <w:szCs w:val="32"/>
        </w:rPr>
        <w:t xml:space="preserve">  </w:t>
      </w:r>
      <w:r>
        <w:rPr>
          <w:rFonts w:hint="eastAsia" w:eastAsia="方正楷体_GBK"/>
          <w:sz w:val="32"/>
          <w:szCs w:val="32"/>
        </w:rPr>
        <w:t>加强诚信建设</w:t>
      </w:r>
    </w:p>
    <w:p w14:paraId="6418FAED">
      <w:pPr>
        <w:adjustRightInd w:val="0"/>
        <w:snapToGrid w:val="0"/>
        <w:spacing w:line="574" w:lineRule="exact"/>
        <w:ind w:firstLine="640" w:firstLineChars="200"/>
        <w:rPr>
          <w:rFonts w:hint="eastAsia" w:eastAsia="方正仿宋_GBK"/>
          <w:sz w:val="32"/>
          <w:szCs w:val="32"/>
        </w:rPr>
      </w:pPr>
      <w:r>
        <w:rPr>
          <w:rFonts w:hint="eastAsia" w:eastAsia="方正仿宋_GBK"/>
          <w:sz w:val="32"/>
          <w:szCs w:val="32"/>
        </w:rPr>
        <w:t>落实以信用为基础的“事前信用承诺、事中信用分级分类监管、事后信用奖惩”的新型监管机制，推动全区公共信用信息平台、行业信用信息系统互联互通，畅通政企数据流通机制，形成全面覆盖各部门、各类市场主体的信用信息“一张网”。推动成渝两地信用“红黑名单”互认共享、联合奖惩共施、信用服务市场共育。聚焦商务、金融、民生等领域诚信缺失突出问题，深入推进专项治理，使各类市场主体不愿、不能、不敢失信。加强诚信宣传教育，深化“诚信潼商、法治民企”“诚信兴商宣传月”“诚信建设进校园”等主题活动，评选发布“潼南诚信之星”“潼南十大信用典型案例”，让诚信成为城市亮丽名片。</w:t>
      </w:r>
    </w:p>
    <w:p w14:paraId="668BAD22">
      <w:pPr>
        <w:adjustRightInd w:val="0"/>
        <w:snapToGrid w:val="0"/>
        <w:spacing w:line="574" w:lineRule="exact"/>
        <w:jc w:val="center"/>
        <w:rPr>
          <w:rFonts w:eastAsia="方正楷体_GBK"/>
          <w:sz w:val="32"/>
          <w:szCs w:val="32"/>
        </w:rPr>
      </w:pPr>
      <w:r>
        <w:rPr>
          <w:rFonts w:hint="eastAsia" w:eastAsia="方正楷体_GBK"/>
          <w:sz w:val="32"/>
          <w:szCs w:val="32"/>
        </w:rPr>
        <w:t>第十五节</w:t>
      </w:r>
      <w:r>
        <w:rPr>
          <w:rFonts w:eastAsia="方正楷体_GBK"/>
          <w:sz w:val="32"/>
          <w:szCs w:val="32"/>
        </w:rPr>
        <w:t xml:space="preserve">  </w:t>
      </w:r>
      <w:r>
        <w:rPr>
          <w:rFonts w:hint="eastAsia" w:eastAsia="方正楷体_GBK"/>
          <w:sz w:val="32"/>
          <w:szCs w:val="32"/>
        </w:rPr>
        <w:t>加强志愿服务制度化社会化专业化建设</w:t>
      </w:r>
    </w:p>
    <w:p w14:paraId="64EA1921">
      <w:pPr>
        <w:adjustRightInd w:val="0"/>
        <w:snapToGrid w:val="0"/>
        <w:spacing w:line="574" w:lineRule="exact"/>
        <w:ind w:firstLine="640" w:firstLineChars="200"/>
        <w:rPr>
          <w:rFonts w:eastAsia="方正仿宋_GBK"/>
          <w:sz w:val="32"/>
          <w:szCs w:val="32"/>
        </w:rPr>
      </w:pPr>
      <w:r>
        <w:rPr>
          <w:rFonts w:hint="eastAsia" w:eastAsia="方正仿宋_GBK"/>
          <w:sz w:val="32"/>
          <w:szCs w:val="32"/>
        </w:rPr>
        <w:t>健全志愿服务体系，成立全区志愿服务工作协调小组，贯彻落实《重庆市志愿服务条例》，出台统筹协调、嘉许激励、支持保障等政策，建立星级志愿者评定办法，推动志愿服务制度化，提升志愿者活跃度。加强志愿服务项目建设，以政策宣传、生态环保、卫生健康、法律科普、应急救援、扶危济困等为重点，广泛开展志愿服务关爱行动，做大做强“潼城潼行”志愿服务品牌，推动志愿服务社会化，到2025年每个社区有3个以上常态化志愿服务项目。支持志愿服务组织发展，突出能力建设、规范管理，建立起数量充足、素质优良、结构合理、服务规范的志愿者队伍，推动志愿服务专业化，到2025年每个社区有2支以上志愿者队伍，实现全区注册志愿者人数占常住人口总数的比例达到</w:t>
      </w:r>
      <w:r>
        <w:rPr>
          <w:rFonts w:eastAsia="方正仿宋_GBK"/>
          <w:sz w:val="32"/>
          <w:szCs w:val="32"/>
        </w:rPr>
        <w:t>30</w:t>
      </w:r>
      <w:r>
        <w:rPr>
          <w:rFonts w:hint="eastAsia" w:eastAsia="方正仿宋_GBK"/>
          <w:sz w:val="32"/>
          <w:szCs w:val="32"/>
        </w:rPr>
        <w:t>%。弘扬志愿精神、培育志愿文化，鼓励社会组织有序参与志愿服务等公益活动，打造志愿服务主题社区、公园、广场，推动形成“人人为我、我为人人”的良好风尚。</w:t>
      </w:r>
    </w:p>
    <w:p w14:paraId="01F9E6D3">
      <w:pPr>
        <w:spacing w:line="574" w:lineRule="exact"/>
        <w:jc w:val="center"/>
        <w:rPr>
          <w:rFonts w:hint="eastAsia" w:eastAsia="方正黑体_GBK"/>
          <w:sz w:val="32"/>
          <w:szCs w:val="32"/>
        </w:rPr>
      </w:pPr>
      <w:r>
        <w:rPr>
          <w:rFonts w:hint="eastAsia" w:eastAsia="方正黑体_GBK"/>
          <w:sz w:val="32"/>
          <w:szCs w:val="32"/>
        </w:rPr>
        <w:t>专栏</w:t>
      </w:r>
      <w:r>
        <w:rPr>
          <w:rFonts w:eastAsia="方正黑体_GBK"/>
          <w:sz w:val="32"/>
          <w:szCs w:val="32"/>
        </w:rPr>
        <w:t>3  </w:t>
      </w:r>
      <w:r>
        <w:rPr>
          <w:rFonts w:hint="eastAsia" w:eastAsia="方正黑体_GBK"/>
          <w:sz w:val="32"/>
          <w:szCs w:val="32"/>
        </w:rPr>
        <w:t>弘扬社会主义核心价值观重点项目</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95"/>
      </w:tblGrid>
      <w:tr w14:paraId="09216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8795" w:type="dxa"/>
            <w:noWrap w:val="0"/>
            <w:vAlign w:val="top"/>
          </w:tcPr>
          <w:p w14:paraId="56EF3BFD">
            <w:pPr>
              <w:pStyle w:val="8"/>
              <w:keepNext w:val="0"/>
              <w:keepLines w:val="0"/>
              <w:pageBreakBefore w:val="0"/>
              <w:widowControl w:val="0"/>
              <w:kinsoku/>
              <w:wordWrap/>
              <w:overflowPunct/>
              <w:topLinePunct w:val="0"/>
              <w:autoSpaceDE w:val="0"/>
              <w:autoSpaceDN w:val="0"/>
              <w:bidi w:val="0"/>
              <w:adjustRightInd w:val="0"/>
              <w:snapToGrid/>
              <w:spacing w:line="460" w:lineRule="exact"/>
              <w:ind w:firstLine="458" w:firstLineChars="200"/>
              <w:textAlignment w:val="auto"/>
              <w:rPr>
                <w:rFonts w:hint="eastAsia" w:ascii="Times New Roman" w:hAnsi="Times New Roman" w:eastAsia="方正书宋_GBK" w:cs="Times New Roman"/>
                <w:color w:val="auto"/>
                <w:spacing w:val="-6"/>
                <w:kern w:val="2"/>
              </w:rPr>
            </w:pPr>
            <w:r>
              <w:rPr>
                <w:rFonts w:hint="eastAsia" w:ascii="Times New Roman" w:hAnsi="Times New Roman" w:eastAsia="方正楷体_GBK" w:cs="Times New Roman"/>
                <w:b/>
                <w:bCs/>
                <w:color w:val="auto"/>
                <w:spacing w:val="-6"/>
                <w:kern w:val="2"/>
              </w:rPr>
              <w:t>社会主义核心价值观主题公园建设。</w:t>
            </w:r>
            <w:r>
              <w:rPr>
                <w:rFonts w:hint="eastAsia" w:ascii="Times New Roman" w:hAnsi="Times New Roman" w:eastAsia="方正书宋_GBK" w:cs="Times New Roman"/>
                <w:color w:val="auto"/>
                <w:spacing w:val="-6"/>
                <w:kern w:val="2"/>
              </w:rPr>
              <w:t>联合科技、司法、城管、文旅等部门，大力推进社会主义核心价值观进公园，打造以文明实践为主题的公园，到2025年建成</w:t>
            </w:r>
            <w:r>
              <w:rPr>
                <w:rFonts w:ascii="Times New Roman" w:hAnsi="Times New Roman" w:eastAsia="方正书宋_GBK" w:cs="Times New Roman"/>
                <w:color w:val="auto"/>
                <w:spacing w:val="-6"/>
                <w:kern w:val="2"/>
              </w:rPr>
              <w:t>3</w:t>
            </w:r>
            <w:r>
              <w:rPr>
                <w:rFonts w:hint="eastAsia" w:ascii="Times New Roman" w:hAnsi="Times New Roman" w:eastAsia="方正书宋_GBK" w:cs="Times New Roman"/>
                <w:color w:val="auto"/>
                <w:spacing w:val="-6"/>
                <w:kern w:val="2"/>
              </w:rPr>
              <w:t>个。</w:t>
            </w:r>
          </w:p>
          <w:p w14:paraId="2DB6D7E4">
            <w:pPr>
              <w:pStyle w:val="8"/>
              <w:keepNext w:val="0"/>
              <w:keepLines w:val="0"/>
              <w:pageBreakBefore w:val="0"/>
              <w:widowControl w:val="0"/>
              <w:kinsoku/>
              <w:wordWrap/>
              <w:overflowPunct/>
              <w:topLinePunct w:val="0"/>
              <w:autoSpaceDE w:val="0"/>
              <w:autoSpaceDN w:val="0"/>
              <w:bidi w:val="0"/>
              <w:adjustRightInd w:val="0"/>
              <w:snapToGrid/>
              <w:spacing w:line="460" w:lineRule="exact"/>
              <w:ind w:firstLine="458" w:firstLineChars="200"/>
              <w:textAlignment w:val="auto"/>
              <w:rPr>
                <w:rFonts w:hint="eastAsia" w:ascii="Times New Roman" w:hAnsi="Times New Roman" w:eastAsia="方正书宋_GBK" w:cs="Times New Roman"/>
                <w:color w:val="auto"/>
                <w:spacing w:val="-6"/>
                <w:kern w:val="2"/>
              </w:rPr>
            </w:pPr>
            <w:r>
              <w:rPr>
                <w:rFonts w:hint="eastAsia" w:ascii="Times New Roman" w:hAnsi="Times New Roman" w:eastAsia="方正楷体_GBK" w:cs="Times New Roman"/>
                <w:b/>
                <w:bCs/>
                <w:color w:val="auto"/>
                <w:spacing w:val="-6"/>
                <w:kern w:val="2"/>
              </w:rPr>
              <w:t>公益广告宣传平台传播工程。</w:t>
            </w:r>
            <w:r>
              <w:rPr>
                <w:rFonts w:hint="eastAsia" w:ascii="Times New Roman" w:hAnsi="Times New Roman" w:eastAsia="方正书宋_GBK" w:cs="Times New Roman"/>
                <w:color w:val="auto"/>
                <w:spacing w:val="-6"/>
                <w:kern w:val="2"/>
              </w:rPr>
              <w:t>推进户外公益广告管理平台建设，进一步加强户外公益广告审批、发布及监管。提质更新户外公益广告设施，提升作品质量，拓展宣传载体，为培育和践行社会主义核心价值观营造浓厚氛围。</w:t>
            </w:r>
          </w:p>
          <w:p w14:paraId="06A8C1B2">
            <w:pPr>
              <w:pStyle w:val="8"/>
              <w:keepNext w:val="0"/>
              <w:keepLines w:val="0"/>
              <w:pageBreakBefore w:val="0"/>
              <w:widowControl w:val="0"/>
              <w:kinsoku/>
              <w:wordWrap/>
              <w:overflowPunct/>
              <w:topLinePunct w:val="0"/>
              <w:autoSpaceDE w:val="0"/>
              <w:autoSpaceDN w:val="0"/>
              <w:bidi w:val="0"/>
              <w:adjustRightInd w:val="0"/>
              <w:snapToGrid/>
              <w:spacing w:line="460" w:lineRule="exact"/>
              <w:ind w:firstLine="458" w:firstLineChars="200"/>
              <w:textAlignment w:val="auto"/>
              <w:rPr>
                <w:rFonts w:hint="eastAsia" w:ascii="Times New Roman" w:hAnsi="Times New Roman" w:eastAsia="方正书宋_GBK" w:cs="Times New Roman"/>
                <w:color w:val="auto"/>
                <w:spacing w:val="-6"/>
                <w:kern w:val="2"/>
              </w:rPr>
            </w:pPr>
            <w:r>
              <w:rPr>
                <w:rFonts w:hint="eastAsia" w:ascii="Times New Roman" w:hAnsi="Times New Roman" w:eastAsia="方正楷体_GBK" w:cs="Times New Roman"/>
                <w:b/>
                <w:bCs/>
                <w:color w:val="auto"/>
                <w:spacing w:val="-6"/>
                <w:kern w:val="2"/>
              </w:rPr>
              <w:t>家庭教育指导站点建设。</w:t>
            </w:r>
            <w:r>
              <w:rPr>
                <w:rFonts w:hint="eastAsia" w:ascii="Times New Roman" w:hAnsi="Times New Roman" w:eastAsia="方正书宋_GBK" w:cs="Times New Roman"/>
                <w:color w:val="auto"/>
                <w:spacing w:val="-6"/>
                <w:kern w:val="2"/>
              </w:rPr>
              <w:t>建立区、镇（街道）、村（社区）三级家庭教育指导站点，举办父母学堂、家庭阅读、亲子活动、科学育儿、心理健康等家庭教育实践活动，开展家庭教育指导，传播科学家教理念。</w:t>
            </w:r>
          </w:p>
          <w:p w14:paraId="25DFE0DB">
            <w:pPr>
              <w:pStyle w:val="8"/>
              <w:keepNext w:val="0"/>
              <w:keepLines w:val="0"/>
              <w:pageBreakBefore w:val="0"/>
              <w:widowControl w:val="0"/>
              <w:kinsoku/>
              <w:wordWrap/>
              <w:overflowPunct/>
              <w:topLinePunct w:val="0"/>
              <w:autoSpaceDE w:val="0"/>
              <w:autoSpaceDN w:val="0"/>
              <w:bidi w:val="0"/>
              <w:adjustRightInd w:val="0"/>
              <w:snapToGrid/>
              <w:spacing w:line="460" w:lineRule="exact"/>
              <w:ind w:firstLine="458" w:firstLineChars="200"/>
              <w:textAlignment w:val="auto"/>
              <w:rPr>
                <w:rFonts w:hint="eastAsia" w:ascii="Times New Roman" w:hAnsi="Times New Roman" w:eastAsia="方正书宋_GBK" w:cs="Times New Roman"/>
                <w:color w:val="auto"/>
                <w:spacing w:val="-6"/>
                <w:kern w:val="2"/>
              </w:rPr>
            </w:pPr>
            <w:r>
              <w:rPr>
                <w:rFonts w:hint="eastAsia" w:ascii="Times New Roman" w:hAnsi="Times New Roman" w:eastAsia="方正楷体_GBK" w:cs="Times New Roman"/>
                <w:b/>
                <w:bCs/>
                <w:color w:val="auto"/>
                <w:spacing w:val="-6"/>
                <w:kern w:val="2"/>
              </w:rPr>
              <w:t>青少年校外教育营地建设。</w:t>
            </w:r>
            <w:r>
              <w:rPr>
                <w:rFonts w:hint="eastAsia" w:ascii="Times New Roman" w:hAnsi="Times New Roman" w:eastAsia="方正书宋_GBK" w:cs="Times New Roman"/>
                <w:color w:val="auto"/>
                <w:spacing w:val="-6"/>
                <w:kern w:val="2"/>
              </w:rPr>
              <w:t>建成</w:t>
            </w:r>
            <w:r>
              <w:rPr>
                <w:rFonts w:ascii="Times New Roman" w:hAnsi="Times New Roman" w:eastAsia="方正书宋_GBK" w:cs="Times New Roman"/>
                <w:color w:val="auto"/>
                <w:spacing w:val="-6"/>
                <w:kern w:val="2"/>
              </w:rPr>
              <w:t>5</w:t>
            </w:r>
            <w:r>
              <w:rPr>
                <w:rFonts w:hint="eastAsia" w:ascii="Times New Roman" w:hAnsi="Times New Roman" w:eastAsia="方正书宋_GBK" w:cs="Times New Roman"/>
                <w:color w:val="auto"/>
                <w:spacing w:val="-6"/>
                <w:kern w:val="2"/>
              </w:rPr>
              <w:t>个青少年校外教育营地，主要包括青少年拓展训练场地、配套服务设施等，提升校外教育阵地的承载力、辐射力和带动性。</w:t>
            </w:r>
          </w:p>
          <w:p w14:paraId="0F410B7D">
            <w:pPr>
              <w:pStyle w:val="8"/>
              <w:keepNext w:val="0"/>
              <w:keepLines w:val="0"/>
              <w:pageBreakBefore w:val="0"/>
              <w:widowControl w:val="0"/>
              <w:kinsoku/>
              <w:wordWrap/>
              <w:overflowPunct/>
              <w:topLinePunct w:val="0"/>
              <w:autoSpaceDE w:val="0"/>
              <w:autoSpaceDN w:val="0"/>
              <w:bidi w:val="0"/>
              <w:adjustRightInd w:val="0"/>
              <w:snapToGrid/>
              <w:spacing w:line="460" w:lineRule="exact"/>
              <w:ind w:firstLine="458" w:firstLineChars="200"/>
              <w:textAlignment w:val="auto"/>
              <w:rPr>
                <w:rFonts w:hint="eastAsia" w:ascii="Times New Roman" w:hAnsi="Times New Roman" w:eastAsia="方正仿宋_GBK" w:cs="Times New Roman"/>
                <w:color w:val="auto"/>
                <w:kern w:val="2"/>
                <w:sz w:val="32"/>
                <w:szCs w:val="32"/>
              </w:rPr>
            </w:pPr>
            <w:r>
              <w:rPr>
                <w:rFonts w:hint="eastAsia" w:ascii="Times New Roman" w:hAnsi="Times New Roman" w:eastAsia="方正楷体_GBK" w:cs="Times New Roman"/>
                <w:b/>
                <w:bCs/>
                <w:color w:val="auto"/>
                <w:spacing w:val="-6"/>
                <w:kern w:val="2"/>
              </w:rPr>
              <w:t>“青少年之家”建设。</w:t>
            </w:r>
            <w:r>
              <w:rPr>
                <w:rFonts w:hint="eastAsia" w:ascii="Times New Roman" w:hAnsi="Times New Roman" w:eastAsia="方正书宋_GBK" w:cs="Times New Roman"/>
                <w:color w:val="auto"/>
                <w:spacing w:val="-6"/>
                <w:kern w:val="2"/>
              </w:rPr>
              <w:t>累计建成“青少年之家”30所，实现镇（街道）全覆盖，定期开展活动，每年服务青少年1万人次以上。</w:t>
            </w:r>
          </w:p>
        </w:tc>
      </w:tr>
    </w:tbl>
    <w:p w14:paraId="1FDC8478">
      <w:pPr>
        <w:shd w:val="clear" w:color="auto" w:fill="FFFFFF"/>
        <w:adjustRightInd w:val="0"/>
        <w:snapToGrid w:val="0"/>
        <w:spacing w:line="600" w:lineRule="exact"/>
        <w:jc w:val="center"/>
        <w:rPr>
          <w:rFonts w:eastAsia="方正黑体_GBK"/>
          <w:sz w:val="32"/>
          <w:szCs w:val="32"/>
        </w:rPr>
      </w:pPr>
      <w:r>
        <w:rPr>
          <w:rFonts w:hint="eastAsia" w:eastAsia="方正黑体_GBK"/>
          <w:sz w:val="32"/>
          <w:szCs w:val="32"/>
        </w:rPr>
        <w:t xml:space="preserve">第五章 </w:t>
      </w:r>
      <w:r>
        <w:rPr>
          <w:rFonts w:eastAsia="方正黑体_GBK"/>
          <w:sz w:val="32"/>
          <w:szCs w:val="32"/>
        </w:rPr>
        <w:t xml:space="preserve"> </w:t>
      </w:r>
      <w:r>
        <w:rPr>
          <w:rFonts w:hint="eastAsia" w:eastAsia="方正黑体_GBK"/>
          <w:sz w:val="32"/>
          <w:szCs w:val="32"/>
        </w:rPr>
        <w:t>深化拓展群众性精神文明创建活动</w:t>
      </w:r>
    </w:p>
    <w:p w14:paraId="0180EA7D">
      <w:pPr>
        <w:adjustRightInd w:val="0"/>
        <w:snapToGrid w:val="0"/>
        <w:spacing w:line="600" w:lineRule="exact"/>
        <w:jc w:val="center"/>
        <w:rPr>
          <w:rFonts w:eastAsia="方正楷体_GBK"/>
          <w:sz w:val="32"/>
          <w:szCs w:val="32"/>
        </w:rPr>
      </w:pPr>
      <w:r>
        <w:rPr>
          <w:rFonts w:hint="eastAsia" w:eastAsia="方正楷体_GBK"/>
          <w:sz w:val="32"/>
          <w:szCs w:val="32"/>
        </w:rPr>
        <w:t xml:space="preserve">第十六节 </w:t>
      </w:r>
      <w:r>
        <w:rPr>
          <w:rFonts w:eastAsia="方正楷体_GBK"/>
          <w:sz w:val="32"/>
          <w:szCs w:val="32"/>
        </w:rPr>
        <w:t xml:space="preserve"> </w:t>
      </w:r>
      <w:r>
        <w:rPr>
          <w:rFonts w:hint="eastAsia" w:eastAsia="方正楷体_GBK"/>
          <w:sz w:val="32"/>
          <w:szCs w:val="32"/>
        </w:rPr>
        <w:t>深化文明城区创建</w:t>
      </w:r>
    </w:p>
    <w:p w14:paraId="0E148EB3">
      <w:pPr>
        <w:adjustRightInd w:val="0"/>
        <w:snapToGrid w:val="0"/>
        <w:spacing w:line="600" w:lineRule="exact"/>
        <w:ind w:firstLine="640" w:firstLineChars="200"/>
        <w:rPr>
          <w:rFonts w:hint="eastAsia" w:eastAsia="方正仿宋_GBK"/>
          <w:bCs/>
          <w:sz w:val="32"/>
          <w:szCs w:val="32"/>
        </w:rPr>
      </w:pPr>
      <w:r>
        <w:rPr>
          <w:rFonts w:hint="eastAsia" w:eastAsia="方正仿宋_GBK"/>
          <w:bCs/>
          <w:sz w:val="32"/>
          <w:szCs w:val="32"/>
        </w:rPr>
        <w:t>坚持创建为民惠民导向，突出自然生态特点，落实城市更新行动，助力推进以人为核心的新型城镇化，真正实现城市共治共管、共建共享，让群众在城市生活得更方便、更舒心、更美好。着眼城市颜值提升，深化“文明在行动·潼南更洁净”工作，紧盯主次干道、公园广场、商圈车站等公共区域，完善环卫保洁常态化工作机制，持续加强农贸市场、老旧小区、背街小巷等薄弱环节整治，推动城市宜居程度明显提高。着眼城市品质提升，抓细抓实社区、街区、小区、厂区等文明细胞创建，深入开展车窗抛物、高空抛物、车辆乱停乱放等专项治理，有效解决城市治理顽症难题，推动城市公共秩序持续向好。着眼城市档次提升，大力实施城市品质提升三年行动计划，做大做强“潼城潼创”全民创建品牌，保持文明城区创建常态长效，到2</w:t>
      </w:r>
      <w:r>
        <w:rPr>
          <w:rFonts w:eastAsia="方正仿宋_GBK"/>
          <w:bCs/>
          <w:sz w:val="32"/>
          <w:szCs w:val="32"/>
        </w:rPr>
        <w:t>025</w:t>
      </w:r>
      <w:r>
        <w:rPr>
          <w:rFonts w:hint="eastAsia" w:eastAsia="方正仿宋_GBK"/>
          <w:bCs/>
          <w:sz w:val="32"/>
          <w:szCs w:val="32"/>
        </w:rPr>
        <w:t>年成功提名全国文明城区，推动全区文明气息更加浓郁。</w:t>
      </w:r>
    </w:p>
    <w:p w14:paraId="0C22BCDC">
      <w:pPr>
        <w:adjustRightInd w:val="0"/>
        <w:snapToGrid w:val="0"/>
        <w:spacing w:line="600" w:lineRule="exact"/>
        <w:jc w:val="center"/>
        <w:rPr>
          <w:rFonts w:eastAsia="方正楷体_GBK"/>
          <w:sz w:val="32"/>
          <w:szCs w:val="32"/>
        </w:rPr>
      </w:pPr>
      <w:r>
        <w:rPr>
          <w:rFonts w:hint="eastAsia" w:eastAsia="方正楷体_GBK"/>
          <w:sz w:val="32"/>
          <w:szCs w:val="32"/>
        </w:rPr>
        <w:t>第十七节</w:t>
      </w:r>
      <w:r>
        <w:rPr>
          <w:rFonts w:eastAsia="方正楷体_GBK"/>
          <w:sz w:val="32"/>
          <w:szCs w:val="32"/>
        </w:rPr>
        <w:t xml:space="preserve">  </w:t>
      </w:r>
      <w:r>
        <w:rPr>
          <w:rFonts w:hint="eastAsia" w:eastAsia="方正楷体_GBK"/>
          <w:sz w:val="32"/>
          <w:szCs w:val="32"/>
        </w:rPr>
        <w:t>深化文明村镇创建</w:t>
      </w:r>
    </w:p>
    <w:p w14:paraId="11126A74">
      <w:pPr>
        <w:spacing w:line="600" w:lineRule="exact"/>
        <w:ind w:firstLine="640" w:firstLineChars="200"/>
        <w:rPr>
          <w:rFonts w:hint="eastAsia" w:eastAsia="方正仿宋_GBK"/>
          <w:bCs/>
          <w:sz w:val="32"/>
          <w:szCs w:val="32"/>
        </w:rPr>
      </w:pPr>
      <w:r>
        <w:rPr>
          <w:rFonts w:hint="eastAsia" w:eastAsia="方正仿宋_GBK"/>
          <w:bCs/>
          <w:sz w:val="32"/>
          <w:szCs w:val="32"/>
        </w:rPr>
        <w:t>围绕乡风民风美起来、人居环境美起来、文化生活美起来，加强农村精神文明建设，助力美丽乡村建设，服务乡村全面振兴，到2025年</w:t>
      </w:r>
      <w:r>
        <w:rPr>
          <w:rFonts w:hint="eastAsia" w:eastAsia="方正仿宋_GBK"/>
          <w:sz w:val="32"/>
          <w:szCs w:val="32"/>
        </w:rPr>
        <w:t>区级以上文明村和文明镇占比分别达到6</w:t>
      </w:r>
      <w:r>
        <w:rPr>
          <w:rFonts w:eastAsia="方正仿宋_GBK"/>
          <w:sz w:val="32"/>
          <w:szCs w:val="32"/>
        </w:rPr>
        <w:t>0</w:t>
      </w:r>
      <w:r>
        <w:rPr>
          <w:rFonts w:hint="eastAsia" w:eastAsia="方正仿宋_GBK"/>
          <w:sz w:val="32"/>
          <w:szCs w:val="32"/>
        </w:rPr>
        <w:t>%、7</w:t>
      </w:r>
      <w:r>
        <w:rPr>
          <w:rFonts w:eastAsia="方正仿宋_GBK"/>
          <w:sz w:val="32"/>
          <w:szCs w:val="32"/>
        </w:rPr>
        <w:t>5</w:t>
      </w:r>
      <w:r>
        <w:rPr>
          <w:rFonts w:hint="eastAsia" w:eastAsia="方正仿宋_GBK"/>
          <w:sz w:val="32"/>
          <w:szCs w:val="32"/>
        </w:rPr>
        <w:t>%。</w:t>
      </w:r>
      <w:r>
        <w:rPr>
          <w:rFonts w:hint="eastAsia" w:eastAsia="方正仿宋_GBK"/>
          <w:bCs/>
          <w:sz w:val="32"/>
          <w:szCs w:val="32"/>
        </w:rPr>
        <w:t>抓实移风易俗“十抵制十提倡”工作，举办“好人在身边”微访谈，推行文明实践积分超市，推动民主法治村（社区）自治、法治、德治“三治结合”建设达标率达到100%，推动形成文明乡风、淳朴民风。编制完善村庄规划，实施农村人居环境整治提升五年行动，重点推进“厕所革命”、垃圾分类和源头治理、生活污水治理，评比选树“美丽庭院”“清洁户”，促进农村人居环境更加整洁优美。深入实施乡村文化“百乡千村”示范工程，积极参与“十校结百村 艺术美乡村”活动，每年送流动文化进村</w:t>
      </w:r>
      <w:r>
        <w:rPr>
          <w:rFonts w:eastAsia="方正仿宋_GBK"/>
          <w:bCs/>
          <w:sz w:val="32"/>
          <w:szCs w:val="32"/>
        </w:rPr>
        <w:t>1000</w:t>
      </w:r>
      <w:r>
        <w:rPr>
          <w:rFonts w:hint="eastAsia" w:eastAsia="方正仿宋_GBK"/>
          <w:bCs/>
          <w:sz w:val="32"/>
          <w:szCs w:val="32"/>
        </w:rPr>
        <w:t>场、送电影进村</w:t>
      </w:r>
      <w:r>
        <w:rPr>
          <w:rFonts w:eastAsia="方正仿宋_GBK"/>
          <w:bCs/>
          <w:sz w:val="32"/>
          <w:szCs w:val="32"/>
        </w:rPr>
        <w:t>3000</w:t>
      </w:r>
      <w:r>
        <w:rPr>
          <w:rFonts w:hint="eastAsia" w:eastAsia="方正仿宋_GBK"/>
          <w:bCs/>
          <w:sz w:val="32"/>
          <w:szCs w:val="32"/>
        </w:rPr>
        <w:t>场，预期建成乡情陈列馆</w:t>
      </w:r>
      <w:r>
        <w:rPr>
          <w:rFonts w:eastAsia="方正仿宋_GBK"/>
          <w:bCs/>
          <w:sz w:val="32"/>
          <w:szCs w:val="32"/>
        </w:rPr>
        <w:t>15</w:t>
      </w:r>
      <w:r>
        <w:rPr>
          <w:rFonts w:hint="eastAsia" w:eastAsia="方正仿宋_GBK"/>
          <w:bCs/>
          <w:sz w:val="32"/>
          <w:szCs w:val="32"/>
        </w:rPr>
        <w:t>个、</w:t>
      </w:r>
      <w:r>
        <w:rPr>
          <w:rFonts w:hint="eastAsia" w:eastAsia="方正仿宋_GBK" w:cs="方正仿宋_GBK"/>
          <w:bCs/>
          <w:sz w:val="32"/>
          <w:szCs w:val="32"/>
        </w:rPr>
        <w:t>每年</w:t>
      </w:r>
      <w:r>
        <w:rPr>
          <w:rFonts w:eastAsia="方正仿宋_GBK" w:cs="方正仿宋_GBK"/>
          <w:bCs/>
          <w:sz w:val="32"/>
          <w:szCs w:val="32"/>
        </w:rPr>
        <w:t>打</w:t>
      </w:r>
      <w:r>
        <w:rPr>
          <w:rFonts w:hint="eastAsia" w:eastAsia="方正仿宋_GBK" w:cs="方正仿宋_GBK"/>
          <w:bCs/>
          <w:sz w:val="32"/>
          <w:szCs w:val="32"/>
        </w:rPr>
        <w:t>造“一村一品”文</w:t>
      </w:r>
      <w:r>
        <w:rPr>
          <w:rFonts w:eastAsia="方正仿宋_GBK" w:cs="方正仿宋_GBK"/>
          <w:bCs/>
          <w:sz w:val="32"/>
          <w:szCs w:val="32"/>
        </w:rPr>
        <w:t>化活动品牌2个</w:t>
      </w:r>
      <w:r>
        <w:rPr>
          <w:rFonts w:hint="eastAsia" w:eastAsia="方正仿宋_GBK"/>
          <w:bCs/>
          <w:sz w:val="32"/>
          <w:szCs w:val="32"/>
        </w:rPr>
        <w:t>，实施传统村落保护发展项目</w:t>
      </w:r>
      <w:r>
        <w:rPr>
          <w:rFonts w:eastAsia="方正仿宋_GBK"/>
          <w:bCs/>
          <w:sz w:val="32"/>
          <w:szCs w:val="32"/>
        </w:rPr>
        <w:t>2</w:t>
      </w:r>
      <w:r>
        <w:rPr>
          <w:rFonts w:hint="eastAsia" w:eastAsia="方正仿宋_GBK"/>
          <w:bCs/>
          <w:sz w:val="32"/>
          <w:szCs w:val="32"/>
        </w:rPr>
        <w:t>个以上，传承发展农村优秀传统文化。</w:t>
      </w:r>
    </w:p>
    <w:p w14:paraId="48E746A8">
      <w:pPr>
        <w:adjustRightInd w:val="0"/>
        <w:snapToGrid w:val="0"/>
        <w:spacing w:line="600" w:lineRule="exact"/>
        <w:jc w:val="center"/>
        <w:rPr>
          <w:rFonts w:eastAsia="方正楷体_GBK"/>
          <w:sz w:val="32"/>
          <w:szCs w:val="32"/>
        </w:rPr>
      </w:pPr>
      <w:r>
        <w:rPr>
          <w:rFonts w:hint="eastAsia" w:eastAsia="方正楷体_GBK"/>
          <w:sz w:val="32"/>
          <w:szCs w:val="32"/>
        </w:rPr>
        <w:t>第十八节</w:t>
      </w:r>
      <w:r>
        <w:rPr>
          <w:rFonts w:eastAsia="方正楷体_GBK"/>
          <w:sz w:val="32"/>
          <w:szCs w:val="32"/>
        </w:rPr>
        <w:t xml:space="preserve">  </w:t>
      </w:r>
      <w:r>
        <w:rPr>
          <w:rFonts w:hint="eastAsia" w:eastAsia="方正楷体_GBK"/>
          <w:sz w:val="32"/>
          <w:szCs w:val="32"/>
        </w:rPr>
        <w:t>深化文明单位创建</w:t>
      </w:r>
    </w:p>
    <w:p w14:paraId="521B4B9E">
      <w:pPr>
        <w:adjustRightInd w:val="0"/>
        <w:snapToGrid w:val="0"/>
        <w:spacing w:line="600" w:lineRule="exact"/>
        <w:ind w:firstLine="640" w:firstLineChars="200"/>
        <w:rPr>
          <w:rFonts w:hint="eastAsia" w:eastAsia="方正仿宋_GBK"/>
          <w:bCs/>
          <w:sz w:val="32"/>
          <w:szCs w:val="32"/>
        </w:rPr>
      </w:pPr>
      <w:r>
        <w:rPr>
          <w:rFonts w:hint="eastAsia" w:eastAsia="方正仿宋_GBK"/>
          <w:bCs/>
          <w:sz w:val="32"/>
          <w:szCs w:val="32"/>
        </w:rPr>
        <w:t>着眼提高员工素质、涵养职业操守、培育职业精神、树立行业新风，到2025年累计创建区级以上文明单位</w:t>
      </w:r>
      <w:r>
        <w:rPr>
          <w:rFonts w:eastAsia="方正仿宋_GBK"/>
          <w:bCs/>
          <w:sz w:val="32"/>
          <w:szCs w:val="32"/>
        </w:rPr>
        <w:t>250</w:t>
      </w:r>
      <w:r>
        <w:rPr>
          <w:rFonts w:hint="eastAsia" w:eastAsia="方正仿宋_GBK"/>
          <w:bCs/>
          <w:sz w:val="32"/>
          <w:szCs w:val="32"/>
        </w:rPr>
        <w:t>个。坚持分级管理、分类指导原则，完善领导体制和工作机制，发挥行业主管部门和行业协会作用，健全激励引导政策，推动形成创建合力。开展“最美人物”学习宣传活动和“潼南工匠”评选活动，推出一批服务标兵，打造一批优质服务窗口。深化“爱心进农家”帮扶行动，推动巩固拓展脱贫攻坚成果同乡村振兴有效衔接，更加彰显创建成效。完善文明单位考评制度，明确工作导向，推动文明单位创建向非公有制经济组织和社会组织覆盖，不断激发创建活力。</w:t>
      </w:r>
    </w:p>
    <w:p w14:paraId="53680F54">
      <w:pPr>
        <w:adjustRightInd w:val="0"/>
        <w:snapToGrid w:val="0"/>
        <w:spacing w:line="600" w:lineRule="exact"/>
        <w:jc w:val="center"/>
        <w:rPr>
          <w:rFonts w:eastAsia="方正楷体_GBK"/>
          <w:sz w:val="32"/>
          <w:szCs w:val="32"/>
        </w:rPr>
      </w:pPr>
      <w:r>
        <w:rPr>
          <w:rFonts w:hint="eastAsia" w:eastAsia="方正楷体_GBK"/>
          <w:sz w:val="32"/>
          <w:szCs w:val="32"/>
        </w:rPr>
        <w:t>第十九节</w:t>
      </w:r>
      <w:r>
        <w:rPr>
          <w:rFonts w:eastAsia="方正楷体_GBK"/>
          <w:sz w:val="32"/>
          <w:szCs w:val="32"/>
        </w:rPr>
        <w:t xml:space="preserve">  </w:t>
      </w:r>
      <w:r>
        <w:rPr>
          <w:rFonts w:hint="eastAsia" w:eastAsia="方正楷体_GBK"/>
          <w:sz w:val="32"/>
          <w:szCs w:val="32"/>
        </w:rPr>
        <w:t>深化文明家庭创建</w:t>
      </w:r>
    </w:p>
    <w:p w14:paraId="6B59688F">
      <w:pPr>
        <w:adjustRightInd w:val="0"/>
        <w:snapToGrid w:val="0"/>
        <w:spacing w:line="600" w:lineRule="exact"/>
        <w:ind w:firstLine="640" w:firstLineChars="200"/>
        <w:rPr>
          <w:rFonts w:hint="eastAsia" w:eastAsia="方正仿宋_GBK"/>
          <w:bCs/>
          <w:sz w:val="32"/>
          <w:szCs w:val="32"/>
        </w:rPr>
      </w:pPr>
      <w:r>
        <w:rPr>
          <w:rFonts w:hint="eastAsia" w:eastAsia="方正仿宋_GBK"/>
          <w:bCs/>
          <w:sz w:val="32"/>
          <w:szCs w:val="32"/>
        </w:rPr>
        <w:t>以深化家庭文明建设为目标，突出抓好家庭家教家风建设，弘扬社会主义家庭文明新风尚，到2025年区级以上文明家庭达到</w:t>
      </w:r>
      <w:r>
        <w:rPr>
          <w:rFonts w:eastAsia="方正仿宋_GBK"/>
          <w:sz w:val="32"/>
          <w:szCs w:val="32"/>
        </w:rPr>
        <w:t>100</w:t>
      </w:r>
      <w:r>
        <w:rPr>
          <w:rFonts w:hint="eastAsia" w:eastAsia="方正仿宋_GBK"/>
          <w:bCs/>
          <w:sz w:val="32"/>
          <w:szCs w:val="32"/>
        </w:rPr>
        <w:t>户。推选好“五好家庭”“最美家庭”“星级文明户”，实施好“千万妇女文明素养提升”项目，推动广大家庭以德治家、以学兴家、文明立家、忠厚传家。培育打造家风家教创新实践基地，广泛开展“家风润万家”主题活动，组织群众议家风、立家训、传家礼、评家庭，以好家风铸就好作风、支撑好风尚。精心策划“我们的节日”主题活动，引导群众发扬光大中华民族传统家庭美德，促进家庭和睦、亲人相爱、下一代人健康成长、老年人老有所养，让家庭成为城市发展、社会和谐的重要基点。</w:t>
      </w:r>
    </w:p>
    <w:p w14:paraId="1F0955F2">
      <w:pPr>
        <w:adjustRightInd w:val="0"/>
        <w:snapToGrid w:val="0"/>
        <w:spacing w:line="600" w:lineRule="exact"/>
        <w:jc w:val="center"/>
        <w:rPr>
          <w:rFonts w:eastAsia="方正楷体_GBK"/>
          <w:sz w:val="32"/>
          <w:szCs w:val="32"/>
        </w:rPr>
      </w:pPr>
      <w:r>
        <w:rPr>
          <w:rFonts w:hint="eastAsia" w:eastAsia="方正楷体_GBK"/>
          <w:sz w:val="32"/>
          <w:szCs w:val="32"/>
        </w:rPr>
        <w:t xml:space="preserve">第二十节 </w:t>
      </w:r>
      <w:r>
        <w:rPr>
          <w:rFonts w:eastAsia="方正楷体_GBK"/>
          <w:sz w:val="32"/>
          <w:szCs w:val="32"/>
        </w:rPr>
        <w:t xml:space="preserve"> </w:t>
      </w:r>
      <w:r>
        <w:rPr>
          <w:rFonts w:hint="eastAsia" w:eastAsia="方正楷体_GBK"/>
          <w:sz w:val="32"/>
          <w:szCs w:val="32"/>
        </w:rPr>
        <w:t>深化文明校园创建</w:t>
      </w:r>
    </w:p>
    <w:p w14:paraId="08911479">
      <w:pPr>
        <w:adjustRightInd w:val="0"/>
        <w:snapToGrid w:val="0"/>
        <w:spacing w:line="600" w:lineRule="exact"/>
        <w:ind w:firstLine="640" w:firstLineChars="200"/>
        <w:rPr>
          <w:rFonts w:hint="eastAsia" w:eastAsia="方正仿宋_GBK"/>
          <w:bCs/>
          <w:sz w:val="32"/>
          <w:szCs w:val="32"/>
        </w:rPr>
      </w:pPr>
      <w:r>
        <w:rPr>
          <w:rFonts w:hint="eastAsia" w:eastAsia="方正仿宋_GBK"/>
          <w:bCs/>
          <w:sz w:val="32"/>
          <w:szCs w:val="32"/>
        </w:rPr>
        <w:t>全面落实立德树人根本任务，努力实现“培育一个孩子、影响一个家庭、推动社会文明”的育人愿景，到2025年区级以上文明校园占比达到</w:t>
      </w:r>
      <w:r>
        <w:rPr>
          <w:rFonts w:eastAsia="方正仿宋_GBK"/>
          <w:bCs/>
          <w:sz w:val="32"/>
          <w:szCs w:val="32"/>
        </w:rPr>
        <w:t>7</w:t>
      </w:r>
      <w:r>
        <w:rPr>
          <w:rFonts w:hint="eastAsia" w:eastAsia="方正仿宋_GBK"/>
          <w:bCs/>
          <w:sz w:val="32"/>
          <w:szCs w:val="32"/>
        </w:rPr>
        <w:t>0%。做好党的创新理论进课堂、进头脑工作，办好办精思想政治理论课，让党的创新理论走近学生、引领学生。加强师德师风建设，严格制度规定，强化教育督导，引导广大教师以赤诚之心、奉献之心、仁爱之心投身教育事业。运用校训、校史、校歌、校徽等校园文化符号，开展形式多样、健康向上、格调高雅的校园文化活动，不断拓宽育人渠道和空间。开展“新时代好少年”学习宣传活动，推进文明班级、文明宿舍、文明食堂等创建，让学生学有榜样、行有示范，努力成长为实现第二个百年奋斗目标、建设社会主义现代化强国的生力军。</w:t>
      </w:r>
    </w:p>
    <w:p w14:paraId="137406C8">
      <w:pPr>
        <w:adjustRightInd w:val="0"/>
        <w:snapToGrid w:val="0"/>
        <w:spacing w:line="600" w:lineRule="exact"/>
        <w:jc w:val="center"/>
        <w:rPr>
          <w:rFonts w:hint="eastAsia" w:eastAsia="方正黑体_GBK"/>
          <w:spacing w:val="-12"/>
          <w:sz w:val="32"/>
          <w:szCs w:val="32"/>
        </w:rPr>
      </w:pPr>
    </w:p>
    <w:p w14:paraId="6A53B1F0">
      <w:pPr>
        <w:adjustRightInd w:val="0"/>
        <w:snapToGrid w:val="0"/>
        <w:spacing w:line="600" w:lineRule="exact"/>
        <w:jc w:val="center"/>
        <w:rPr>
          <w:rFonts w:hint="eastAsia" w:eastAsia="方正黑体_GBK"/>
          <w:spacing w:val="-12"/>
          <w:sz w:val="32"/>
          <w:szCs w:val="32"/>
        </w:rPr>
      </w:pPr>
    </w:p>
    <w:p w14:paraId="21B28F02">
      <w:pPr>
        <w:adjustRightInd w:val="0"/>
        <w:snapToGrid w:val="0"/>
        <w:spacing w:line="600" w:lineRule="exact"/>
        <w:jc w:val="center"/>
        <w:rPr>
          <w:rFonts w:hint="eastAsia" w:eastAsia="方正黑体_GBK"/>
          <w:spacing w:val="-12"/>
          <w:sz w:val="32"/>
          <w:szCs w:val="32"/>
        </w:rPr>
      </w:pPr>
      <w:r>
        <w:rPr>
          <w:rFonts w:hint="eastAsia" w:eastAsia="方正黑体_GBK"/>
          <w:spacing w:val="-12"/>
          <w:sz w:val="32"/>
          <w:szCs w:val="32"/>
        </w:rPr>
        <w:t>专栏</w:t>
      </w:r>
      <w:r>
        <w:rPr>
          <w:rFonts w:eastAsia="方正黑体_GBK"/>
          <w:spacing w:val="-12"/>
          <w:sz w:val="32"/>
          <w:szCs w:val="32"/>
        </w:rPr>
        <w:t>4</w:t>
      </w:r>
      <w:r>
        <w:rPr>
          <w:rFonts w:hint="eastAsia" w:eastAsia="方正黑体_GBK"/>
          <w:spacing w:val="-12"/>
          <w:sz w:val="32"/>
          <w:szCs w:val="32"/>
        </w:rPr>
        <w:t xml:space="preserve">  文明创建重点项目</w:t>
      </w:r>
    </w:p>
    <w:p w14:paraId="24044FA8">
      <w:pPr>
        <w:pBdr>
          <w:top w:val="single" w:color="auto" w:sz="6" w:space="1"/>
          <w:left w:val="single" w:color="auto" w:sz="6" w:space="4"/>
          <w:bottom w:val="single" w:color="auto" w:sz="6" w:space="1"/>
          <w:right w:val="single" w:color="auto" w:sz="6" w:space="4"/>
        </w:pBdr>
        <w:spacing w:line="500" w:lineRule="exact"/>
        <w:ind w:left="105" w:leftChars="50" w:right="105" w:rightChars="50" w:firstLine="466" w:firstLineChars="200"/>
        <w:rPr>
          <w:rFonts w:hint="eastAsia" w:eastAsia="方正书宋_GBK"/>
          <w:spacing w:val="-4"/>
          <w:sz w:val="24"/>
        </w:rPr>
      </w:pPr>
      <w:r>
        <w:rPr>
          <w:rFonts w:hint="eastAsia" w:eastAsia="方正楷体_GBK"/>
          <w:b/>
          <w:bCs/>
          <w:spacing w:val="-4"/>
          <w:sz w:val="24"/>
        </w:rPr>
        <w:t>传统村落保护发展项目</w:t>
      </w:r>
      <w:r>
        <w:rPr>
          <w:rFonts w:hint="eastAsia" w:eastAsia="方正书宋_GBK"/>
          <w:b/>
          <w:bCs/>
          <w:spacing w:val="-4"/>
          <w:sz w:val="24"/>
        </w:rPr>
        <w:t>。</w:t>
      </w:r>
      <w:r>
        <w:rPr>
          <w:rFonts w:hint="eastAsia" w:eastAsia="方正书宋_GBK"/>
          <w:spacing w:val="-4"/>
          <w:sz w:val="24"/>
        </w:rPr>
        <w:t>实施至少</w:t>
      </w:r>
      <w:r>
        <w:rPr>
          <w:rFonts w:eastAsia="方正书宋_GBK"/>
          <w:spacing w:val="-6"/>
          <w:sz w:val="24"/>
        </w:rPr>
        <w:t>3</w:t>
      </w:r>
      <w:r>
        <w:rPr>
          <w:rFonts w:hint="eastAsia" w:eastAsia="方正书宋_GBK"/>
          <w:spacing w:val="-6"/>
          <w:sz w:val="24"/>
        </w:rPr>
        <w:t>个</w:t>
      </w:r>
      <w:r>
        <w:rPr>
          <w:rFonts w:hint="eastAsia" w:eastAsia="方正书宋_GBK"/>
          <w:spacing w:val="-4"/>
          <w:sz w:val="24"/>
        </w:rPr>
        <w:t>具有地域特点、民族特色和时代特征的传统村落保护发展项目，让传统村落成为乡村振兴一道亮丽的风景线。</w:t>
      </w:r>
    </w:p>
    <w:p w14:paraId="78B903EC">
      <w:pPr>
        <w:pBdr>
          <w:top w:val="single" w:color="auto" w:sz="6" w:space="1"/>
          <w:left w:val="single" w:color="auto" w:sz="6" w:space="4"/>
          <w:bottom w:val="single" w:color="auto" w:sz="6" w:space="1"/>
          <w:right w:val="single" w:color="auto" w:sz="6" w:space="4"/>
        </w:pBdr>
        <w:spacing w:line="500" w:lineRule="exact"/>
        <w:ind w:left="105" w:leftChars="50" w:right="105" w:rightChars="50" w:firstLine="482" w:firstLineChars="200"/>
        <w:rPr>
          <w:rFonts w:hint="eastAsia" w:eastAsia="方正书宋_GBK"/>
          <w:sz w:val="24"/>
        </w:rPr>
      </w:pPr>
      <w:r>
        <w:rPr>
          <w:rFonts w:hint="eastAsia" w:eastAsia="方正楷体_GBK"/>
          <w:b/>
          <w:bCs/>
          <w:sz w:val="24"/>
        </w:rPr>
        <w:t>乡村文化“百乡千村”示范工程。</w:t>
      </w:r>
      <w:r>
        <w:rPr>
          <w:rFonts w:hint="eastAsia" w:eastAsia="方正书宋_GBK"/>
          <w:sz w:val="24"/>
        </w:rPr>
        <w:t>突出乡村特点、注重文化内涵、涵养文明风尚，每3年滚动建设5个乡村文化示范镇和15个乡村文化示范村。</w:t>
      </w:r>
    </w:p>
    <w:p w14:paraId="12875E9B">
      <w:pPr>
        <w:pBdr>
          <w:top w:val="single" w:color="auto" w:sz="6" w:space="1"/>
          <w:left w:val="single" w:color="auto" w:sz="6" w:space="4"/>
          <w:bottom w:val="single" w:color="auto" w:sz="6" w:space="1"/>
          <w:right w:val="single" w:color="auto" w:sz="6" w:space="4"/>
        </w:pBdr>
        <w:spacing w:line="500" w:lineRule="exact"/>
        <w:ind w:left="105" w:leftChars="50" w:right="105" w:rightChars="50" w:firstLine="482" w:firstLineChars="200"/>
        <w:rPr>
          <w:rFonts w:hint="eastAsia" w:eastAsia="方正书宋_GBK"/>
          <w:sz w:val="24"/>
        </w:rPr>
      </w:pPr>
      <w:r>
        <w:rPr>
          <w:rFonts w:hint="eastAsia" w:eastAsia="方正楷体_GBK"/>
          <w:b/>
          <w:bCs/>
          <w:sz w:val="24"/>
        </w:rPr>
        <w:t>乡情陈列馆建设。</w:t>
      </w:r>
      <w:r>
        <w:rPr>
          <w:rFonts w:hint="eastAsia" w:eastAsia="方正书宋_GBK"/>
          <w:sz w:val="24"/>
        </w:rPr>
        <w:t>深入挖掘地方历史文化资源，传承优秀乡土文化，到2025年预期建成15个乡情陈列馆。</w:t>
      </w:r>
    </w:p>
    <w:p w14:paraId="631EEBE6">
      <w:pPr>
        <w:pBdr>
          <w:top w:val="single" w:color="auto" w:sz="6" w:space="1"/>
          <w:left w:val="single" w:color="auto" w:sz="6" w:space="4"/>
          <w:bottom w:val="single" w:color="auto" w:sz="6" w:space="1"/>
          <w:right w:val="single" w:color="auto" w:sz="6" w:space="4"/>
        </w:pBdr>
        <w:spacing w:line="500" w:lineRule="exact"/>
        <w:ind w:left="105" w:leftChars="50" w:right="105" w:rightChars="50" w:firstLine="482" w:firstLineChars="200"/>
        <w:rPr>
          <w:rFonts w:hint="eastAsia" w:eastAsia="方正书宋_GBK"/>
          <w:sz w:val="24"/>
        </w:rPr>
      </w:pPr>
      <w:r>
        <w:rPr>
          <w:rFonts w:hint="eastAsia" w:eastAsia="方正楷体_GBK"/>
          <w:b/>
          <w:bCs/>
          <w:sz w:val="24"/>
        </w:rPr>
        <w:t>“一村一品”文化活动品牌建设</w:t>
      </w:r>
      <w:r>
        <w:rPr>
          <w:rFonts w:hint="eastAsia" w:eastAsia="方正书宋_GBK"/>
          <w:b/>
          <w:bCs/>
          <w:sz w:val="24"/>
        </w:rPr>
        <w:t>。</w:t>
      </w:r>
      <w:r>
        <w:rPr>
          <w:rFonts w:hint="eastAsia" w:eastAsia="方正书宋_GBK"/>
          <w:sz w:val="24"/>
        </w:rPr>
        <w:t>按照有队伍、有阵地、有活动、有传承、有保障的“五有”标准，到2025年累计培育品牌22个。</w:t>
      </w:r>
    </w:p>
    <w:p w14:paraId="6C7FDB37">
      <w:pPr>
        <w:pBdr>
          <w:top w:val="single" w:color="auto" w:sz="6" w:space="1"/>
          <w:left w:val="single" w:color="auto" w:sz="6" w:space="4"/>
          <w:bottom w:val="single" w:color="auto" w:sz="6" w:space="1"/>
          <w:right w:val="single" w:color="auto" w:sz="6" w:space="4"/>
        </w:pBdr>
        <w:spacing w:line="500" w:lineRule="exact"/>
        <w:ind w:left="105" w:leftChars="50" w:right="105" w:rightChars="50" w:firstLine="482" w:firstLineChars="200"/>
        <w:rPr>
          <w:rFonts w:hint="eastAsia" w:eastAsia="方正书宋_GBK"/>
          <w:sz w:val="24"/>
        </w:rPr>
      </w:pPr>
      <w:r>
        <w:rPr>
          <w:rFonts w:hint="eastAsia" w:eastAsia="方正楷体_GBK"/>
          <w:b/>
          <w:bCs/>
          <w:sz w:val="24"/>
        </w:rPr>
        <w:t>“千万妇女文明素养提升”项目。</w:t>
      </w:r>
      <w:r>
        <w:rPr>
          <w:rFonts w:hint="eastAsia" w:eastAsia="方正书宋_GBK"/>
          <w:sz w:val="24"/>
        </w:rPr>
        <w:t>开展送课到基层、和谐在身边、家风润万家、榜样我先行、文明我点赞等活动，培养妇女良好行为习惯。</w:t>
      </w:r>
    </w:p>
    <w:p w14:paraId="2E4FBE17">
      <w:pPr>
        <w:shd w:val="clear" w:color="auto" w:fill="FFFFFF"/>
        <w:adjustRightInd w:val="0"/>
        <w:snapToGrid w:val="0"/>
        <w:spacing w:line="600" w:lineRule="exact"/>
        <w:jc w:val="center"/>
        <w:rPr>
          <w:rFonts w:hint="eastAsia" w:eastAsia="方正黑体_GBK"/>
          <w:sz w:val="32"/>
          <w:szCs w:val="32"/>
        </w:rPr>
      </w:pPr>
      <w:r>
        <w:rPr>
          <w:rFonts w:hint="eastAsia" w:eastAsia="方正黑体_GBK"/>
          <w:sz w:val="32"/>
          <w:szCs w:val="32"/>
        </w:rPr>
        <w:t xml:space="preserve">第六章 </w:t>
      </w:r>
      <w:r>
        <w:rPr>
          <w:rFonts w:eastAsia="方正黑体_GBK"/>
          <w:sz w:val="32"/>
          <w:szCs w:val="32"/>
        </w:rPr>
        <w:t xml:space="preserve"> </w:t>
      </w:r>
      <w:r>
        <w:rPr>
          <w:rFonts w:hint="eastAsia" w:eastAsia="方正黑体_GBK"/>
          <w:sz w:val="32"/>
          <w:szCs w:val="32"/>
        </w:rPr>
        <w:t>系统培育文明风尚</w:t>
      </w:r>
    </w:p>
    <w:p w14:paraId="1D9F110E">
      <w:pPr>
        <w:adjustRightInd w:val="0"/>
        <w:snapToGrid w:val="0"/>
        <w:spacing w:line="600" w:lineRule="exact"/>
        <w:jc w:val="center"/>
        <w:rPr>
          <w:rFonts w:eastAsia="方正楷体_GBK"/>
          <w:sz w:val="32"/>
          <w:szCs w:val="32"/>
        </w:rPr>
      </w:pPr>
      <w:r>
        <w:rPr>
          <w:rFonts w:hint="eastAsia" w:eastAsia="方正楷体_GBK"/>
          <w:sz w:val="32"/>
          <w:szCs w:val="32"/>
        </w:rPr>
        <w:t>第二十一节</w:t>
      </w:r>
      <w:r>
        <w:rPr>
          <w:rFonts w:eastAsia="方正楷体_GBK"/>
          <w:sz w:val="32"/>
          <w:szCs w:val="32"/>
        </w:rPr>
        <w:t xml:space="preserve">  </w:t>
      </w:r>
      <w:r>
        <w:rPr>
          <w:rFonts w:hint="eastAsia" w:eastAsia="方正楷体_GBK"/>
          <w:sz w:val="32"/>
          <w:szCs w:val="32"/>
        </w:rPr>
        <w:t>开展“说得文明”主题活动</w:t>
      </w:r>
    </w:p>
    <w:p w14:paraId="20E28D5D">
      <w:pPr>
        <w:spacing w:line="600" w:lineRule="exact"/>
        <w:ind w:firstLine="640" w:firstLineChars="200"/>
        <w:rPr>
          <w:rFonts w:hint="eastAsia" w:eastAsia="方正仿宋_GBK"/>
          <w:bCs/>
          <w:sz w:val="32"/>
          <w:szCs w:val="32"/>
        </w:rPr>
      </w:pPr>
      <w:r>
        <w:rPr>
          <w:rFonts w:hint="eastAsia" w:eastAsia="方正仿宋_GBK"/>
          <w:bCs/>
          <w:sz w:val="32"/>
          <w:szCs w:val="32"/>
        </w:rPr>
        <w:t>发挥党政机关的带头作用，严格落实“国家机关工作人员的普通话达到三级甲等水平”要求，认真开展普通话培训和等级测试工作，倡导在工作场合使用普通话。发挥教育系统的基础作用，组建普通话水平培训专家库，广泛开展普通话水平培训，持续巩固普通话水平在各类教师资格准入、职称评聘中的作用，夯实说用普通话的基础。发挥公共服务行业的引领作用，广泛选树“文明用语服务明星”“文明用语示范岗位”，督促指导公共服务行业和窗口单位的干部职工自觉使用普通话。大力倡导广大市民在公共场所使用普通话、文明用语，拒绝粗话脏话，大力营造共“话”文明的浓厚氛围。</w:t>
      </w:r>
    </w:p>
    <w:p w14:paraId="656AEBED">
      <w:pPr>
        <w:adjustRightInd w:val="0"/>
        <w:snapToGrid w:val="0"/>
        <w:spacing w:line="600" w:lineRule="exact"/>
        <w:jc w:val="center"/>
        <w:rPr>
          <w:rFonts w:eastAsia="方正楷体_GBK"/>
          <w:sz w:val="32"/>
          <w:szCs w:val="32"/>
        </w:rPr>
      </w:pPr>
      <w:r>
        <w:rPr>
          <w:rFonts w:hint="eastAsia" w:eastAsia="方正楷体_GBK"/>
          <w:sz w:val="32"/>
          <w:szCs w:val="32"/>
        </w:rPr>
        <w:t>第二十二节</w:t>
      </w:r>
      <w:r>
        <w:rPr>
          <w:rFonts w:eastAsia="方正楷体_GBK"/>
          <w:sz w:val="32"/>
          <w:szCs w:val="32"/>
        </w:rPr>
        <w:t xml:space="preserve">  </w:t>
      </w:r>
      <w:r>
        <w:rPr>
          <w:rFonts w:hint="eastAsia" w:eastAsia="方正楷体_GBK"/>
          <w:sz w:val="32"/>
          <w:szCs w:val="32"/>
        </w:rPr>
        <w:t>开展“吃得文明”主题活动</w:t>
      </w:r>
    </w:p>
    <w:p w14:paraId="782C4FCB">
      <w:pPr>
        <w:adjustRightInd w:val="0"/>
        <w:snapToGrid w:val="0"/>
        <w:spacing w:line="600" w:lineRule="exact"/>
        <w:ind w:firstLine="640" w:firstLineChars="200"/>
        <w:rPr>
          <w:rFonts w:hint="eastAsia" w:eastAsia="方正仿宋_GBK"/>
          <w:bCs/>
          <w:sz w:val="32"/>
          <w:szCs w:val="32"/>
        </w:rPr>
      </w:pPr>
      <w:r>
        <w:rPr>
          <w:rFonts w:hint="eastAsia" w:eastAsia="方正仿宋_GBK"/>
          <w:bCs/>
          <w:sz w:val="32"/>
          <w:szCs w:val="32"/>
        </w:rPr>
        <w:t>强化理念普及，举办知识讲座，推出文艺作品、新媒体产品，发布公益海报，开展“倡节俭、扬新风”主题活动，推动“吃得合法”“吃得合理”“吃得卫生”“吃得礼貌”“吃得干净”理念深入人心。强化习惯养成，分别在党政机关和企事业单位、餐饮行业和企业、学校、家庭，持续深化“‘光盘行动’我带头、我做到、我争先、我践行”活动，坚决制止餐饮浪费行为，切实培养节约习惯。强化典型选树，推出一批绿色机关、绿色学校、绿色社区、绿色家庭，寻找一批“节约好少年”“节约之星”，创建一批文明餐桌食品安全示范街示范单位，让厉行节约、反对浪费的文明新风吹遍潼南大地。</w:t>
      </w:r>
    </w:p>
    <w:p w14:paraId="0F7A4087">
      <w:pPr>
        <w:adjustRightInd w:val="0"/>
        <w:snapToGrid w:val="0"/>
        <w:spacing w:line="600" w:lineRule="exact"/>
        <w:jc w:val="center"/>
        <w:rPr>
          <w:rFonts w:eastAsia="方正楷体_GBK"/>
          <w:sz w:val="32"/>
          <w:szCs w:val="32"/>
        </w:rPr>
      </w:pPr>
      <w:r>
        <w:rPr>
          <w:rFonts w:hint="eastAsia" w:eastAsia="方正楷体_GBK"/>
          <w:sz w:val="32"/>
          <w:szCs w:val="32"/>
        </w:rPr>
        <w:t>第二十三节</w:t>
      </w:r>
      <w:r>
        <w:rPr>
          <w:rFonts w:eastAsia="方正楷体_GBK"/>
          <w:sz w:val="32"/>
          <w:szCs w:val="32"/>
        </w:rPr>
        <w:t xml:space="preserve"> </w:t>
      </w:r>
      <w:r>
        <w:rPr>
          <w:rFonts w:hint="eastAsia" w:eastAsia="方正楷体_GBK"/>
          <w:sz w:val="32"/>
          <w:szCs w:val="32"/>
          <w:lang w:val="en-US" w:eastAsia="zh-CN"/>
        </w:rPr>
        <w:t xml:space="preserve"> </w:t>
      </w:r>
      <w:r>
        <w:rPr>
          <w:rFonts w:hint="eastAsia" w:eastAsia="方正楷体_GBK"/>
          <w:sz w:val="32"/>
          <w:szCs w:val="32"/>
        </w:rPr>
        <w:t>开展“住得文明”主题活动</w:t>
      </w:r>
    </w:p>
    <w:p w14:paraId="758E4966">
      <w:pPr>
        <w:adjustRightInd w:val="0"/>
        <w:snapToGrid w:val="0"/>
        <w:spacing w:line="600" w:lineRule="exact"/>
        <w:ind w:firstLine="640" w:firstLineChars="200"/>
        <w:rPr>
          <w:rFonts w:hint="eastAsia" w:eastAsia="方正仿宋_GBK"/>
          <w:bCs/>
          <w:sz w:val="32"/>
          <w:szCs w:val="32"/>
        </w:rPr>
      </w:pPr>
      <w:r>
        <w:rPr>
          <w:rFonts w:hint="eastAsia" w:eastAsia="方正仿宋_GBK"/>
          <w:bCs/>
          <w:sz w:val="32"/>
          <w:szCs w:val="32"/>
        </w:rPr>
        <w:t>以社区为主阵地，扎实推进党员到社区开展志愿服务，发挥党员模范带头作用，带动更多社区居民加入志愿者队伍，投身社区发展，助力社区建设。以社区邻里节为主抓手，广泛开展“衣旧情深”、洁净家园、文明饲养、文明礼让等志愿服务，大力普及工作生活、社会交往、人际关系、公共场所等方面的礼仪规范，不断提升居民文明素质和社区文明程度。以社区居民为主力军，发挥居民专长，因地制宜实施一批志愿服务项目，帮扶残障人士、孤寡老人、失业人员等困难群体，推动邻里之间守望相助、患难相恤，让城市更有温度。</w:t>
      </w:r>
    </w:p>
    <w:p w14:paraId="26CA0FB0">
      <w:pPr>
        <w:adjustRightInd w:val="0"/>
        <w:snapToGrid w:val="0"/>
        <w:spacing w:line="600" w:lineRule="exact"/>
        <w:jc w:val="center"/>
        <w:rPr>
          <w:rFonts w:eastAsia="方正楷体_GBK"/>
          <w:sz w:val="32"/>
          <w:szCs w:val="32"/>
        </w:rPr>
      </w:pPr>
      <w:r>
        <w:rPr>
          <w:rFonts w:hint="eastAsia" w:eastAsia="方正楷体_GBK"/>
          <w:sz w:val="32"/>
          <w:szCs w:val="32"/>
        </w:rPr>
        <w:t>第二十四节</w:t>
      </w:r>
      <w:r>
        <w:rPr>
          <w:rFonts w:eastAsia="方正楷体_GBK"/>
          <w:sz w:val="32"/>
          <w:szCs w:val="32"/>
        </w:rPr>
        <w:t xml:space="preserve"> </w:t>
      </w:r>
      <w:r>
        <w:rPr>
          <w:rFonts w:hint="eastAsia" w:eastAsia="方正楷体_GBK"/>
          <w:sz w:val="32"/>
          <w:szCs w:val="32"/>
          <w:lang w:val="en-US" w:eastAsia="zh-CN"/>
        </w:rPr>
        <w:t xml:space="preserve"> </w:t>
      </w:r>
      <w:r>
        <w:rPr>
          <w:rFonts w:hint="eastAsia" w:eastAsia="方正楷体_GBK"/>
          <w:sz w:val="32"/>
          <w:szCs w:val="32"/>
        </w:rPr>
        <w:t>开展“行得文明”主题活动</w:t>
      </w:r>
    </w:p>
    <w:p w14:paraId="016720B4">
      <w:pPr>
        <w:adjustRightInd w:val="0"/>
        <w:snapToGrid w:val="0"/>
        <w:spacing w:line="600" w:lineRule="exact"/>
        <w:ind w:firstLine="640" w:firstLineChars="200"/>
        <w:rPr>
          <w:rFonts w:hint="eastAsia" w:eastAsia="方正仿宋_GBK"/>
          <w:bCs/>
          <w:sz w:val="32"/>
          <w:szCs w:val="32"/>
        </w:rPr>
      </w:pPr>
      <w:r>
        <w:rPr>
          <w:rFonts w:hint="eastAsia" w:eastAsia="方正仿宋_GBK"/>
          <w:bCs/>
          <w:sz w:val="32"/>
          <w:szCs w:val="32"/>
        </w:rPr>
        <w:t>开展文明交通宣传教育，巩固“礼让斑马线·文明我点赞”“礼让行人树新风”活动成效，常态推进“周六文明劝导我参与”志愿服务，推动形成“文明出行  守法礼让”“我文明  靠右行”“低碳出行”等良好风尚，到2025年“我文明  靠右行”提示语斑马线施画占比达到50%。深化“雷锋的士”创建，科学制定发展规划，不断扩大规模数量，持续提高服务质量，充分展示良好形象，</w:t>
      </w:r>
      <w:r>
        <w:rPr>
          <w:rFonts w:hint="eastAsia" w:eastAsia="方正仿宋_GBK"/>
          <w:sz w:val="32"/>
          <w:szCs w:val="32"/>
          <w:u w:val="none" w:color="000000"/>
        </w:rPr>
        <w:t>到2025年全区“雷锋的士”达到</w:t>
      </w:r>
      <w:r>
        <w:rPr>
          <w:rFonts w:eastAsia="方正仿宋_GBK"/>
          <w:sz w:val="32"/>
          <w:szCs w:val="32"/>
          <w:u w:val="none" w:color="000000"/>
        </w:rPr>
        <w:t>100</w:t>
      </w:r>
      <w:r>
        <w:rPr>
          <w:rFonts w:hint="eastAsia" w:eastAsia="方正仿宋_GBK"/>
          <w:sz w:val="32"/>
          <w:szCs w:val="32"/>
          <w:u w:val="none" w:color="000000"/>
        </w:rPr>
        <w:t>辆</w:t>
      </w:r>
      <w:r>
        <w:rPr>
          <w:rFonts w:hint="eastAsia" w:eastAsia="方正仿宋_GBK"/>
          <w:bCs/>
          <w:sz w:val="32"/>
          <w:szCs w:val="32"/>
        </w:rPr>
        <w:t>。</w:t>
      </w:r>
    </w:p>
    <w:p w14:paraId="50741FB2">
      <w:pPr>
        <w:adjustRightInd w:val="0"/>
        <w:snapToGrid w:val="0"/>
        <w:spacing w:line="600" w:lineRule="exact"/>
        <w:jc w:val="center"/>
        <w:rPr>
          <w:rFonts w:eastAsia="方正楷体_GBK"/>
          <w:sz w:val="32"/>
          <w:szCs w:val="32"/>
        </w:rPr>
      </w:pPr>
      <w:r>
        <w:rPr>
          <w:rFonts w:hint="eastAsia" w:eastAsia="方正楷体_GBK"/>
          <w:sz w:val="32"/>
          <w:szCs w:val="32"/>
        </w:rPr>
        <w:t>第二十五节</w:t>
      </w:r>
      <w:r>
        <w:rPr>
          <w:rFonts w:eastAsia="方正楷体_GBK"/>
          <w:sz w:val="32"/>
          <w:szCs w:val="32"/>
        </w:rPr>
        <w:t xml:space="preserve"> </w:t>
      </w:r>
      <w:r>
        <w:rPr>
          <w:rFonts w:hint="eastAsia" w:eastAsia="方正楷体_GBK"/>
          <w:sz w:val="32"/>
          <w:szCs w:val="32"/>
          <w:lang w:val="en-US" w:eastAsia="zh-CN"/>
        </w:rPr>
        <w:t xml:space="preserve"> </w:t>
      </w:r>
      <w:r>
        <w:rPr>
          <w:rFonts w:hint="eastAsia" w:eastAsia="方正楷体_GBK"/>
          <w:sz w:val="32"/>
          <w:szCs w:val="32"/>
        </w:rPr>
        <w:t>开展“游得文明”主题活动</w:t>
      </w:r>
    </w:p>
    <w:p w14:paraId="44426A73">
      <w:pPr>
        <w:adjustRightInd w:val="0"/>
        <w:snapToGrid w:val="0"/>
        <w:spacing w:line="600" w:lineRule="exact"/>
        <w:ind w:firstLine="640" w:firstLineChars="200"/>
        <w:rPr>
          <w:rFonts w:hint="eastAsia" w:eastAsia="方正仿宋_GBK"/>
          <w:sz w:val="32"/>
          <w:szCs w:val="32"/>
        </w:rPr>
      </w:pPr>
      <w:r>
        <w:rPr>
          <w:rFonts w:hint="eastAsia" w:eastAsia="方正仿宋_GBK"/>
          <w:bCs/>
          <w:sz w:val="32"/>
          <w:szCs w:val="32"/>
        </w:rPr>
        <w:t>紧扣城市</w:t>
      </w:r>
      <w:r>
        <w:rPr>
          <w:rFonts w:hint="eastAsia" w:eastAsia="方正仿宋_GBK"/>
          <w:sz w:val="32"/>
          <w:szCs w:val="32"/>
          <w:u w:val="none" w:color="000000"/>
        </w:rPr>
        <w:t>目标定位和价值定位，以“文明在行动·满意在潼南”工作为抓手，推动游客文明素养和行业文明程度实现“双提升”。抓住春节、“五一”、暑假、“十一”等时段，突出景区景点、车站等场所，落实开展“文明旅游背包行”“文明旅游我最美”等活动，引导游客养成文明出游习惯。深化文明景区创建工作，完善景区景点交通、便民、文化等设施，积极参与“山水之城·美丽之地”导游词讲解大赛，开展岗位服务明星展示，提升旅游服务品质，确保游客游得舒心、游得放心。健全统筹协调“联动”、暗访检查“联查”、志愿服务“联岗”、曝光惩戒“联榜”、正面宣传“联报”等“五联”长效机制，推动文明旅游一体化、常态化，</w:t>
      </w:r>
      <w:r>
        <w:rPr>
          <w:rFonts w:hint="eastAsia" w:eastAsia="方正仿宋_GBK"/>
          <w:sz w:val="32"/>
          <w:szCs w:val="32"/>
        </w:rPr>
        <w:t>提升潼南旅游的美誉度和吸引力。</w:t>
      </w:r>
    </w:p>
    <w:p w14:paraId="2E8229EA">
      <w:pPr>
        <w:adjustRightInd w:val="0"/>
        <w:snapToGrid w:val="0"/>
        <w:spacing w:line="600" w:lineRule="exact"/>
        <w:jc w:val="center"/>
        <w:rPr>
          <w:rFonts w:hint="eastAsia" w:eastAsia="方正楷体_GBK"/>
          <w:sz w:val="32"/>
          <w:szCs w:val="32"/>
        </w:rPr>
      </w:pPr>
      <w:r>
        <w:rPr>
          <w:rFonts w:hint="eastAsia" w:eastAsia="方正楷体_GBK"/>
          <w:sz w:val="32"/>
          <w:szCs w:val="32"/>
        </w:rPr>
        <w:t xml:space="preserve">第二十六节 </w:t>
      </w:r>
      <w:r>
        <w:rPr>
          <w:rFonts w:hint="eastAsia" w:eastAsia="方正楷体_GBK"/>
          <w:sz w:val="32"/>
          <w:szCs w:val="32"/>
          <w:lang w:val="en-US" w:eastAsia="zh-CN"/>
        </w:rPr>
        <w:t xml:space="preserve"> </w:t>
      </w:r>
      <w:r>
        <w:rPr>
          <w:rFonts w:hint="eastAsia" w:ascii="方正楷体_GBK" w:hAnsi="方正楷体_GBK" w:eastAsia="方正楷体_GBK" w:cs="方正楷体_GBK"/>
          <w:sz w:val="32"/>
          <w:szCs w:val="32"/>
        </w:rPr>
        <w:t>开展“乐得文明”主题活动</w:t>
      </w:r>
    </w:p>
    <w:p w14:paraId="3B66C2C8">
      <w:pPr>
        <w:adjustRightInd w:val="0"/>
        <w:snapToGrid w:val="0"/>
        <w:spacing w:line="600" w:lineRule="exact"/>
        <w:ind w:firstLine="640" w:firstLineChars="200"/>
        <w:rPr>
          <w:rFonts w:hint="eastAsia" w:eastAsia="方正仿宋_GBK"/>
          <w:sz w:val="32"/>
          <w:szCs w:val="32"/>
          <w:u w:val="none" w:color="000000"/>
        </w:rPr>
      </w:pPr>
      <w:r>
        <w:rPr>
          <w:rFonts w:hint="eastAsia" w:eastAsia="方正仿宋_GBK"/>
          <w:sz w:val="32"/>
          <w:szCs w:val="32"/>
          <w:u w:val="none" w:color="000000"/>
        </w:rPr>
        <w:t>倡导守法娱乐，打造文明娱乐监管平台，督促娱乐行业加强自我管理，消除消防安全和治安隐患，有效规范广场舞健身活动，做到文明服务、合法娱乐。倡导健康娱乐，加强电子游乐产品实名监管，严格控制游戏时间，杜绝熬夜、通宵等不良习惯。倡导高雅娱乐，实施高雅文化推广扶植计划，以项目化的方式，对有思想、有品位、有特色的群众性文化团体加大扶持力度，打造一批高质量、高水平的群众娱乐活动，推动高雅艺术进校园、进商圈、进社区、进农村，培养群众高雅情趣。倡导安全娱乐，扎实推进“扫黄打非”专项整治，推动镇（街道）、村（社区）“扫黄打非”工作站点规范化标准化建设，用好娱乐产业信息平台，持续净化网上网下文化市场，让广大群众更加便捷地获取娱乐活动讯息，放心参与娱乐活动。</w:t>
      </w:r>
    </w:p>
    <w:p w14:paraId="4AF09DE2">
      <w:pPr>
        <w:adjustRightInd w:val="0"/>
        <w:snapToGrid w:val="0"/>
        <w:spacing w:line="600" w:lineRule="exact"/>
        <w:jc w:val="center"/>
        <w:rPr>
          <w:rFonts w:eastAsia="方正楷体_GBK"/>
          <w:sz w:val="32"/>
          <w:szCs w:val="32"/>
        </w:rPr>
      </w:pPr>
      <w:r>
        <w:rPr>
          <w:rFonts w:hint="eastAsia" w:eastAsia="方正楷体_GBK"/>
          <w:sz w:val="32"/>
          <w:szCs w:val="32"/>
        </w:rPr>
        <w:t>第二十七节</w:t>
      </w:r>
      <w:r>
        <w:rPr>
          <w:rFonts w:eastAsia="方正楷体_GBK"/>
          <w:sz w:val="32"/>
          <w:szCs w:val="32"/>
        </w:rPr>
        <w:t xml:space="preserve"> </w:t>
      </w:r>
      <w:r>
        <w:rPr>
          <w:rFonts w:hint="eastAsia" w:eastAsia="方正楷体_GBK"/>
          <w:sz w:val="32"/>
          <w:szCs w:val="32"/>
          <w:lang w:val="en-US" w:eastAsia="zh-CN"/>
        </w:rPr>
        <w:t xml:space="preserve"> </w:t>
      </w:r>
      <w:r>
        <w:rPr>
          <w:rFonts w:hint="eastAsia" w:eastAsia="方正楷体_GBK"/>
          <w:sz w:val="32"/>
          <w:szCs w:val="32"/>
        </w:rPr>
        <w:t>开展“购得文明”主题活动</w:t>
      </w:r>
    </w:p>
    <w:p w14:paraId="5C551021">
      <w:pPr>
        <w:adjustRightInd w:val="0"/>
        <w:snapToGrid w:val="0"/>
        <w:spacing w:line="600" w:lineRule="exact"/>
        <w:ind w:firstLine="640" w:firstLineChars="200"/>
        <w:rPr>
          <w:rFonts w:hint="eastAsia" w:eastAsia="方正仿宋_GBK"/>
          <w:sz w:val="32"/>
          <w:szCs w:val="32"/>
          <w:u w:val="none" w:color="000000"/>
        </w:rPr>
      </w:pPr>
      <w:r>
        <w:rPr>
          <w:rFonts w:hint="eastAsia" w:eastAsia="方正仿宋_GBK"/>
          <w:sz w:val="32"/>
          <w:szCs w:val="32"/>
          <w:u w:val="none" w:color="000000"/>
        </w:rPr>
        <w:t>培育理性消费理念，利用</w:t>
      </w:r>
      <w:bookmarkStart w:id="3" w:name="_GoBack"/>
      <w:bookmarkEnd w:id="3"/>
      <w:r>
        <w:rPr>
          <w:rFonts w:hint="eastAsia" w:eastAsia="方正仿宋_GBK"/>
          <w:sz w:val="32"/>
          <w:szCs w:val="32"/>
          <w:u w:val="none" w:color="000000"/>
          <w:lang w:eastAsia="zh-CN"/>
        </w:rPr>
        <w:t>“3·15”国际消费者权益日</w:t>
      </w:r>
      <w:r>
        <w:rPr>
          <w:rFonts w:hint="eastAsia" w:eastAsia="方正仿宋_GBK"/>
          <w:sz w:val="32"/>
          <w:szCs w:val="32"/>
          <w:u w:val="none" w:color="000000"/>
        </w:rPr>
        <w:t>等节点，加大宣传力度，引导广大市民理性消费，自觉摒弃“讲排场”“重面子”等不良风气，坚决做到不攀比、不跟风。倡导文明经营行为，深化“</w:t>
      </w:r>
      <w:r>
        <w:rPr>
          <w:rFonts w:hint="eastAsia" w:eastAsia="方正仿宋_GBK"/>
          <w:sz w:val="32"/>
          <w:szCs w:val="32"/>
        </w:rPr>
        <w:t>诚信我当先</w:t>
      </w:r>
      <w:r>
        <w:rPr>
          <w:rFonts w:hint="eastAsia" w:eastAsia="方正仿宋_GBK"/>
          <w:sz w:val="32"/>
          <w:szCs w:val="32"/>
          <w:u w:val="none" w:color="000000"/>
        </w:rPr>
        <w:t>”活动，加强从业人员培训，选树文明导购员、售货员，推动营业信息透明、服务设施健全、维权投诉渠道畅通，营造放心消费环境。建立部门协作机制，加强生活必需品、工艺品、纪念品、农副土特产品等重要类别商品的监管，强化商品质量抽查检验和专项整治，依法打击侵犯知识产权、制售假冒伪劣商品、销售质量不合格商品、虚假广告及户外张贴非法印刷品广告等违法行为，促进消费向绿色、健康、安全发展，塑造安全友好的消费环境。</w:t>
      </w:r>
    </w:p>
    <w:p w14:paraId="40A738E7">
      <w:pPr>
        <w:adjustRightInd w:val="0"/>
        <w:snapToGrid w:val="0"/>
        <w:spacing w:line="600" w:lineRule="exact"/>
        <w:jc w:val="center"/>
        <w:rPr>
          <w:rFonts w:eastAsia="方正楷体_GBK"/>
          <w:sz w:val="32"/>
          <w:szCs w:val="32"/>
        </w:rPr>
      </w:pPr>
      <w:r>
        <w:rPr>
          <w:rFonts w:hint="eastAsia" w:eastAsia="方正楷体_GBK"/>
          <w:sz w:val="32"/>
          <w:szCs w:val="32"/>
        </w:rPr>
        <w:t>第二十八节</w:t>
      </w:r>
      <w:r>
        <w:rPr>
          <w:rFonts w:eastAsia="方正楷体_GBK"/>
          <w:sz w:val="32"/>
          <w:szCs w:val="32"/>
        </w:rPr>
        <w:t xml:space="preserve"> </w:t>
      </w:r>
      <w:r>
        <w:rPr>
          <w:rFonts w:hint="eastAsia" w:eastAsia="方正楷体_GBK"/>
          <w:sz w:val="32"/>
          <w:szCs w:val="32"/>
          <w:lang w:val="en-US" w:eastAsia="zh-CN"/>
        </w:rPr>
        <w:t xml:space="preserve"> </w:t>
      </w:r>
      <w:r>
        <w:rPr>
          <w:rFonts w:hint="eastAsia" w:eastAsia="方正楷体_GBK"/>
          <w:sz w:val="32"/>
          <w:szCs w:val="32"/>
        </w:rPr>
        <w:t>开展“上网文明”主题活动</w:t>
      </w:r>
    </w:p>
    <w:p w14:paraId="44EB3DA4">
      <w:pPr>
        <w:adjustRightInd w:val="0"/>
        <w:snapToGrid w:val="0"/>
        <w:spacing w:line="600" w:lineRule="exact"/>
        <w:ind w:firstLine="640" w:firstLineChars="200"/>
        <w:rPr>
          <w:rFonts w:hint="eastAsia" w:eastAsia="方正仿宋_GBK"/>
          <w:sz w:val="32"/>
          <w:szCs w:val="32"/>
          <w:u w:val="none" w:color="000000"/>
        </w:rPr>
      </w:pPr>
      <w:r>
        <w:rPr>
          <w:rFonts w:hint="eastAsia" w:eastAsia="方正仿宋_GBK"/>
          <w:sz w:val="32"/>
          <w:szCs w:val="32"/>
          <w:u w:val="none" w:color="000000"/>
        </w:rPr>
        <w:t>扎实推进“潼南好网民·天天正能量”争做中国好网民工程，组建并发挥网民道德建设委员会作用，加强网民网络文明素养教育，大力培育具备爱国主义精神、网络法治观念、文明用网习惯、网络安全技能、责任担当意识等基本素养的新时代中国好网民。积极参与“渝爱同行·E起公益”网络公益工程，广泛动员网信企业、网络公益平台、网络公益组织、网络名人及广大网民共同参与网络公益，充分发挥互联网在公益传播、公益募款、技术创新、社会治理等方面的优势，推动网络公益成为践行社会主义核心价值观的重要载体。开展潼南网民文化季、网络安全宣传周等活动，打造网络素养教育基地，推进“清朗”专项行动，全面强化属地管理责任和网站、新媒体等平台主体责任，全面清理有害信息，全面处置违法违规账号，查办曝光典型案例，推动网络空间更加清朗。</w:t>
      </w:r>
    </w:p>
    <w:p w14:paraId="0CAFA3D7">
      <w:pPr>
        <w:shd w:val="clear" w:color="auto" w:fill="FFFFFF"/>
        <w:adjustRightInd w:val="0"/>
        <w:snapToGrid w:val="0"/>
        <w:spacing w:line="600" w:lineRule="exact"/>
        <w:jc w:val="center"/>
        <w:rPr>
          <w:rFonts w:hint="eastAsia" w:eastAsia="方正黑体_GBK"/>
          <w:sz w:val="32"/>
          <w:szCs w:val="32"/>
        </w:rPr>
      </w:pPr>
      <w:r>
        <w:rPr>
          <w:rFonts w:hint="eastAsia" w:eastAsia="方正黑体_GBK"/>
          <w:sz w:val="32"/>
          <w:szCs w:val="32"/>
        </w:rPr>
        <w:t>第七章</w:t>
      </w:r>
      <w:r>
        <w:rPr>
          <w:rFonts w:eastAsia="方正黑体_GBK"/>
          <w:sz w:val="32"/>
          <w:szCs w:val="32"/>
        </w:rPr>
        <w:t xml:space="preserve">  </w:t>
      </w:r>
      <w:r>
        <w:rPr>
          <w:rFonts w:hint="eastAsia" w:eastAsia="方正黑体_GBK"/>
          <w:sz w:val="32"/>
          <w:szCs w:val="32"/>
        </w:rPr>
        <w:t>全力提升市民科学文化素质和身心健康素质</w:t>
      </w:r>
    </w:p>
    <w:p w14:paraId="04C61ECD">
      <w:pPr>
        <w:adjustRightInd w:val="0"/>
        <w:snapToGrid w:val="0"/>
        <w:spacing w:line="600" w:lineRule="exact"/>
        <w:jc w:val="center"/>
        <w:rPr>
          <w:rFonts w:eastAsia="方正楷体_GBK"/>
          <w:sz w:val="32"/>
          <w:szCs w:val="32"/>
        </w:rPr>
      </w:pPr>
      <w:r>
        <w:rPr>
          <w:rFonts w:hint="eastAsia" w:eastAsia="方正楷体_GBK"/>
          <w:sz w:val="32"/>
          <w:szCs w:val="32"/>
        </w:rPr>
        <w:t>第二十九节</w:t>
      </w:r>
      <w:r>
        <w:rPr>
          <w:rFonts w:eastAsia="方正楷体_GBK"/>
          <w:sz w:val="32"/>
          <w:szCs w:val="32"/>
        </w:rPr>
        <w:t xml:space="preserve"> </w:t>
      </w:r>
      <w:r>
        <w:rPr>
          <w:rFonts w:hint="eastAsia" w:eastAsia="方正楷体_GBK"/>
          <w:sz w:val="32"/>
          <w:szCs w:val="32"/>
          <w:lang w:val="en-US" w:eastAsia="zh-CN"/>
        </w:rPr>
        <w:t xml:space="preserve"> </w:t>
      </w:r>
      <w:r>
        <w:rPr>
          <w:rFonts w:hint="eastAsia" w:eastAsia="方正楷体_GBK"/>
          <w:sz w:val="32"/>
          <w:szCs w:val="32"/>
        </w:rPr>
        <w:t>提高公民科学素质</w:t>
      </w:r>
    </w:p>
    <w:p w14:paraId="6C5D8F19">
      <w:pPr>
        <w:spacing w:line="600" w:lineRule="exact"/>
        <w:ind w:firstLine="645"/>
        <w:rPr>
          <w:rFonts w:hint="eastAsia" w:eastAsia="方正仿宋_GBK"/>
          <w:sz w:val="32"/>
          <w:szCs w:val="32"/>
          <w:u w:val="none" w:color="000000"/>
        </w:rPr>
      </w:pPr>
      <w:r>
        <w:rPr>
          <w:rFonts w:hint="eastAsia" w:eastAsia="方正仿宋_GBK"/>
          <w:sz w:val="32"/>
          <w:szCs w:val="32"/>
          <w:u w:val="none" w:color="000000"/>
        </w:rPr>
        <w:t>加快培育区级科普基地，</w:t>
      </w:r>
      <w:r>
        <w:rPr>
          <w:rFonts w:hint="eastAsia" w:eastAsia="方正仿宋_GBK"/>
          <w:sz w:val="32"/>
          <w:szCs w:val="32"/>
        </w:rPr>
        <w:t>推动建设潼南区科技馆，增设科普大篷车、流动科技馆、数字科技馆，辐射基层科普服务的现代科技馆体系，完善科普工作社会化格局，着力构建社会化科普服务平台，进一步推动全区科普公共服务均衡发展</w:t>
      </w:r>
      <w:r>
        <w:rPr>
          <w:rFonts w:hint="eastAsia" w:eastAsia="方正仿宋_GBK"/>
          <w:sz w:val="32"/>
          <w:szCs w:val="32"/>
          <w:u w:val="none" w:color="000000"/>
        </w:rPr>
        <w:t>。</w:t>
      </w:r>
      <w:r>
        <w:rPr>
          <w:rFonts w:hint="eastAsia" w:eastAsia="方正仿宋_GBK"/>
          <w:sz w:val="32"/>
          <w:szCs w:val="32"/>
        </w:rPr>
        <w:t>聚焦群众需求、突出效果导向，不断深化全区科技活动，广泛开展新时代文明实践科技志愿服务，打造特色鲜明、群众受益、广泛认可的服务品牌，让专题科普宣传形成持续效应，</w:t>
      </w:r>
      <w:r>
        <w:rPr>
          <w:rFonts w:hint="eastAsia" w:eastAsia="方正仿宋_GBK"/>
          <w:sz w:val="32"/>
          <w:szCs w:val="32"/>
          <w:u w:val="none" w:color="000000"/>
        </w:rPr>
        <w:t>到2025年公民具备科学素质的比例达到15%。讲好创新故事，弘扬科学精神，营造尊重科学、崇尚创新的社会氛围。</w:t>
      </w:r>
    </w:p>
    <w:p w14:paraId="63D2A0F2">
      <w:pPr>
        <w:adjustRightInd w:val="0"/>
        <w:snapToGrid w:val="0"/>
        <w:spacing w:line="600" w:lineRule="exact"/>
        <w:jc w:val="center"/>
        <w:rPr>
          <w:rFonts w:eastAsia="方正楷体_GBK"/>
          <w:sz w:val="32"/>
          <w:szCs w:val="32"/>
        </w:rPr>
      </w:pPr>
      <w:r>
        <w:rPr>
          <w:rFonts w:hint="eastAsia" w:eastAsia="方正楷体_GBK"/>
          <w:sz w:val="32"/>
          <w:szCs w:val="32"/>
        </w:rPr>
        <w:t>第三十节</w:t>
      </w:r>
      <w:r>
        <w:rPr>
          <w:rFonts w:eastAsia="方正楷体_GBK"/>
          <w:sz w:val="32"/>
          <w:szCs w:val="32"/>
        </w:rPr>
        <w:t xml:space="preserve"> </w:t>
      </w:r>
      <w:r>
        <w:rPr>
          <w:rFonts w:hint="eastAsia" w:eastAsia="方正楷体_GBK"/>
          <w:sz w:val="32"/>
          <w:szCs w:val="32"/>
          <w:lang w:val="en-US" w:eastAsia="zh-CN"/>
        </w:rPr>
        <w:t xml:space="preserve"> </w:t>
      </w:r>
      <w:r>
        <w:rPr>
          <w:rFonts w:hint="eastAsia" w:eastAsia="方正楷体_GBK"/>
          <w:sz w:val="32"/>
          <w:szCs w:val="32"/>
        </w:rPr>
        <w:t>丰富群众文化生活</w:t>
      </w:r>
    </w:p>
    <w:p w14:paraId="4B0C0626">
      <w:pPr>
        <w:adjustRightInd w:val="0"/>
        <w:snapToGrid w:val="0"/>
        <w:spacing w:line="600" w:lineRule="exact"/>
        <w:ind w:firstLine="640" w:firstLineChars="200"/>
        <w:rPr>
          <w:rFonts w:hint="eastAsia" w:eastAsia="方正仿宋_GBK" w:cs="方正仿宋_GBK"/>
          <w:sz w:val="32"/>
          <w:szCs w:val="32"/>
        </w:rPr>
      </w:pPr>
      <w:r>
        <w:rPr>
          <w:rFonts w:hint="eastAsia" w:eastAsia="方正仿宋_GBK"/>
          <w:sz w:val="32"/>
          <w:szCs w:val="32"/>
        </w:rPr>
        <w:t>推进潼南区群众文化艺术体育中心、潼南历史博物馆、万达文旅小镇等重点文化项目建设。实施文艺作品质量提升工程，着力打造优秀文化产品，突出党的二十大、全面小康、乡村振兴等重大</w:t>
      </w:r>
      <w:r>
        <w:rPr>
          <w:rFonts w:hint="eastAsia" w:eastAsia="方正仿宋_GBK"/>
          <w:spacing w:val="-12"/>
          <w:sz w:val="32"/>
          <w:szCs w:val="32"/>
        </w:rPr>
        <w:t>主题，</w:t>
      </w:r>
      <w:r>
        <w:rPr>
          <w:rFonts w:hint="eastAsia" w:eastAsia="方正仿宋_GBK" w:cs="方正仿宋_GBK"/>
          <w:sz w:val="32"/>
          <w:szCs w:val="32"/>
        </w:rPr>
        <w:t>创作舞台艺术重点剧目《心手相连》、广播剧《一江绿水》等；举办潼南区乡村文艺汇演、美术书法摄影联展、民间文化艺术展览、微视频大赛、广场舞大赛、讲故事比赛等群众文化活动，精心开展“乡愁潼南”“花漾潼南”“水韵潼南”“田园潼南”系列节会活动，高水平办好国际柠檬节、陈抟故里菜花节、生态</w:t>
      </w:r>
      <w:r>
        <w:rPr>
          <w:rFonts w:eastAsia="方正仿宋_GBK" w:cs="方正仿宋_GBK"/>
          <w:sz w:val="32"/>
          <w:szCs w:val="32"/>
        </w:rPr>
        <w:t>小龙虾节</w:t>
      </w:r>
      <w:r>
        <w:rPr>
          <w:rFonts w:hint="eastAsia" w:eastAsia="方正仿宋_GBK" w:cs="方正仿宋_GBK"/>
          <w:sz w:val="32"/>
          <w:szCs w:val="32"/>
        </w:rPr>
        <w:t>等品牌文化活动。切实加强文化阵地建设，</w:t>
      </w:r>
      <w:r>
        <w:rPr>
          <w:rFonts w:hint="eastAsia" w:eastAsia="方正仿宋_GBK"/>
          <w:sz w:val="32"/>
          <w:szCs w:val="32"/>
        </w:rPr>
        <w:t>完善镇（街道）、村（社区）公共文化设施，鼓励有条件的镇（街道）、村（社区）</w:t>
      </w:r>
      <w:r>
        <w:rPr>
          <w:rFonts w:hint="eastAsia" w:eastAsia="方正仿宋_GBK" w:cs="方正仿宋_GBK"/>
          <w:sz w:val="32"/>
          <w:szCs w:val="32"/>
        </w:rPr>
        <w:t>利用或改造文化室、图书室、农家书屋、旧祠堂、旧戏台、乡村院落、农村学校等，按照“八个一”（文化活动广场、文化活动室、简易舞台、宣传栏、文化器材、广播器材、体育器材、乡情馆）标准优化功能，建设一批乡村文化广场和</w:t>
      </w:r>
      <w:r>
        <w:rPr>
          <w:rFonts w:hint="eastAsia" w:eastAsia="方正仿宋_GBK"/>
          <w:sz w:val="32"/>
          <w:szCs w:val="32"/>
        </w:rPr>
        <w:t>非物质文化遗产传习展示场所等文化场馆</w:t>
      </w:r>
      <w:r>
        <w:rPr>
          <w:rFonts w:hint="eastAsia" w:eastAsia="方正仿宋_GBK" w:cs="方正仿宋_GBK"/>
          <w:sz w:val="32"/>
          <w:szCs w:val="32"/>
        </w:rPr>
        <w:t>，到2025年全区文化馆、公共图书馆达标率达到85%，万人拥有公共文化设施（文化馆、图书馆、博物馆、美术馆、基层综合文化服务中心）面积达到700平方米，人均享有公共文化服务达到3.5次。大力推进公共文化数字化建设，落实好互联网助推乡村文化振兴示范基地建设试点工作，不断提升城乡居民的文化获得感和幸福感。</w:t>
      </w:r>
    </w:p>
    <w:p w14:paraId="601B74A5">
      <w:pPr>
        <w:adjustRightInd w:val="0"/>
        <w:snapToGrid w:val="0"/>
        <w:spacing w:line="600" w:lineRule="exact"/>
        <w:jc w:val="center"/>
        <w:rPr>
          <w:rFonts w:eastAsia="方正楷体_GBK"/>
          <w:sz w:val="32"/>
          <w:szCs w:val="32"/>
        </w:rPr>
      </w:pPr>
      <w:r>
        <w:rPr>
          <w:rFonts w:hint="eastAsia" w:eastAsia="方正楷体_GBK"/>
          <w:sz w:val="32"/>
          <w:szCs w:val="32"/>
        </w:rPr>
        <w:t>第三十一节</w:t>
      </w:r>
      <w:r>
        <w:rPr>
          <w:rFonts w:eastAsia="方正楷体_GBK"/>
          <w:sz w:val="32"/>
          <w:szCs w:val="32"/>
        </w:rPr>
        <w:t xml:space="preserve"> </w:t>
      </w:r>
      <w:r>
        <w:rPr>
          <w:rFonts w:hint="eastAsia" w:eastAsia="方正楷体_GBK"/>
          <w:sz w:val="32"/>
          <w:szCs w:val="32"/>
          <w:lang w:val="en-US" w:eastAsia="zh-CN"/>
        </w:rPr>
        <w:t xml:space="preserve"> </w:t>
      </w:r>
      <w:r>
        <w:rPr>
          <w:rFonts w:hint="eastAsia" w:eastAsia="方正楷体_GBK"/>
          <w:sz w:val="32"/>
          <w:szCs w:val="32"/>
        </w:rPr>
        <w:t>培养市民阅读习惯</w:t>
      </w:r>
    </w:p>
    <w:p w14:paraId="0890B8C2">
      <w:pPr>
        <w:spacing w:line="600" w:lineRule="exact"/>
        <w:ind w:firstLine="640" w:firstLineChars="200"/>
        <w:rPr>
          <w:rFonts w:hint="eastAsia" w:eastAsia="方正仿宋_GBK"/>
          <w:sz w:val="32"/>
          <w:szCs w:val="32"/>
        </w:rPr>
      </w:pPr>
      <w:r>
        <w:rPr>
          <w:rFonts w:hint="eastAsia" w:eastAsia="方正仿宋_GBK"/>
          <w:sz w:val="32"/>
          <w:szCs w:val="32"/>
        </w:rPr>
        <w:t>巩固提升“书香潼南”建设成果，做大做强“潼城潼阅”全民阅读品牌，到2025年实现50%以上的镇（街道）有品牌活动开展。持续开展“书香家庭”“书香单位”“书香社区”“书香校园”“书香小区”等评选活动，充分发挥书展、图书推介等的推广功能，引导全民阅读风尚涵盖到社会生活的各个方面。推进朗读亭、24小时自助书屋等全民阅读基础设施建设。推广使用好“学习强国”重庆数字农家书屋、“百本好书送你读”有声图书馆等数字化阅读服务平台，支持实体书店建设，推动图书馆（博物馆）、文化服务中心为未成年人、老年人、残障人士、农村地区公众等群体提供多样性、针对性的阅读服务，让全民阅读渗透到城乡的每一个角落，推动潼南成为一座书香丰盈的城市。</w:t>
      </w:r>
    </w:p>
    <w:p w14:paraId="03C49C3E">
      <w:pPr>
        <w:adjustRightInd w:val="0"/>
        <w:snapToGrid w:val="0"/>
        <w:spacing w:line="600" w:lineRule="exact"/>
        <w:jc w:val="center"/>
        <w:rPr>
          <w:rFonts w:eastAsia="方正楷体_GBK"/>
          <w:sz w:val="32"/>
          <w:szCs w:val="32"/>
        </w:rPr>
      </w:pPr>
      <w:r>
        <w:rPr>
          <w:rFonts w:hint="eastAsia" w:eastAsia="方正楷体_GBK"/>
          <w:sz w:val="32"/>
          <w:szCs w:val="32"/>
        </w:rPr>
        <w:t>第三十二节</w:t>
      </w:r>
      <w:r>
        <w:rPr>
          <w:rFonts w:eastAsia="方正楷体_GBK"/>
          <w:sz w:val="32"/>
          <w:szCs w:val="32"/>
        </w:rPr>
        <w:t xml:space="preserve"> </w:t>
      </w:r>
      <w:r>
        <w:rPr>
          <w:rFonts w:hint="eastAsia" w:eastAsia="方正楷体_GBK"/>
          <w:sz w:val="32"/>
          <w:szCs w:val="32"/>
          <w:lang w:val="en-US" w:eastAsia="zh-CN"/>
        </w:rPr>
        <w:t xml:space="preserve"> </w:t>
      </w:r>
      <w:r>
        <w:rPr>
          <w:rFonts w:hint="eastAsia" w:eastAsia="方正楷体_GBK"/>
          <w:sz w:val="32"/>
          <w:szCs w:val="32"/>
        </w:rPr>
        <w:t>促进市民身心健康</w:t>
      </w:r>
    </w:p>
    <w:p w14:paraId="1B573BDF">
      <w:pPr>
        <w:spacing w:line="600" w:lineRule="exact"/>
        <w:ind w:firstLine="640" w:firstLineChars="200"/>
        <w:rPr>
          <w:rFonts w:hint="eastAsia" w:eastAsia="方正仿宋_GBK"/>
          <w:sz w:val="32"/>
          <w:szCs w:val="32"/>
        </w:rPr>
      </w:pPr>
      <w:r>
        <w:rPr>
          <w:rFonts w:hint="eastAsia" w:eastAsia="方正仿宋_GBK"/>
          <w:sz w:val="32"/>
          <w:szCs w:val="32"/>
        </w:rPr>
        <w:t>深入实施全民健身战略，加快完善现代公共体育服务体系，广泛开展全民健身活动，增强全民健身素养，到2025年全面建成覆盖城乡、便捷高效、可持续发展的全民健身公共服务体系，推动城市社区“15分钟健身圈”全覆盖，经常参加体育锻炼人数比例达到48%。持续深化爱国卫生运动，全面加强健康城市、健康细胞建设，推动《重庆市民健康公约》落地见效。实施群众性应急救护培训进校园、进机关、进企业、进社区、进农村“五进”民生工程，加大群众普及培训力度，推动“互联网+精准健康科普”，构建全媒体健康科普知识发布和传播机制，开展心理健康教育，到2025年全区居民健康素养水平不低于30%。</w:t>
      </w:r>
    </w:p>
    <w:p w14:paraId="3F45A180">
      <w:pPr>
        <w:spacing w:line="600" w:lineRule="exact"/>
        <w:jc w:val="center"/>
        <w:rPr>
          <w:rFonts w:hint="eastAsia" w:eastAsia="方正黑体_GBK"/>
          <w:sz w:val="32"/>
          <w:szCs w:val="32"/>
        </w:rPr>
      </w:pPr>
      <w:r>
        <w:rPr>
          <w:rFonts w:hint="eastAsia" w:eastAsia="方正黑体_GBK"/>
          <w:sz w:val="32"/>
          <w:szCs w:val="32"/>
        </w:rPr>
        <w:t>专栏</w:t>
      </w:r>
      <w:r>
        <w:rPr>
          <w:rFonts w:eastAsia="方正黑体_GBK"/>
          <w:sz w:val="32"/>
          <w:szCs w:val="32"/>
        </w:rPr>
        <w:t>5</w:t>
      </w:r>
      <w:r>
        <w:rPr>
          <w:rFonts w:hint="eastAsia" w:eastAsia="方正黑体_GBK"/>
          <w:sz w:val="32"/>
          <w:szCs w:val="32"/>
        </w:rPr>
        <w:t xml:space="preserve">  提升人民群众科学文化素质和身心健康素质重点项目</w:t>
      </w:r>
    </w:p>
    <w:p w14:paraId="5A09C297">
      <w:pPr>
        <w:pBdr>
          <w:top w:val="single" w:color="auto" w:sz="6" w:space="1"/>
          <w:left w:val="single" w:color="auto" w:sz="6" w:space="4"/>
          <w:bottom w:val="single" w:color="auto" w:sz="6" w:space="1"/>
          <w:right w:val="single" w:color="auto" w:sz="6" w:space="4"/>
        </w:pBdr>
        <w:spacing w:line="500" w:lineRule="exact"/>
        <w:ind w:left="105" w:leftChars="50" w:right="105" w:rightChars="50" w:firstLine="482" w:firstLineChars="200"/>
        <w:rPr>
          <w:rFonts w:hint="eastAsia" w:eastAsia="方正书宋_GBK"/>
          <w:sz w:val="24"/>
        </w:rPr>
      </w:pPr>
      <w:r>
        <w:rPr>
          <w:rFonts w:hint="eastAsia" w:eastAsia="方正楷体_GBK"/>
          <w:b/>
          <w:bCs/>
          <w:sz w:val="24"/>
        </w:rPr>
        <w:t>区级科普基地建设。</w:t>
      </w:r>
      <w:r>
        <w:rPr>
          <w:rFonts w:hint="eastAsia" w:eastAsia="方正书宋_GBK"/>
          <w:sz w:val="24"/>
        </w:rPr>
        <w:t>区级科普基地突破</w:t>
      </w:r>
      <w:r>
        <w:rPr>
          <w:rFonts w:eastAsia="方正书宋_GBK"/>
          <w:sz w:val="24"/>
        </w:rPr>
        <w:t>20</w:t>
      </w:r>
      <w:r>
        <w:rPr>
          <w:rFonts w:hint="eastAsia" w:eastAsia="方正书宋_GBK"/>
          <w:sz w:val="24"/>
        </w:rPr>
        <w:t>个，支持各类科普基地创新开展群众性科普活动，提升科普公共服务能力。</w:t>
      </w:r>
    </w:p>
    <w:p w14:paraId="7313A84D">
      <w:pPr>
        <w:pBdr>
          <w:top w:val="single" w:color="auto" w:sz="6" w:space="1"/>
          <w:left w:val="single" w:color="auto" w:sz="6" w:space="4"/>
          <w:bottom w:val="single" w:color="auto" w:sz="6" w:space="1"/>
          <w:right w:val="single" w:color="auto" w:sz="6" w:space="4"/>
        </w:pBdr>
        <w:spacing w:line="500" w:lineRule="exact"/>
        <w:ind w:left="105" w:leftChars="50" w:right="105" w:rightChars="50" w:firstLine="482" w:firstLineChars="200"/>
        <w:rPr>
          <w:rFonts w:hint="eastAsia" w:eastAsia="方正书宋_GBK"/>
          <w:sz w:val="24"/>
        </w:rPr>
      </w:pPr>
      <w:r>
        <w:rPr>
          <w:rFonts w:hint="eastAsia" w:eastAsia="方正楷体_GBK"/>
          <w:b/>
          <w:bCs/>
          <w:sz w:val="24"/>
        </w:rPr>
        <w:t>区级科技馆建设</w:t>
      </w:r>
      <w:r>
        <w:rPr>
          <w:rFonts w:hint="eastAsia" w:eastAsia="方正书宋_GBK"/>
          <w:sz w:val="24"/>
        </w:rPr>
        <w:t>。坚持服务人民、突出功能，科学规划、厉行节约，加强管理、注重效用，推进公益性、标准化实体科技馆建设。</w:t>
      </w:r>
    </w:p>
    <w:p w14:paraId="2D451DCC">
      <w:pPr>
        <w:pBdr>
          <w:top w:val="single" w:color="auto" w:sz="6" w:space="1"/>
          <w:left w:val="single" w:color="auto" w:sz="6" w:space="4"/>
          <w:bottom w:val="single" w:color="auto" w:sz="6" w:space="1"/>
          <w:right w:val="single" w:color="auto" w:sz="6" w:space="4"/>
        </w:pBdr>
        <w:spacing w:line="500" w:lineRule="exact"/>
        <w:ind w:left="105" w:leftChars="50" w:right="105" w:rightChars="50" w:firstLine="482" w:firstLineChars="200"/>
        <w:rPr>
          <w:rFonts w:hint="eastAsia" w:eastAsia="方正书宋_GBK"/>
          <w:sz w:val="24"/>
        </w:rPr>
      </w:pPr>
      <w:r>
        <w:rPr>
          <w:rFonts w:hint="eastAsia" w:eastAsia="方正楷体_GBK"/>
          <w:b/>
          <w:bCs/>
          <w:sz w:val="24"/>
        </w:rPr>
        <w:t>数字化阅读工程。</w:t>
      </w:r>
      <w:r>
        <w:rPr>
          <w:rFonts w:hint="eastAsia" w:eastAsia="方正书宋_GBK"/>
          <w:sz w:val="24"/>
        </w:rPr>
        <w:t>以数字图书馆、社区数字图书馆、数字农家书屋、公益性电子阅览室等项目为支撑，搭建公共数字阅读服务体系。</w:t>
      </w:r>
    </w:p>
    <w:p w14:paraId="5FCC73FC">
      <w:pPr>
        <w:pBdr>
          <w:top w:val="single" w:color="auto" w:sz="6" w:space="1"/>
          <w:left w:val="single" w:color="auto" w:sz="6" w:space="4"/>
          <w:bottom w:val="single" w:color="auto" w:sz="6" w:space="1"/>
          <w:right w:val="single" w:color="auto" w:sz="6" w:space="4"/>
        </w:pBdr>
        <w:spacing w:line="500" w:lineRule="exact"/>
        <w:ind w:left="105" w:leftChars="50" w:right="105" w:rightChars="50" w:firstLine="482" w:firstLineChars="200"/>
        <w:rPr>
          <w:rFonts w:hint="eastAsia" w:eastAsia="方正书宋_GBK"/>
          <w:sz w:val="24"/>
        </w:rPr>
      </w:pPr>
      <w:r>
        <w:rPr>
          <w:rFonts w:hint="eastAsia" w:eastAsia="方正楷体_GBK"/>
          <w:b/>
          <w:bCs/>
          <w:sz w:val="24"/>
        </w:rPr>
        <w:t>群众性应急救护培训“五进”工程。</w:t>
      </w:r>
      <w:r>
        <w:rPr>
          <w:rFonts w:hint="eastAsia" w:eastAsia="方正书宋_GBK"/>
          <w:sz w:val="24"/>
        </w:rPr>
        <w:t>推动群众性应急救护培训进社区、进农村、进学校、进企业、进机关，到2025年累计建成应急救护培训基地</w:t>
      </w:r>
      <w:r>
        <w:rPr>
          <w:rFonts w:eastAsia="方正书宋_GBK"/>
          <w:sz w:val="24"/>
        </w:rPr>
        <w:t>2</w:t>
      </w:r>
      <w:r>
        <w:rPr>
          <w:rFonts w:hint="eastAsia" w:eastAsia="方正书宋_GBK"/>
          <w:sz w:val="24"/>
        </w:rPr>
        <w:t>个、培训群众不少于</w:t>
      </w:r>
      <w:r>
        <w:rPr>
          <w:rFonts w:eastAsia="方正书宋_GBK"/>
          <w:sz w:val="24"/>
        </w:rPr>
        <w:t>2000</w:t>
      </w:r>
      <w:r>
        <w:rPr>
          <w:rFonts w:hint="eastAsia" w:eastAsia="方正书宋_GBK"/>
          <w:sz w:val="24"/>
        </w:rPr>
        <w:t>人次。</w:t>
      </w:r>
    </w:p>
    <w:p w14:paraId="2FB48A93">
      <w:pPr>
        <w:shd w:val="clear" w:color="auto" w:fill="FFFFFF"/>
        <w:adjustRightInd w:val="0"/>
        <w:snapToGrid w:val="0"/>
        <w:spacing w:line="600" w:lineRule="exact"/>
        <w:jc w:val="center"/>
        <w:rPr>
          <w:rFonts w:hint="eastAsia" w:eastAsia="方正黑体_GBK"/>
          <w:sz w:val="32"/>
          <w:szCs w:val="32"/>
        </w:rPr>
      </w:pPr>
      <w:r>
        <w:rPr>
          <w:rFonts w:hint="eastAsia" w:eastAsia="方正黑体_GBK"/>
          <w:sz w:val="32"/>
          <w:szCs w:val="32"/>
        </w:rPr>
        <w:t>第八章 </w:t>
      </w:r>
      <w:r>
        <w:rPr>
          <w:rFonts w:hint="eastAsia" w:ascii="MS Mincho" w:hAnsi="MS Mincho" w:eastAsia="MS Mincho" w:cs="MS Mincho"/>
          <w:sz w:val="32"/>
          <w:szCs w:val="32"/>
        </w:rPr>
        <w:t> </w:t>
      </w:r>
      <w:r>
        <w:rPr>
          <w:rFonts w:hint="eastAsia" w:ascii="方正黑体_GBK" w:hAnsi="方正黑体_GBK" w:eastAsia="方正黑体_GBK" w:cs="方正黑体_GBK"/>
          <w:sz w:val="32"/>
          <w:szCs w:val="32"/>
        </w:rPr>
        <w:t>建立健全规划的领导和保障机制</w:t>
      </w:r>
    </w:p>
    <w:p w14:paraId="57FB1663">
      <w:pPr>
        <w:adjustRightInd w:val="0"/>
        <w:snapToGrid w:val="0"/>
        <w:spacing w:line="600" w:lineRule="exact"/>
        <w:jc w:val="center"/>
        <w:rPr>
          <w:rFonts w:eastAsia="方正楷体_GBK"/>
          <w:b/>
          <w:bCs/>
          <w:sz w:val="32"/>
          <w:szCs w:val="32"/>
        </w:rPr>
      </w:pPr>
      <w:r>
        <w:rPr>
          <w:rFonts w:hint="eastAsia" w:eastAsia="方正楷体_GBK"/>
          <w:sz w:val="32"/>
          <w:szCs w:val="32"/>
        </w:rPr>
        <w:t>第三十三节</w:t>
      </w:r>
      <w:r>
        <w:rPr>
          <w:rFonts w:eastAsia="方正楷体_GBK"/>
          <w:sz w:val="32"/>
          <w:szCs w:val="32"/>
        </w:rPr>
        <w:t xml:space="preserve">  </w:t>
      </w:r>
      <w:r>
        <w:rPr>
          <w:rFonts w:hint="eastAsia" w:eastAsia="方正楷体_GBK"/>
          <w:sz w:val="32"/>
          <w:szCs w:val="32"/>
        </w:rPr>
        <w:t>构建齐抓共管格局</w:t>
      </w:r>
    </w:p>
    <w:p w14:paraId="4F1F2B88">
      <w:pPr>
        <w:adjustRightInd w:val="0"/>
        <w:snapToGrid w:val="0"/>
        <w:spacing w:line="600" w:lineRule="exact"/>
        <w:ind w:firstLine="640" w:firstLineChars="200"/>
        <w:rPr>
          <w:rFonts w:hint="eastAsia" w:eastAsia="方正仿宋_GBK"/>
          <w:sz w:val="32"/>
          <w:szCs w:val="32"/>
        </w:rPr>
      </w:pPr>
      <w:r>
        <w:rPr>
          <w:rFonts w:hint="eastAsia" w:eastAsia="方正仿宋_GBK"/>
          <w:sz w:val="32"/>
          <w:szCs w:val="32"/>
        </w:rPr>
        <w:t>全区精神文明建设战线要坚持党的全面领导，全面加强党的建设，</w:t>
      </w:r>
      <w:r>
        <w:rPr>
          <w:rFonts w:hint="eastAsia" w:eastAsia="方正仿宋_GBK"/>
          <w:kern w:val="0"/>
          <w:sz w:val="32"/>
          <w:szCs w:val="32"/>
        </w:rPr>
        <w:t>刻领会“两个确立”的决定性意义，进一步</w:t>
      </w:r>
      <w:r>
        <w:rPr>
          <w:rFonts w:hint="eastAsia" w:eastAsia="方正仿宋_GBK"/>
          <w:sz w:val="32"/>
          <w:szCs w:val="32"/>
        </w:rPr>
        <w:t>增强“四个意识”、坚定“四个自信”、做到“两个维护”，坚决兑现市委“三个确保”政治承诺，</w:t>
      </w:r>
      <w:r>
        <w:rPr>
          <w:rFonts w:hint="eastAsia" w:eastAsia="方正仿宋_GBK" w:cs="方正仿宋_GBK"/>
          <w:kern w:val="0"/>
          <w:sz w:val="32"/>
          <w:szCs w:val="32"/>
          <w:lang w:bidi="ar"/>
        </w:rPr>
        <w:t>持续深入肃清孙政才恶劣影响和薄熙来、王立军流毒，全面彻底干净肃清邓恢林流毒影响</w:t>
      </w:r>
      <w:r>
        <w:rPr>
          <w:rFonts w:hint="eastAsia" w:eastAsia="方正仿宋_GBK"/>
          <w:sz w:val="32"/>
          <w:szCs w:val="32"/>
        </w:rPr>
        <w:t>，</w:t>
      </w:r>
      <w:r>
        <w:rPr>
          <w:rFonts w:eastAsia="方正仿宋_GBK"/>
          <w:kern w:val="0"/>
          <w:sz w:val="32"/>
          <w:szCs w:val="32"/>
        </w:rPr>
        <w:t>深刻汲取万军、袁国圣、张文军</w:t>
      </w:r>
      <w:r>
        <w:rPr>
          <w:rFonts w:hint="eastAsia" w:eastAsia="方正仿宋_GBK"/>
          <w:kern w:val="0"/>
          <w:sz w:val="32"/>
          <w:szCs w:val="32"/>
        </w:rPr>
        <w:t>等</w:t>
      </w:r>
      <w:r>
        <w:rPr>
          <w:rFonts w:eastAsia="方正仿宋_GBK"/>
          <w:kern w:val="0"/>
          <w:sz w:val="32"/>
          <w:szCs w:val="32"/>
        </w:rPr>
        <w:t>案件教训</w:t>
      </w:r>
      <w:r>
        <w:rPr>
          <w:rFonts w:hint="eastAsia" w:eastAsia="方正仿宋_GBK"/>
          <w:kern w:val="0"/>
          <w:sz w:val="32"/>
          <w:szCs w:val="32"/>
        </w:rPr>
        <w:t>，</w:t>
      </w:r>
      <w:r>
        <w:rPr>
          <w:rFonts w:hint="eastAsia" w:eastAsia="方正仿宋_GBK"/>
          <w:sz w:val="32"/>
          <w:szCs w:val="32"/>
        </w:rPr>
        <w:t>确保精神文明建设始终沿着正确方向前进。全区各级党委政府要把精神文明建设摆上重要议事日程，加大人财物等保障力度，推动规划目标任务顺利完成。区文明委及其办事机构要统筹协调、整合资源、督促落实，确保规划目标任务落到实处。区文明委成员单位要把规划目标任务同业务工作结合起来，科学谋划、一体推进。完善全社会参与机制，充分发挥工会、共青团、妇联、民主党派和各类社会团体的桥梁纽带作用，开展军民共建精神文明活动，凝聚社会各界力量，形成推动规划目标任务落地落实的强大合力。加强与遂宁等四川周边地区精神文明建设协作，积极助力成渝地区双城经济圈建设。</w:t>
      </w:r>
    </w:p>
    <w:p w14:paraId="4A5B29BD">
      <w:pPr>
        <w:adjustRightInd w:val="0"/>
        <w:snapToGrid w:val="0"/>
        <w:spacing w:line="600" w:lineRule="exact"/>
        <w:jc w:val="center"/>
        <w:rPr>
          <w:rFonts w:hint="eastAsia" w:eastAsia="方正楷体_GBK"/>
          <w:sz w:val="32"/>
          <w:szCs w:val="32"/>
        </w:rPr>
      </w:pPr>
      <w:r>
        <w:rPr>
          <w:rFonts w:hint="eastAsia" w:eastAsia="方正楷体_GBK"/>
          <w:sz w:val="32"/>
          <w:szCs w:val="32"/>
        </w:rPr>
        <w:t xml:space="preserve">第三十四节 </w:t>
      </w:r>
      <w:r>
        <w:rPr>
          <w:rFonts w:hint="eastAsia" w:ascii="MS Mincho" w:hAnsi="MS Mincho" w:eastAsia="MS Mincho" w:cs="MS Mincho"/>
          <w:sz w:val="32"/>
          <w:szCs w:val="32"/>
        </w:rPr>
        <w:t> </w:t>
      </w:r>
      <w:r>
        <w:rPr>
          <w:rFonts w:hint="eastAsia" w:ascii="方正楷体_GBK" w:hAnsi="方正楷体_GBK" w:eastAsia="方正楷体_GBK" w:cs="方正楷体_GBK"/>
          <w:sz w:val="32"/>
          <w:szCs w:val="32"/>
        </w:rPr>
        <w:t>强化信息技术运用</w:t>
      </w:r>
    </w:p>
    <w:p w14:paraId="2C42CFBA">
      <w:pPr>
        <w:spacing w:line="600" w:lineRule="exact"/>
        <w:ind w:firstLine="640" w:firstLineChars="200"/>
        <w:rPr>
          <w:rFonts w:hint="eastAsia" w:eastAsia="方正仿宋_GBK"/>
          <w:sz w:val="32"/>
          <w:szCs w:val="32"/>
        </w:rPr>
      </w:pPr>
      <w:r>
        <w:rPr>
          <w:rFonts w:hint="eastAsia" w:eastAsia="方正仿宋_GBK"/>
          <w:sz w:val="32"/>
          <w:szCs w:val="32"/>
        </w:rPr>
        <w:t>深刻认识信息技术对精神文明建设带来的机遇和挑战，加强理论研究和实践总结，在科学化精细化智能化上下功夫、出实招，着力推进理念创新、手段创新和基层工作创新。精准把握不同群体的思想实际、生活状况、接受习惯，更有针对性地创造高质量内容、提供高品质服务，更好地满足广大市民的精神文化生活新期待，坚决防止形式主义、官僚主义。</w:t>
      </w:r>
    </w:p>
    <w:p w14:paraId="00B8F73A">
      <w:pPr>
        <w:adjustRightInd w:val="0"/>
        <w:snapToGrid w:val="0"/>
        <w:spacing w:line="600" w:lineRule="exact"/>
        <w:jc w:val="center"/>
        <w:rPr>
          <w:rFonts w:eastAsia="方正楷体_GBK"/>
          <w:sz w:val="32"/>
          <w:szCs w:val="32"/>
        </w:rPr>
      </w:pPr>
      <w:r>
        <w:rPr>
          <w:rFonts w:hint="eastAsia" w:eastAsia="方正楷体_GBK"/>
          <w:sz w:val="32"/>
          <w:szCs w:val="32"/>
        </w:rPr>
        <w:t>第三十五节</w:t>
      </w:r>
      <w:r>
        <w:rPr>
          <w:rFonts w:eastAsia="方正楷体_GBK"/>
          <w:sz w:val="32"/>
          <w:szCs w:val="32"/>
        </w:rPr>
        <w:t xml:space="preserve">  </w:t>
      </w:r>
      <w:r>
        <w:rPr>
          <w:rFonts w:hint="eastAsia" w:eastAsia="方正楷体_GBK"/>
          <w:sz w:val="32"/>
          <w:szCs w:val="32"/>
        </w:rPr>
        <w:t>提供有力法治支撑</w:t>
      </w:r>
    </w:p>
    <w:p w14:paraId="07060100">
      <w:pPr>
        <w:spacing w:line="600" w:lineRule="exact"/>
        <w:ind w:firstLine="640" w:firstLineChars="200"/>
        <w:rPr>
          <w:rFonts w:hint="eastAsia" w:eastAsia="方正仿宋_GBK"/>
          <w:sz w:val="32"/>
          <w:szCs w:val="32"/>
        </w:rPr>
      </w:pPr>
      <w:r>
        <w:rPr>
          <w:rFonts w:hint="eastAsia" w:eastAsia="方正仿宋_GBK"/>
          <w:sz w:val="32"/>
          <w:szCs w:val="32"/>
        </w:rPr>
        <w:t>有序推动社会主义核心价值观融入法治建设和社会规范，为精神文明建设提供有力的法治保障。全面落实《重庆市文明行为促进条例》，综合运用宣传教育、专项治理等手段，引导人民群众从小事做起、从自己做起、从现在做起，自觉遵守文明行为规范。</w:t>
      </w:r>
    </w:p>
    <w:p w14:paraId="05D1F7E2">
      <w:pPr>
        <w:adjustRightInd w:val="0"/>
        <w:snapToGrid w:val="0"/>
        <w:spacing w:line="600" w:lineRule="exact"/>
        <w:jc w:val="center"/>
        <w:rPr>
          <w:rFonts w:eastAsia="方正楷体_GBK"/>
          <w:sz w:val="32"/>
          <w:szCs w:val="32"/>
        </w:rPr>
      </w:pPr>
      <w:r>
        <w:rPr>
          <w:rFonts w:hint="eastAsia" w:eastAsia="方正楷体_GBK"/>
          <w:sz w:val="32"/>
          <w:szCs w:val="32"/>
        </w:rPr>
        <w:t>第三十六节</w:t>
      </w:r>
      <w:r>
        <w:rPr>
          <w:rFonts w:eastAsia="方正楷体_GBK"/>
          <w:sz w:val="32"/>
          <w:szCs w:val="32"/>
        </w:rPr>
        <w:t xml:space="preserve">  </w:t>
      </w:r>
      <w:r>
        <w:rPr>
          <w:rFonts w:hint="eastAsia" w:eastAsia="方正楷体_GBK"/>
          <w:sz w:val="32"/>
          <w:szCs w:val="32"/>
        </w:rPr>
        <w:t>加大工作保障力度</w:t>
      </w:r>
    </w:p>
    <w:p w14:paraId="485EE7A1">
      <w:pPr>
        <w:adjustRightInd w:val="0"/>
        <w:snapToGrid w:val="0"/>
        <w:spacing w:line="600" w:lineRule="exact"/>
        <w:ind w:firstLine="640" w:firstLineChars="200"/>
        <w:rPr>
          <w:rFonts w:hint="eastAsia" w:eastAsia="方正仿宋_GBK"/>
          <w:sz w:val="32"/>
          <w:szCs w:val="32"/>
        </w:rPr>
      </w:pPr>
      <w:r>
        <w:rPr>
          <w:rFonts w:hint="eastAsia" w:eastAsia="方正仿宋_GBK"/>
          <w:sz w:val="32"/>
          <w:szCs w:val="32"/>
        </w:rPr>
        <w:t>把推动规划落地落实纳入全区精神文明建设年度考核的重要内容，健全政策协调、工作协同、进展督导等体制机制，明确重点任务、责任分工，确保规划目标任务清单化、项目化、事项化推进。深入开展增强“脚力、眼力、脑力、笔力”教育实践，培养全区精神文明建设战线适应新时代要求的专业能力、专业素养、专业精神。建立述职报告制度，各文明委成员单位每年向文明委报告规划落实情况和下一年工作安排。</w:t>
      </w:r>
      <w:bookmarkEnd w:id="1"/>
      <w:bookmarkEnd w:id="2"/>
    </w:p>
    <w:p w14:paraId="403D2B1E">
      <w:pPr>
        <w:spacing w:line="600" w:lineRule="exact"/>
        <w:contextualSpacing/>
        <w:jc w:val="center"/>
        <w:rPr>
          <w:rFonts w:hint="eastAsia" w:eastAsia="方正小标宋_GBK"/>
          <w:sz w:val="44"/>
          <w:szCs w:val="44"/>
        </w:rPr>
      </w:pPr>
    </w:p>
    <w:p w14:paraId="6E14858B"/>
    <w:p w14:paraId="204028F4">
      <w:pPr>
        <w:pStyle w:val="2"/>
      </w:pPr>
    </w:p>
    <w:p w14:paraId="5F3D022F">
      <w:pPr>
        <w:pStyle w:val="2"/>
      </w:pPr>
    </w:p>
    <w:p w14:paraId="33F01AFC">
      <w:pPr>
        <w:pStyle w:val="2"/>
      </w:pPr>
    </w:p>
    <w:p w14:paraId="6BA20DED">
      <w:pPr>
        <w:pStyle w:val="2"/>
      </w:pPr>
    </w:p>
    <w:p w14:paraId="0F49D249">
      <w:pPr>
        <w:pStyle w:val="2"/>
      </w:pPr>
    </w:p>
    <w:p w14:paraId="69691DA8">
      <w:pPr>
        <w:pStyle w:val="2"/>
      </w:pPr>
    </w:p>
    <w:p w14:paraId="50C70957">
      <w:pPr>
        <w:pStyle w:val="2"/>
      </w:pPr>
    </w:p>
    <w:p w14:paraId="22F9973E">
      <w:pPr>
        <w:pStyle w:val="2"/>
      </w:pPr>
    </w:p>
    <w:p w14:paraId="23B211EA">
      <w:pPr>
        <w:pStyle w:val="2"/>
      </w:pPr>
    </w:p>
    <w:p w14:paraId="48A191A2">
      <w:pPr>
        <w:pStyle w:val="2"/>
      </w:pPr>
    </w:p>
    <w:p w14:paraId="1EE5C3ED">
      <w:pPr>
        <w:pStyle w:val="2"/>
      </w:pPr>
    </w:p>
    <w:p w14:paraId="1ABE404A">
      <w:pPr>
        <w:pStyle w:val="2"/>
      </w:pPr>
    </w:p>
    <w:p w14:paraId="0A670879">
      <w:pPr>
        <w:pStyle w:val="2"/>
      </w:pPr>
    </w:p>
    <w:p w14:paraId="6DAE4D95">
      <w:pPr>
        <w:pStyle w:val="2"/>
      </w:pPr>
    </w:p>
    <w:p w14:paraId="2C4F3A87">
      <w:pPr>
        <w:pStyle w:val="2"/>
      </w:pPr>
    </w:p>
    <w:p w14:paraId="4D567F17">
      <w:pPr>
        <w:pStyle w:val="2"/>
      </w:pPr>
    </w:p>
    <w:p w14:paraId="19994E5C">
      <w:pPr>
        <w:pStyle w:val="2"/>
      </w:pPr>
    </w:p>
    <w:p w14:paraId="25C3EAEE">
      <w:pPr>
        <w:pStyle w:val="2"/>
      </w:pPr>
    </w:p>
    <w:p w14:paraId="3F864FAB">
      <w:pPr>
        <w:pStyle w:val="2"/>
      </w:pPr>
    </w:p>
    <w:p w14:paraId="5DE69AAC">
      <w:pPr>
        <w:pStyle w:val="2"/>
      </w:pPr>
    </w:p>
    <w:p w14:paraId="230DAE33">
      <w:pPr>
        <w:pStyle w:val="2"/>
      </w:pPr>
    </w:p>
    <w:p w14:paraId="3B498D1D">
      <w:pPr>
        <w:pStyle w:val="2"/>
      </w:pPr>
    </w:p>
    <w:p w14:paraId="21B34BA9">
      <w:pPr>
        <w:pStyle w:val="2"/>
      </w:pPr>
    </w:p>
    <w:p w14:paraId="1B8C98C4">
      <w:pPr>
        <w:pStyle w:val="2"/>
      </w:pPr>
    </w:p>
    <w:p w14:paraId="46FA74FF">
      <w:pPr>
        <w:pStyle w:val="2"/>
      </w:pPr>
    </w:p>
    <w:p w14:paraId="08FDE1E7">
      <w:pPr>
        <w:pStyle w:val="2"/>
      </w:pPr>
    </w:p>
    <w:p w14:paraId="734398CD">
      <w:pPr>
        <w:pStyle w:val="2"/>
      </w:pPr>
    </w:p>
    <w:p w14:paraId="6830A0A7">
      <w:pPr>
        <w:pStyle w:val="2"/>
      </w:pPr>
    </w:p>
    <w:p w14:paraId="259391DB">
      <w:pPr>
        <w:pStyle w:val="2"/>
      </w:pPr>
    </w:p>
    <w:p w14:paraId="1C321CD6">
      <w:pPr>
        <w:pStyle w:val="2"/>
      </w:pPr>
    </w:p>
    <w:p w14:paraId="6D5B392A">
      <w:pPr>
        <w:pStyle w:val="2"/>
      </w:pPr>
    </w:p>
    <w:p w14:paraId="348A415C">
      <w:pPr>
        <w:pStyle w:val="2"/>
      </w:pPr>
    </w:p>
    <w:p w14:paraId="34A8ABCC">
      <w:pPr>
        <w:pStyle w:val="2"/>
      </w:pPr>
    </w:p>
    <w:p w14:paraId="65C6CBCA">
      <w:pPr>
        <w:pStyle w:val="2"/>
      </w:pPr>
    </w:p>
    <w:p w14:paraId="23D47020">
      <w:pPr>
        <w:pStyle w:val="2"/>
      </w:pPr>
    </w:p>
    <w:p w14:paraId="55F79E29">
      <w:pPr>
        <w:pStyle w:val="2"/>
      </w:pPr>
    </w:p>
    <w:p w14:paraId="36B3AB80">
      <w:pPr>
        <w:pStyle w:val="2"/>
      </w:pPr>
    </w:p>
    <w:p w14:paraId="6BBB6222">
      <w:pPr>
        <w:pStyle w:val="2"/>
      </w:pPr>
    </w:p>
    <w:p w14:paraId="6545607D">
      <w:pPr>
        <w:pStyle w:val="2"/>
      </w:pPr>
    </w:p>
    <w:p w14:paraId="3581EDA2">
      <w:pPr>
        <w:pStyle w:val="2"/>
      </w:pPr>
    </w:p>
    <w:p w14:paraId="08DAACEB">
      <w:pPr>
        <w:pStyle w:val="2"/>
      </w:pPr>
    </w:p>
    <w:p w14:paraId="55F1A540">
      <w:pPr>
        <w:pStyle w:val="2"/>
      </w:pPr>
    </w:p>
    <w:p w14:paraId="52F861A2">
      <w:pPr>
        <w:pStyle w:val="2"/>
      </w:pPr>
    </w:p>
    <w:p w14:paraId="7CC9A3A5">
      <w:pPr>
        <w:pStyle w:val="2"/>
      </w:pPr>
    </w:p>
    <w:p w14:paraId="7A3BA6D0">
      <w:pPr>
        <w:pStyle w:val="2"/>
      </w:pPr>
    </w:p>
    <w:p w14:paraId="655EB189">
      <w:pPr>
        <w:pStyle w:val="2"/>
      </w:pPr>
    </w:p>
    <w:p w14:paraId="439881CC">
      <w:pPr>
        <w:pStyle w:val="2"/>
      </w:pPr>
    </w:p>
    <w:p w14:paraId="61F6992D">
      <w:pPr>
        <w:pStyle w:val="2"/>
      </w:pPr>
    </w:p>
    <w:p w14:paraId="4936F68D">
      <w:pPr>
        <w:pStyle w:val="2"/>
      </w:pPr>
    </w:p>
    <w:p w14:paraId="082743B5">
      <w:pPr>
        <w:pStyle w:val="2"/>
      </w:pPr>
    </w:p>
    <w:p w14:paraId="0905E113">
      <w:pPr>
        <w:pStyle w:val="2"/>
      </w:pPr>
    </w:p>
    <w:p w14:paraId="0023385E">
      <w:pPr>
        <w:pStyle w:val="2"/>
      </w:pPr>
    </w:p>
    <w:p w14:paraId="4468412A">
      <w:pPr>
        <w:pStyle w:val="2"/>
      </w:pPr>
    </w:p>
    <w:p w14:paraId="621C223F">
      <w:pPr>
        <w:pStyle w:val="2"/>
      </w:pPr>
    </w:p>
    <w:p w14:paraId="613D930D">
      <w:pPr>
        <w:pStyle w:val="2"/>
      </w:pPr>
    </w:p>
    <w:p w14:paraId="1BCA40F6">
      <w:pPr>
        <w:pStyle w:val="2"/>
      </w:pPr>
    </w:p>
    <w:p w14:paraId="235CF506">
      <w:pPr>
        <w:pStyle w:val="2"/>
      </w:pPr>
    </w:p>
    <w:p w14:paraId="0837366B">
      <w:pPr>
        <w:pStyle w:val="2"/>
      </w:pPr>
    </w:p>
    <w:p w14:paraId="240B1063">
      <w:pPr>
        <w:pStyle w:val="2"/>
      </w:pPr>
    </w:p>
    <w:p w14:paraId="2F88247C">
      <w:pPr>
        <w:pStyle w:val="2"/>
      </w:pPr>
    </w:p>
    <w:p w14:paraId="607D3585">
      <w:pPr>
        <w:pStyle w:val="2"/>
      </w:pPr>
    </w:p>
    <w:p w14:paraId="543C858E">
      <w:pPr>
        <w:pStyle w:val="2"/>
      </w:pPr>
    </w:p>
    <w:p w14:paraId="308868E2">
      <w:pPr>
        <w:pStyle w:val="2"/>
      </w:pPr>
    </w:p>
    <w:p w14:paraId="2F25502A">
      <w:pPr>
        <w:pStyle w:val="2"/>
      </w:pPr>
    </w:p>
    <w:p w14:paraId="18FDB706">
      <w:pPr>
        <w:pStyle w:val="2"/>
      </w:pPr>
    </w:p>
    <w:p w14:paraId="46CFD819">
      <w:pPr>
        <w:pStyle w:val="2"/>
      </w:pPr>
    </w:p>
    <w:p w14:paraId="4968A966">
      <w:pPr>
        <w:pStyle w:val="2"/>
      </w:pPr>
    </w:p>
    <w:p w14:paraId="455B6202">
      <w:pPr>
        <w:pStyle w:val="2"/>
      </w:pPr>
    </w:p>
    <w:p w14:paraId="71B5B143">
      <w:pPr>
        <w:pStyle w:val="2"/>
        <w:rPr>
          <w:lang w:val="en-US" w:eastAsia="zh-CN"/>
        </w:rPr>
      </w:pPr>
    </w:p>
    <w:p w14:paraId="2935ED0D">
      <w:pPr>
        <w:pBdr>
          <w:top w:val="single" w:color="auto" w:sz="4" w:space="1"/>
          <w:bottom w:val="single" w:color="auto" w:sz="4" w:space="1"/>
        </w:pBdr>
        <w:autoSpaceDE w:val="0"/>
        <w:autoSpaceDN w:val="0"/>
        <w:adjustRightInd w:val="0"/>
        <w:spacing w:line="560" w:lineRule="exact"/>
        <w:ind w:right="-315" w:rightChars="-150"/>
      </w:pPr>
      <w:r>
        <w:rPr>
          <w:rFonts w:eastAsia="方正仿宋_GBK"/>
          <w:sz w:val="32"/>
          <w:szCs w:val="32"/>
          <w:lang w:val="zh-CN"/>
        </w:rPr>
        <w:t>重庆市潼南区委</w:t>
      </w:r>
      <w:r>
        <w:rPr>
          <w:rFonts w:hint="eastAsia" w:eastAsia="方正仿宋_GBK"/>
          <w:sz w:val="32"/>
          <w:szCs w:val="32"/>
          <w:lang w:val="en-US" w:eastAsia="zh-CN"/>
        </w:rPr>
        <w:t>精神文明建设委员会办公室</w:t>
      </w:r>
      <w:r>
        <w:rPr>
          <w:rFonts w:eastAsia="方正仿宋_GBK"/>
          <w:sz w:val="32"/>
          <w:szCs w:val="32"/>
          <w:lang w:val="zh-CN"/>
        </w:rPr>
        <w:t xml:space="preserve">  </w:t>
      </w:r>
      <w:r>
        <w:rPr>
          <w:rFonts w:eastAsia="方正仿宋_GBK"/>
          <w:sz w:val="32"/>
          <w:szCs w:val="32"/>
        </w:rPr>
        <w:t xml:space="preserve"> </w:t>
      </w:r>
      <w:r>
        <w:rPr>
          <w:rFonts w:hint="default" w:ascii="Times New Roman" w:hAnsi="Times New Roman" w:eastAsia="方正仿宋_GBK" w:cs="Times New Roman"/>
          <w:sz w:val="32"/>
          <w:szCs w:val="32"/>
          <w:lang w:val="zh-CN"/>
        </w:rPr>
        <w:t>202</w:t>
      </w:r>
      <w:r>
        <w:rPr>
          <w:rFonts w:hint="default" w:ascii="Times New Roman" w:hAnsi="Times New Roman" w:eastAsia="方正仿宋_GBK" w:cs="Times New Roman"/>
          <w:sz w:val="32"/>
          <w:szCs w:val="32"/>
          <w:lang w:val="en-US" w:eastAsia="zh-CN"/>
        </w:rPr>
        <w:t>2</w:t>
      </w:r>
      <w:r>
        <w:rPr>
          <w:rFonts w:hint="default" w:ascii="Times New Roman" w:hAnsi="Times New Roman" w:eastAsia="方正仿宋_GBK" w:cs="Times New Roman"/>
          <w:sz w:val="32"/>
          <w:szCs w:val="32"/>
          <w:lang w:val="zh-CN"/>
        </w:rPr>
        <w:t>年</w:t>
      </w:r>
      <w:r>
        <w:rPr>
          <w:rFonts w:hint="eastAsia" w:ascii="Times New Roman" w:hAnsi="Times New Roman" w:eastAsia="方正仿宋_GBK" w:cs="Times New Roman"/>
          <w:sz w:val="32"/>
          <w:szCs w:val="32"/>
          <w:lang w:val="en-US" w:eastAsia="zh-CN"/>
        </w:rPr>
        <w:t>6</w:t>
      </w:r>
      <w:r>
        <w:rPr>
          <w:rFonts w:hint="default" w:ascii="Times New Roman" w:hAnsi="Times New Roman" w:eastAsia="方正仿宋_GBK" w:cs="Times New Roman"/>
          <w:sz w:val="32"/>
          <w:szCs w:val="32"/>
          <w:lang w:val="zh-CN"/>
        </w:rPr>
        <w:t>月</w:t>
      </w:r>
      <w:r>
        <w:rPr>
          <w:rFonts w:hint="eastAsia" w:eastAsia="方正仿宋_GBK" w:cs="Times New Roman"/>
          <w:sz w:val="32"/>
          <w:szCs w:val="32"/>
          <w:lang w:val="en-US" w:eastAsia="zh-CN"/>
        </w:rPr>
        <w:t>29</w:t>
      </w:r>
      <w:r>
        <w:rPr>
          <w:rFonts w:hint="default" w:ascii="Times New Roman" w:hAnsi="Times New Roman" w:eastAsia="方正仿宋_GBK" w:cs="Times New Roman"/>
          <w:sz w:val="32"/>
          <w:szCs w:val="32"/>
          <w:lang w:val="zh-CN"/>
        </w:rPr>
        <w:t>日印发</w:t>
      </w:r>
    </w:p>
    <w:sectPr>
      <w:footerReference r:id="rId3" w:type="default"/>
      <w:pgSz w:w="11906" w:h="16838"/>
      <w:pgMar w:top="1984" w:right="1446" w:bottom="1644" w:left="1446"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Helvetica">
    <w:altName w:val="Arial"/>
    <w:panose1 w:val="020B0604020202020204"/>
    <w:charset w:val="00"/>
    <w:family w:val="swiss"/>
    <w:pitch w:val="default"/>
    <w:sig w:usb0="00000000" w:usb1="00000000" w:usb2="00000009" w:usb3="00000000" w:csb0="000001FF" w:csb1="00000000"/>
  </w:font>
  <w:font w:name="方正黑体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新宋体">
    <w:panose1 w:val="02010609030101010101"/>
    <w:charset w:val="86"/>
    <w:family w:val="modern"/>
    <w:pitch w:val="default"/>
    <w:sig w:usb0="00000003" w:usb1="288F0000" w:usb2="00000006" w:usb3="00000000" w:csb0="00040001" w:csb1="00000000"/>
  </w:font>
  <w:font w:name="方正书宋_GBK">
    <w:panose1 w:val="03000509000000000000"/>
    <w:charset w:val="86"/>
    <w:family w:val="script"/>
    <w:pitch w:val="default"/>
    <w:sig w:usb0="00000001" w:usb1="080E0000" w:usb2="00000000" w:usb3="00000000" w:csb0="00040000" w:csb1="00000000"/>
  </w:font>
  <w:font w:name="MS Mincho">
    <w:panose1 w:val="02020609040205080304"/>
    <w:charset w:val="80"/>
    <w:family w:val="modern"/>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E4BD8F">
    <w:pPr>
      <w:pStyle w:val="5"/>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703AAB2E">
                          <w:pPr>
                            <w:pStyle w:val="5"/>
                            <w:rPr>
                              <w:rFonts w:ascii="仿宋_GB2312" w:hAnsi="仿宋_GB2312" w:eastAsia="仿宋_GB2312" w:cs="仿宋_GB2312"/>
                              <w:sz w:val="28"/>
                              <w:szCs w:val="28"/>
                            </w:rPr>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ascii="仿宋_GB2312" w:hAnsi="仿宋_GB2312" w:eastAsia="仿宋_GB2312" w:cs="仿宋_GB2312"/>
                              <w:sz w:val="28"/>
                              <w:szCs w:val="28"/>
                            </w:rPr>
                            <w:t>- 14 -</w:t>
                          </w:r>
                          <w:r>
                            <w:rPr>
                              <w:rFonts w:hint="eastAsia" w:ascii="仿宋_GB2312" w:hAnsi="仿宋_GB2312" w:eastAsia="仿宋_GB2312" w:cs="仿宋_GB2312"/>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Di4G8MQIAAGUEAAAOAAAAAAAAAAEAIAAAAB8BAABkcnMvZTJvRG9jLnhtbFBLBQYA&#10;AAAABgAGAFkBAADCBQAAAAA=&#10;">
              <v:fill on="f" focussize="0,0"/>
              <v:stroke on="f" weight="0.5pt"/>
              <v:imagedata o:title=""/>
              <o:lock v:ext="edit" aspectratio="f"/>
              <v:textbox inset="0mm,0mm,0mm,0mm" style="mso-fit-shape-to-text:t;">
                <w:txbxContent>
                  <w:p w14:paraId="703AAB2E">
                    <w:pPr>
                      <w:pStyle w:val="5"/>
                      <w:rPr>
                        <w:rFonts w:ascii="仿宋_GB2312" w:hAnsi="仿宋_GB2312" w:eastAsia="仿宋_GB2312" w:cs="仿宋_GB2312"/>
                        <w:sz w:val="28"/>
                        <w:szCs w:val="28"/>
                      </w:rPr>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rPr>
                        <w:rFonts w:ascii="仿宋_GB2312" w:hAnsi="仿宋_GB2312" w:eastAsia="仿宋_GB2312" w:cs="仿宋_GB2312"/>
                        <w:sz w:val="28"/>
                        <w:szCs w:val="28"/>
                      </w:rPr>
                      <w:t>- 14 -</w:t>
                    </w:r>
                    <w:r>
                      <w:rPr>
                        <w:rFonts w:hint="eastAsia" w:ascii="仿宋_GB2312" w:hAnsi="仿宋_GB2312" w:eastAsia="仿宋_GB2312" w:cs="仿宋_GB2312"/>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EzYWJiYjQ3ZTQ4MDExZmEzNDUxMTkwNzQwNGQyNTgifQ=="/>
  </w:docVars>
  <w:rsids>
    <w:rsidRoot w:val="75E66DDB"/>
    <w:rsid w:val="01374DB1"/>
    <w:rsid w:val="0F3D6179"/>
    <w:rsid w:val="11583B21"/>
    <w:rsid w:val="11C82294"/>
    <w:rsid w:val="22597869"/>
    <w:rsid w:val="27725EDC"/>
    <w:rsid w:val="2ECE342D"/>
    <w:rsid w:val="46BD7061"/>
    <w:rsid w:val="53DF2111"/>
    <w:rsid w:val="55BC05E8"/>
    <w:rsid w:val="62746756"/>
    <w:rsid w:val="75E66DDB"/>
    <w:rsid w:val="78166D1B"/>
    <w:rsid w:val="7EDC2F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Plain Text"/>
    <w:basedOn w:val="1"/>
    <w:qFormat/>
    <w:uiPriority w:val="0"/>
    <w:rPr>
      <w:rFonts w:ascii="宋体" w:hAnsi="Courier New"/>
    </w:rPr>
  </w:style>
  <w:style w:type="paragraph" w:styleId="3">
    <w:name w:val="Body Text"/>
    <w:basedOn w:val="1"/>
    <w:next w:val="4"/>
    <w:qFormat/>
    <w:uiPriority w:val="0"/>
    <w:pPr>
      <w:spacing w:after="120"/>
    </w:pPr>
    <w:rPr>
      <w:rFonts w:ascii="Times New Roman" w:hAnsi="Times New Roman"/>
      <w:kern w:val="1"/>
      <w:szCs w:val="22"/>
    </w:rPr>
  </w:style>
  <w:style w:type="paragraph" w:customStyle="1" w:styleId="4">
    <w:name w:val="默认"/>
    <w:qFormat/>
    <w:uiPriority w:val="0"/>
    <w:rPr>
      <w:rFonts w:ascii="Helvetica" w:hAnsi="Helvetica" w:eastAsia="宋体" w:cs="Helvetica"/>
      <w:color w:val="000000"/>
      <w:sz w:val="22"/>
      <w:szCs w:val="22"/>
      <w:lang w:val="en-US" w:eastAsia="zh-CN" w:bidi="ar-SA"/>
    </w:rPr>
  </w:style>
  <w:style w:type="paragraph" w:styleId="5">
    <w:name w:val="footer"/>
    <w:basedOn w:val="1"/>
    <w:qFormat/>
    <w:uiPriority w:val="99"/>
    <w:pPr>
      <w:tabs>
        <w:tab w:val="center" w:pos="4153"/>
        <w:tab w:val="right" w:pos="8306"/>
      </w:tabs>
      <w:snapToGrid w:val="0"/>
    </w:pPr>
    <w:rPr>
      <w:sz w:val="18"/>
    </w:rPr>
  </w:style>
  <w:style w:type="paragraph" w:customStyle="1" w:styleId="8">
    <w:name w:val="Default"/>
    <w:qFormat/>
    <w:uiPriority w:val="0"/>
    <w:pPr>
      <w:widowControl w:val="0"/>
      <w:autoSpaceDE w:val="0"/>
      <w:autoSpaceDN w:val="0"/>
      <w:adjustRightInd w:val="0"/>
    </w:pPr>
    <w:rPr>
      <w:rFonts w:ascii="方正黑体_GBK" w:hAnsi="方正黑体_GBK" w:eastAsia="宋体" w:cs="方正黑体_GBK"/>
      <w:color w:val="000000"/>
      <w:sz w:val="24"/>
      <w:szCs w:val="24"/>
      <w:lang w:val="en-US" w:eastAsia="zh-CN" w:bidi="ar-SA"/>
    </w:rPr>
  </w:style>
  <w:style w:type="paragraph" w:styleId="9">
    <w:name w:val="List Paragraph"/>
    <w:basedOn w:val="1"/>
    <w:qFormat/>
    <w:uiPriority w:val="1"/>
    <w:pPr>
      <w:spacing w:before="85"/>
      <w:ind w:left="1391" w:hanging="640"/>
    </w:pPr>
    <w:rPr>
      <w:rFonts w:ascii="方正仿宋_GBK" w:hAnsi="方正仿宋_GBK" w:eastAsia="方正仿宋_GBK" w:cs="方正仿宋_GBK"/>
      <w:lang w:val="zh-CN" w:bidi="zh-C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30</Pages>
  <Words>6174</Words>
  <Characters>6333</Characters>
  <Lines>0</Lines>
  <Paragraphs>0</Paragraphs>
  <TotalTime>4</TotalTime>
  <ScaleCrop>false</ScaleCrop>
  <LinksUpToDate>false</LinksUpToDate>
  <CharactersWithSpaces>6419</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2022-06-17T01:22:00Z</dcterms:created>
  <dc:creator>余乾</dc:creator>
  <cp:lastModifiedBy>德牧</cp:lastModifiedBy>
  <cp:lastPrinted>2022-06-22T01:52:00Z</cp:lastPrinted>
  <dcterms:modified xsi:type="dcterms:W3CDTF">2024-12-12T08:44:36Z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7082D4CD43D1435180AD8AF772A48C2C</vt:lpwstr>
  </property>
</Properties>
</file>