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00" w:lineRule="exact"/>
        <w:jc w:val="center"/>
        <w:rPr>
          <w:rFonts w:eastAsia="方正黑体_GBK"/>
          <w:b w:val="0"/>
          <w:bCs/>
          <w:sz w:val="40"/>
          <w:szCs w:val="44"/>
        </w:rPr>
      </w:pPr>
      <w:bookmarkStart w:id="67" w:name="_GoBack"/>
      <w:r>
        <w:rPr>
          <w:rFonts w:eastAsia="方正黑体_GBK"/>
          <w:b w:val="0"/>
          <w:bCs/>
          <w:sz w:val="40"/>
          <w:szCs w:val="44"/>
        </w:rPr>
        <w:t>重庆市潼南区及</w:t>
      </w:r>
      <w:r>
        <w:rPr>
          <w:rFonts w:hint="eastAsia" w:eastAsia="方正黑体_GBK"/>
          <w:b w:val="0"/>
          <w:bCs/>
          <w:sz w:val="40"/>
          <w:szCs w:val="44"/>
        </w:rPr>
        <w:t>桂林</w:t>
      </w:r>
      <w:r>
        <w:rPr>
          <w:rFonts w:eastAsia="方正黑体_GBK"/>
          <w:b w:val="0"/>
          <w:bCs/>
          <w:sz w:val="40"/>
          <w:szCs w:val="44"/>
        </w:rPr>
        <w:t>街道等</w:t>
      </w:r>
    </w:p>
    <w:p>
      <w:pPr>
        <w:pStyle w:val="12"/>
        <w:spacing w:line="500" w:lineRule="exact"/>
        <w:jc w:val="center"/>
        <w:rPr>
          <w:rFonts w:eastAsia="方正黑体_GBK"/>
          <w:b w:val="0"/>
          <w:bCs/>
          <w:sz w:val="40"/>
          <w:szCs w:val="44"/>
        </w:rPr>
      </w:pPr>
      <w:r>
        <w:rPr>
          <w:rFonts w:eastAsia="方正黑体_GBK"/>
          <w:b w:val="0"/>
          <w:bCs/>
          <w:sz w:val="40"/>
          <w:szCs w:val="44"/>
        </w:rPr>
        <w:t>22个镇街土地利用总体规划（2006-2020年）</w:t>
      </w:r>
    </w:p>
    <w:p>
      <w:pPr>
        <w:pStyle w:val="12"/>
        <w:spacing w:line="500" w:lineRule="exact"/>
        <w:jc w:val="center"/>
        <w:rPr>
          <w:rFonts w:eastAsia="方正黑体_GBK"/>
          <w:b w:val="0"/>
          <w:bCs/>
          <w:sz w:val="40"/>
          <w:szCs w:val="44"/>
        </w:rPr>
      </w:pPr>
      <w:r>
        <w:rPr>
          <w:rFonts w:eastAsia="方正黑体_GBK"/>
          <w:b w:val="0"/>
          <w:bCs/>
          <w:sz w:val="40"/>
          <w:szCs w:val="44"/>
        </w:rPr>
        <w:t>调整方案</w:t>
      </w:r>
    </w:p>
    <w:bookmarkEnd w:id="67"/>
    <w:p>
      <w:pPr>
        <w:pStyle w:val="2"/>
        <w:spacing w:before="0" w:beforeAutospacing="0" w:after="0" w:afterAutospacing="0"/>
        <w:rPr>
          <w:rFonts w:ascii="Times New Roman" w:hAnsi="Times New Roman" w:eastAsia="方正小标宋_GBK"/>
          <w:color w:val="FF0000"/>
          <w:sz w:val="32"/>
        </w:rPr>
      </w:pPr>
      <w:bookmarkStart w:id="0" w:name="_Toc496631448"/>
      <w:bookmarkStart w:id="1" w:name="_Toc496632891"/>
    </w:p>
    <w:p>
      <w:pPr>
        <w:pStyle w:val="2"/>
        <w:spacing w:before="0" w:beforeAutospacing="0" w:after="0" w:afterAutospacing="0"/>
        <w:rPr>
          <w:rFonts w:ascii="Times New Roman" w:hAnsi="Times New Roman"/>
          <w:sz w:val="32"/>
        </w:rPr>
      </w:pPr>
      <w:bookmarkStart w:id="2" w:name="_Toc501548519"/>
      <w:r>
        <w:rPr>
          <w:rFonts w:ascii="Times New Roman" w:hAnsi="Times New Roman"/>
          <w:sz w:val="32"/>
        </w:rPr>
        <w:t>一、总则</w:t>
      </w:r>
      <w:bookmarkEnd w:id="0"/>
      <w:bookmarkEnd w:id="1"/>
      <w:bookmarkEnd w:id="2"/>
    </w:p>
    <w:p>
      <w:pPr>
        <w:pStyle w:val="3"/>
        <w:spacing w:before="0" w:after="0" w:line="240" w:lineRule="auto"/>
        <w:rPr>
          <w:rFonts w:ascii="Times New Roman" w:hAnsi="Times New Roman" w:eastAsia="楷体" w:cs="Times New Roman"/>
          <w:b w:val="0"/>
        </w:rPr>
      </w:pPr>
      <w:bookmarkStart w:id="3" w:name="_Toc496632892"/>
      <w:bookmarkStart w:id="4" w:name="_Toc496631449"/>
      <w:bookmarkStart w:id="5" w:name="_Toc501548520"/>
      <w:r>
        <w:rPr>
          <w:rFonts w:ascii="Times New Roman" w:hAnsi="Times New Roman" w:eastAsia="楷体" w:cs="Times New Roman"/>
          <w:b w:val="0"/>
        </w:rPr>
        <w:t>（一）规划调整的必要性</w:t>
      </w:r>
      <w:bookmarkEnd w:id="3"/>
      <w:bookmarkEnd w:id="4"/>
      <w:bookmarkEnd w:id="5"/>
    </w:p>
    <w:p>
      <w:pPr>
        <w:ind w:firstLine="562" w:firstLineChars="200"/>
        <w:rPr>
          <w:rFonts w:ascii="Times New Roman" w:hAnsi="Times New Roman" w:eastAsia="方正仿宋_GBK"/>
          <w:b/>
          <w:sz w:val="28"/>
          <w:szCs w:val="28"/>
        </w:rPr>
      </w:pPr>
      <w:r>
        <w:rPr>
          <w:rFonts w:ascii="Times New Roman" w:hAnsi="Times New Roman" w:eastAsia="方正仿宋_GBK"/>
          <w:b/>
          <w:sz w:val="28"/>
          <w:szCs w:val="28"/>
        </w:rPr>
        <w:t>1、国土管理新形势对现行规划提出新的要求</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现行规划实施以来，在耕地保护、建设用地布局引导和规模管控、重点项目用地保障等方面发挥了显著的成效。同时，为深入贯彻“五位一体”总体布局和“四个全面”战略布局，国家对土地利用管理工作提出新的要求。十九大报告明确指出，要坚定不移实施乡村振兴、区域协调发展、可持续发展等战略，构建国土空间开发保护制度。目前，潼南区积极融入长江经济带战略发展，区委区政府提出四个“做大做强”</w:t>
      </w:r>
      <w:r>
        <w:rPr>
          <w:rStyle w:val="22"/>
          <w:rFonts w:ascii="Times New Roman" w:hAnsi="Times New Roman" w:eastAsia="方正仿宋_GBK"/>
          <w:sz w:val="28"/>
          <w:szCs w:val="28"/>
        </w:rPr>
        <w:footnoteReference w:id="0"/>
      </w:r>
      <w:r>
        <w:rPr>
          <w:rFonts w:ascii="Times New Roman" w:hAnsi="Times New Roman" w:eastAsia="方正仿宋_GBK"/>
          <w:sz w:val="28"/>
          <w:szCs w:val="28"/>
        </w:rPr>
        <w:t>发展目标，全区需进一步落实更严格的耕地保护制度，落实永久基本农田、生态保护红线和城镇开发边界，优化全区土地利用空间布局以适应新形势下的新要求。</w:t>
      </w:r>
    </w:p>
    <w:p>
      <w:pPr>
        <w:ind w:firstLine="562" w:firstLineChars="200"/>
        <w:rPr>
          <w:rFonts w:ascii="Times New Roman" w:hAnsi="Times New Roman" w:eastAsia="方正仿宋_GBK"/>
          <w:b/>
          <w:sz w:val="28"/>
          <w:szCs w:val="28"/>
        </w:rPr>
      </w:pPr>
      <w:r>
        <w:rPr>
          <w:rFonts w:ascii="Times New Roman" w:hAnsi="Times New Roman" w:eastAsia="方正仿宋_GBK"/>
          <w:b/>
          <w:sz w:val="28"/>
          <w:szCs w:val="28"/>
        </w:rPr>
        <w:t>2、现行规划实施过程存在的问题</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（1）城镇用地空间布局亟需优化</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土地利用总体规划与城乡规划衔接不够，亟需协调两规。按照“多规合一”的规划思路，“中评深化”中将潼南区城市规划相关成果和现行土地利用总体规划（以下简称“两规”）叠加分析后发现，“两规”在城镇建设用地布局、城市扩展边界形态上存在差异。</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（2）农村居民点规划不能满足农村产业发展和基础设施建设的需要</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新形势下农村产业、乡村旅游及配套基础设施的建设发展需求超出规划预期，目前，全区共127个村编制了村规划，对村土地利用规划做了细化和安排，全区村土地利用格局、特别是村建设用地发生了一定变化，现行规划布局的农村居民点用地需要适应需求进行细化和调整。</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（3）建设用地管制区布局需要优化</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一是现行规划有条件建设区布局与城市建设方向及土地管理新要求存在矛盾。因城市拓展方向发生改变、永久性基本农田的划定等因素，现行规划布局的有条件建设区已不能满足规划后期城市发展需求。</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二是禁止建设区的布局须与生态保护红线等衔接。目前，潼南区环保部门正在开展生态保护红线划定工作。因此，土地利用总体规划布局的禁止建设区应与环保部门划定的生态保护红线相衔接，避免出现规划不协调的情况。</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综上，为提高发展质量、优化空间布局，实现资源的合理配置和有效利用，亟需开展潼南区及</w:t>
      </w:r>
      <w:r>
        <w:rPr>
          <w:rFonts w:hint="eastAsia" w:ascii="Times New Roman" w:hAnsi="Times New Roman" w:eastAsia="方正仿宋_GBK"/>
          <w:sz w:val="28"/>
          <w:szCs w:val="28"/>
        </w:rPr>
        <w:t>桂林</w:t>
      </w:r>
      <w:r>
        <w:rPr>
          <w:rFonts w:ascii="Times New Roman" w:hAnsi="Times New Roman" w:eastAsia="方正仿宋_GBK"/>
          <w:sz w:val="28"/>
          <w:szCs w:val="28"/>
        </w:rPr>
        <w:t>街道等22个镇街土地利用总体规划（2006-2020年）调整工作。</w:t>
      </w:r>
    </w:p>
    <w:p>
      <w:pPr>
        <w:pStyle w:val="3"/>
        <w:spacing w:before="0" w:after="0" w:line="240" w:lineRule="auto"/>
        <w:rPr>
          <w:rFonts w:ascii="Times New Roman" w:hAnsi="Times New Roman" w:eastAsia="楷体" w:cs="Times New Roman"/>
          <w:b w:val="0"/>
        </w:rPr>
      </w:pPr>
      <w:bookmarkStart w:id="6" w:name="_Toc501548521"/>
      <w:bookmarkStart w:id="7" w:name="_Toc496632893"/>
      <w:bookmarkStart w:id="8" w:name="_Toc496631450"/>
      <w:r>
        <w:rPr>
          <w:rFonts w:ascii="Times New Roman" w:hAnsi="Times New Roman" w:eastAsia="楷体" w:cs="Times New Roman"/>
          <w:b w:val="0"/>
        </w:rPr>
        <w:t>（二）规划调整的原则</w:t>
      </w:r>
      <w:bookmarkEnd w:id="6"/>
      <w:bookmarkEnd w:id="7"/>
      <w:bookmarkEnd w:id="8"/>
    </w:p>
    <w:p>
      <w:pPr>
        <w:ind w:firstLine="555"/>
        <w:rPr>
          <w:rFonts w:ascii="Times New Roman" w:hAnsi="Times New Roman" w:eastAsia="方正仿宋_GBK"/>
          <w:b/>
          <w:sz w:val="28"/>
          <w:szCs w:val="28"/>
        </w:rPr>
      </w:pPr>
      <w:r>
        <w:rPr>
          <w:rFonts w:ascii="Times New Roman" w:hAnsi="Times New Roman" w:eastAsia="方正仿宋_GBK"/>
          <w:b/>
          <w:sz w:val="28"/>
          <w:szCs w:val="28"/>
        </w:rPr>
        <w:t>1、坚持实事求是，因地制宜。</w:t>
      </w:r>
    </w:p>
    <w:p>
      <w:pPr>
        <w:ind w:firstLine="555"/>
        <w:rPr>
          <w:rFonts w:ascii="Times New Roman" w:hAnsi="Times New Roman" w:eastAsia="方正仿宋_GBK"/>
          <w:sz w:val="28"/>
          <w:szCs w:val="28"/>
        </w:rPr>
      </w:pPr>
      <w:r>
        <w:rPr>
          <w:rFonts w:ascii="Times New Roman" w:hAnsi="Times New Roman" w:eastAsia="方正仿宋_GBK"/>
          <w:sz w:val="28"/>
          <w:szCs w:val="28"/>
        </w:rPr>
        <w:t>以土地资源的现实条件为基础，根据全区的现实情况和实际需求，因地制宜地调整土地利用总体规划，优化土地利用结构和空间布局。</w:t>
      </w:r>
    </w:p>
    <w:p>
      <w:pPr>
        <w:ind w:firstLine="555"/>
        <w:rPr>
          <w:rFonts w:ascii="Times New Roman" w:hAnsi="Times New Roman" w:eastAsia="方正仿宋_GBK"/>
          <w:b/>
          <w:sz w:val="28"/>
          <w:szCs w:val="28"/>
        </w:rPr>
      </w:pPr>
      <w:r>
        <w:rPr>
          <w:rFonts w:ascii="Times New Roman" w:hAnsi="Times New Roman" w:eastAsia="方正仿宋_GBK"/>
          <w:b/>
          <w:sz w:val="28"/>
          <w:szCs w:val="28"/>
        </w:rPr>
        <w:t>2、坚持保护优先，节约集约。</w:t>
      </w:r>
    </w:p>
    <w:p>
      <w:pPr>
        <w:ind w:firstLine="555"/>
        <w:rPr>
          <w:rFonts w:ascii="Times New Roman" w:hAnsi="Times New Roman" w:eastAsia="方正仿宋_GBK"/>
          <w:sz w:val="28"/>
          <w:szCs w:val="28"/>
        </w:rPr>
      </w:pPr>
      <w:r>
        <w:rPr>
          <w:rFonts w:ascii="Times New Roman" w:hAnsi="Times New Roman" w:eastAsia="方正仿宋_GBK"/>
          <w:sz w:val="28"/>
          <w:szCs w:val="28"/>
        </w:rPr>
        <w:t>坚持耕地和基本农田数量、质量保护并重，确保实有耕地面积基本稳定、质量逐步提高。严格贯彻“严控总量、盘活存量、用好增量、集约高效”的要求，充分利用闲置土地，挖掘低效用地，高效盘活存量土地，实现土地的集约高效利用，促进土地利用方式和经济增长方式的转变。</w:t>
      </w:r>
    </w:p>
    <w:p>
      <w:pPr>
        <w:ind w:firstLine="555"/>
        <w:rPr>
          <w:rFonts w:ascii="Times New Roman" w:hAnsi="Times New Roman" w:eastAsia="方正仿宋_GBK"/>
          <w:b/>
          <w:sz w:val="28"/>
          <w:szCs w:val="28"/>
        </w:rPr>
      </w:pPr>
      <w:r>
        <w:rPr>
          <w:rFonts w:ascii="Times New Roman" w:hAnsi="Times New Roman" w:eastAsia="方正仿宋_GBK"/>
          <w:b/>
          <w:sz w:val="28"/>
          <w:szCs w:val="28"/>
        </w:rPr>
        <w:t>3、坚持统筹兼顾，突出重点。</w:t>
      </w:r>
    </w:p>
    <w:p>
      <w:pPr>
        <w:ind w:firstLine="555"/>
        <w:rPr>
          <w:rFonts w:ascii="Times New Roman" w:hAnsi="Times New Roman" w:eastAsia="方正仿宋_GBK"/>
          <w:sz w:val="28"/>
          <w:szCs w:val="28"/>
        </w:rPr>
      </w:pPr>
      <w:r>
        <w:rPr>
          <w:rFonts w:ascii="Times New Roman" w:hAnsi="Times New Roman" w:eastAsia="方正仿宋_GBK"/>
          <w:sz w:val="28"/>
          <w:szCs w:val="28"/>
        </w:rPr>
        <w:t>按照全区发展定位及城乡统筹发展的要求，突出发展重点，明确主要矛盾，实行差别化的土地利用格局，科学合理安排各业、各类和各区域用地，优化土地利用结构和布局。</w:t>
      </w:r>
    </w:p>
    <w:p>
      <w:pPr>
        <w:ind w:firstLine="555"/>
        <w:rPr>
          <w:rFonts w:ascii="Times New Roman" w:hAnsi="Times New Roman" w:eastAsia="方正仿宋_GBK"/>
          <w:b/>
          <w:sz w:val="28"/>
          <w:szCs w:val="28"/>
        </w:rPr>
      </w:pPr>
      <w:r>
        <w:rPr>
          <w:rFonts w:ascii="Times New Roman" w:hAnsi="Times New Roman" w:eastAsia="方正仿宋_GBK"/>
          <w:b/>
          <w:sz w:val="28"/>
          <w:szCs w:val="28"/>
        </w:rPr>
        <w:t>4、坚持部门联动、多规衔接。</w:t>
      </w:r>
    </w:p>
    <w:p>
      <w:pPr>
        <w:ind w:firstLine="555"/>
        <w:rPr>
          <w:rFonts w:ascii="Times New Roman" w:hAnsi="Times New Roman" w:eastAsia="方正仿宋_GBK"/>
          <w:sz w:val="28"/>
          <w:szCs w:val="28"/>
        </w:rPr>
      </w:pPr>
      <w:r>
        <w:rPr>
          <w:rFonts w:ascii="Times New Roman" w:hAnsi="Times New Roman" w:eastAsia="方正仿宋_GBK"/>
          <w:sz w:val="28"/>
          <w:szCs w:val="28"/>
        </w:rPr>
        <w:t>加强与相关部门的联系与沟通，做好土地规划与潼南区国民经济和社会发展规划、城乡规划、环境保护规划的协调衔接，确保“十三五”规划发展用地需求，深入推进规划调整完善工作。</w:t>
      </w:r>
    </w:p>
    <w:p>
      <w:pPr>
        <w:ind w:firstLine="555"/>
        <w:rPr>
          <w:rFonts w:ascii="Times New Roman" w:hAnsi="Times New Roman" w:eastAsia="方正仿宋_GBK"/>
          <w:b/>
          <w:sz w:val="28"/>
          <w:szCs w:val="28"/>
        </w:rPr>
      </w:pPr>
      <w:r>
        <w:rPr>
          <w:rFonts w:ascii="Times New Roman" w:hAnsi="Times New Roman" w:eastAsia="方正仿宋_GBK"/>
          <w:b/>
          <w:sz w:val="28"/>
          <w:szCs w:val="28"/>
        </w:rPr>
        <w:t>5、坚持公众参与，尊重民意。</w:t>
      </w:r>
    </w:p>
    <w:p>
      <w:pPr>
        <w:ind w:firstLine="555"/>
        <w:rPr>
          <w:rFonts w:ascii="Times New Roman" w:hAnsi="Times New Roman" w:eastAsia="方正仿宋_GBK"/>
          <w:sz w:val="28"/>
          <w:szCs w:val="28"/>
        </w:rPr>
      </w:pPr>
      <w:r>
        <w:rPr>
          <w:rFonts w:ascii="Times New Roman" w:hAnsi="Times New Roman" w:eastAsia="方正仿宋_GBK"/>
          <w:sz w:val="28"/>
          <w:szCs w:val="28"/>
        </w:rPr>
        <w:t>尊重群众诉求，突出公众在调整完善土地利用总体规划中的主体地位，最大限度发挥公众积极性，保障公众的知情权和参与权。广泛征求公众意见，严格执行听证制度，充分体现公众对规划调整完善的需求与监督，促进依法规划、民主规划、科学规划。</w:t>
      </w:r>
    </w:p>
    <w:p>
      <w:pPr>
        <w:pStyle w:val="3"/>
        <w:spacing w:before="0" w:after="0" w:line="240" w:lineRule="auto"/>
        <w:rPr>
          <w:rFonts w:ascii="Times New Roman" w:hAnsi="Times New Roman" w:eastAsia="楷体" w:cs="Times New Roman"/>
          <w:b w:val="0"/>
        </w:rPr>
      </w:pPr>
      <w:bookmarkStart w:id="9" w:name="_Toc496631452"/>
      <w:bookmarkStart w:id="10" w:name="_Toc496632895"/>
      <w:bookmarkStart w:id="11" w:name="_Toc501548523"/>
      <w:r>
        <w:rPr>
          <w:rFonts w:ascii="Times New Roman" w:hAnsi="Times New Roman" w:eastAsia="楷体" w:cs="Times New Roman"/>
          <w:b w:val="0"/>
        </w:rPr>
        <w:t>（四）规划调整的范围和期限</w:t>
      </w:r>
      <w:bookmarkEnd w:id="9"/>
      <w:bookmarkEnd w:id="10"/>
      <w:bookmarkEnd w:id="11"/>
    </w:p>
    <w:p>
      <w:pPr>
        <w:ind w:firstLine="555"/>
        <w:rPr>
          <w:rFonts w:ascii="Times New Roman" w:hAnsi="Times New Roman" w:eastAsia="方正仿宋_GBK"/>
          <w:b/>
          <w:sz w:val="28"/>
          <w:szCs w:val="28"/>
        </w:rPr>
      </w:pPr>
      <w:r>
        <w:rPr>
          <w:rFonts w:ascii="Times New Roman" w:hAnsi="Times New Roman" w:eastAsia="方正仿宋_GBK"/>
          <w:b/>
          <w:sz w:val="28"/>
          <w:szCs w:val="28"/>
        </w:rPr>
        <w:t>1、规划调整范围</w:t>
      </w:r>
    </w:p>
    <w:p>
      <w:pPr>
        <w:ind w:firstLine="560" w:firstLineChars="200"/>
        <w:rPr>
          <w:rFonts w:ascii="Times New Roman" w:hAnsi="Times New Roman" w:eastAsia="仿宋"/>
          <w:sz w:val="28"/>
          <w:szCs w:val="28"/>
        </w:rPr>
      </w:pPr>
      <w:r>
        <w:rPr>
          <w:rFonts w:ascii="Times New Roman" w:hAnsi="Times New Roman" w:eastAsia="仿宋"/>
          <w:sz w:val="28"/>
          <w:szCs w:val="28"/>
        </w:rPr>
        <w:t>规划调整范围为潼南区行政区范围内全部土地，总规模158433.33公顷，包括中心城区2个街道（梓潼街道、桂林街道）、4个重点镇（田家镇、太安镇、双江镇、崇龛镇）和其他乡镇16个（花岩镇、柏梓镇、塘坝镇、小渡镇、新胜镇、卧佛镇、五桂镇、上和镇、龙形镇、群力镇、古溪镇、宝龙镇、玉溪镇、米心镇、别口镇、寿桥镇）</w:t>
      </w:r>
    </w:p>
    <w:p>
      <w:pPr>
        <w:ind w:firstLine="555"/>
        <w:rPr>
          <w:rFonts w:ascii="Times New Roman" w:hAnsi="Times New Roman" w:eastAsia="方正仿宋_GBK"/>
          <w:b/>
          <w:sz w:val="28"/>
          <w:szCs w:val="28"/>
        </w:rPr>
      </w:pPr>
      <w:r>
        <w:rPr>
          <w:rFonts w:ascii="Times New Roman" w:hAnsi="Times New Roman" w:eastAsia="方正仿宋_GBK"/>
          <w:b/>
          <w:sz w:val="28"/>
          <w:szCs w:val="28"/>
        </w:rPr>
        <w:t>2、规划期限</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规划期限为2006-2020年，其中规划基期年为2005年，规划调整完善基期年为2014年，规划目标年为2020年。</w:t>
      </w:r>
    </w:p>
    <w:p>
      <w:pPr>
        <w:pStyle w:val="2"/>
        <w:spacing w:before="0" w:beforeAutospacing="0" w:after="0" w:afterAutospacing="0"/>
        <w:rPr>
          <w:rFonts w:ascii="Times New Roman" w:hAnsi="Times New Roman"/>
          <w:sz w:val="32"/>
        </w:rPr>
      </w:pPr>
      <w:bookmarkStart w:id="12" w:name="_Toc496631454"/>
      <w:bookmarkStart w:id="13" w:name="_Toc496632897"/>
      <w:bookmarkStart w:id="14" w:name="_Toc501548525"/>
      <w:r>
        <w:rPr>
          <w:rFonts w:hint="eastAsia" w:ascii="Times New Roman" w:hAnsi="Times New Roman"/>
          <w:sz w:val="32"/>
          <w:lang w:val="en-US" w:eastAsia="zh-CN"/>
        </w:rPr>
        <w:t>二</w:t>
      </w:r>
      <w:r>
        <w:rPr>
          <w:rFonts w:ascii="Times New Roman" w:hAnsi="Times New Roman"/>
          <w:sz w:val="32"/>
        </w:rPr>
        <w:t>、规划目标调整</w:t>
      </w:r>
      <w:bookmarkEnd w:id="12"/>
      <w:bookmarkEnd w:id="13"/>
      <w:bookmarkEnd w:id="14"/>
    </w:p>
    <w:p>
      <w:pPr>
        <w:ind w:firstLine="560" w:firstLineChars="200"/>
        <w:rPr>
          <w:rFonts w:ascii="Times New Roman" w:hAnsi="Times New Roman" w:eastAsia="方正仿宋_GBK"/>
          <w:color w:val="FF0000"/>
          <w:sz w:val="28"/>
          <w:szCs w:val="28"/>
        </w:rPr>
      </w:pPr>
      <w:r>
        <w:rPr>
          <w:rFonts w:ascii="Times New Roman" w:hAnsi="Times New Roman" w:eastAsia="方正仿宋_GBK"/>
          <w:sz w:val="28"/>
          <w:szCs w:val="28"/>
        </w:rPr>
        <w:t>本次规划调整严格落实上级规划下达各项目标，调整后，各类规划目标及落实情况如下：</w:t>
      </w:r>
    </w:p>
    <w:p>
      <w:pPr>
        <w:pStyle w:val="3"/>
        <w:spacing w:before="0" w:after="0" w:line="240" w:lineRule="auto"/>
        <w:rPr>
          <w:rFonts w:ascii="Times New Roman" w:hAnsi="Times New Roman" w:eastAsia="楷体" w:cs="Times New Roman"/>
          <w:b w:val="0"/>
        </w:rPr>
      </w:pPr>
      <w:bookmarkStart w:id="15" w:name="_Toc501548526"/>
      <w:r>
        <w:rPr>
          <w:rFonts w:ascii="Times New Roman" w:hAnsi="Times New Roman" w:eastAsia="楷体" w:cs="Times New Roman"/>
          <w:b w:val="0"/>
        </w:rPr>
        <w:t>（一）总量指标</w:t>
      </w:r>
      <w:bookmarkEnd w:id="15"/>
    </w:p>
    <w:p>
      <w:pPr>
        <w:ind w:firstLine="555"/>
        <w:rPr>
          <w:rFonts w:ascii="Times New Roman" w:hAnsi="Times New Roman" w:eastAsia="方正仿宋_GBK"/>
          <w:b/>
          <w:sz w:val="28"/>
          <w:szCs w:val="28"/>
        </w:rPr>
      </w:pPr>
      <w:r>
        <w:rPr>
          <w:rFonts w:ascii="Times New Roman" w:hAnsi="Times New Roman" w:eastAsia="方正仿宋_GBK"/>
          <w:b/>
          <w:sz w:val="28"/>
          <w:szCs w:val="28"/>
        </w:rPr>
        <w:t>1、耕地保有量</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耕地保有量从原规划目标78900公顷调减至72733公顷，调减6167公顷。落实各项调整后，数据库落实规模为</w:t>
      </w:r>
      <w:r>
        <w:rPr>
          <w:rFonts w:hint="eastAsia" w:ascii="Times New Roman" w:hAnsi="Times New Roman" w:eastAsia="方正仿宋_GBK"/>
          <w:sz w:val="28"/>
          <w:szCs w:val="28"/>
        </w:rPr>
        <w:t>94758.69</w:t>
      </w:r>
      <w:r>
        <w:rPr>
          <w:rFonts w:ascii="Times New Roman" w:hAnsi="Times New Roman" w:eastAsia="方正仿宋_GBK"/>
          <w:sz w:val="28"/>
          <w:szCs w:val="28"/>
        </w:rPr>
        <w:t>公顷，多保耕地</w:t>
      </w:r>
      <w:r>
        <w:rPr>
          <w:rFonts w:hint="eastAsia" w:ascii="Times New Roman" w:hAnsi="Times New Roman" w:eastAsia="方正仿宋_GBK"/>
          <w:sz w:val="28"/>
          <w:szCs w:val="28"/>
        </w:rPr>
        <w:t>22025.69</w:t>
      </w:r>
      <w:r>
        <w:rPr>
          <w:rFonts w:ascii="Times New Roman" w:hAnsi="Times New Roman" w:eastAsia="方正仿宋_GBK"/>
          <w:sz w:val="28"/>
          <w:szCs w:val="28"/>
        </w:rPr>
        <w:t>公顷，未突破耕地保有量目标。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2、基本农田面积</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基本农田从原规划目标67333.33公顷调减至62000公顷，调减5333.33公顷。落实后，数据库汇总基本农田规模为62002.77公顷，未突破基本农田目标。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3、园地面积</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园地面积从原规划目标5730公顷调减至2800公顷，调减2930公顷。落实后，数据库汇总园地面积</w:t>
      </w:r>
      <w:r>
        <w:rPr>
          <w:rFonts w:hint="eastAsia" w:ascii="Times New Roman" w:hAnsi="Times New Roman" w:eastAsia="方正仿宋_GBK"/>
          <w:sz w:val="28"/>
          <w:szCs w:val="28"/>
        </w:rPr>
        <w:t>2912.73</w:t>
      </w:r>
      <w:r>
        <w:rPr>
          <w:rFonts w:ascii="Times New Roman" w:hAnsi="Times New Roman" w:eastAsia="方正仿宋_GBK"/>
          <w:sz w:val="28"/>
          <w:szCs w:val="28"/>
        </w:rPr>
        <w:t>公顷，未突破园地面积目标。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4、林地面积</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林地面积从原规划目标12430公顷调增至15000公顷，调增2570公顷。落实后，数据库汇总林地面积</w:t>
      </w:r>
      <w:r>
        <w:rPr>
          <w:rFonts w:hint="eastAsia" w:ascii="Times New Roman" w:hAnsi="Times New Roman" w:eastAsia="方正仿宋_GBK"/>
          <w:sz w:val="28"/>
          <w:szCs w:val="28"/>
        </w:rPr>
        <w:t>17996.75</w:t>
      </w:r>
      <w:r>
        <w:rPr>
          <w:rFonts w:ascii="Times New Roman" w:hAnsi="Times New Roman" w:eastAsia="方正仿宋_GBK"/>
          <w:sz w:val="28"/>
          <w:szCs w:val="28"/>
        </w:rPr>
        <w:t>公顷，未突破林地面积目标。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5、牧草地面积</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牧草地面积从原规划70公顷调减至0公顷，调减70公顷。落实后，数据库汇总牧草地面积0公顷。</w:t>
      </w:r>
    </w:p>
    <w:p>
      <w:pPr>
        <w:ind w:firstLine="555"/>
        <w:rPr>
          <w:rFonts w:ascii="Times New Roman" w:hAnsi="Times New Roman" w:eastAsia="方正仿宋_GBK"/>
          <w:b/>
          <w:sz w:val="28"/>
          <w:szCs w:val="28"/>
        </w:rPr>
      </w:pPr>
      <w:r>
        <w:rPr>
          <w:rFonts w:ascii="Times New Roman" w:hAnsi="Times New Roman" w:eastAsia="方正仿宋_GBK"/>
          <w:b/>
          <w:sz w:val="28"/>
          <w:szCs w:val="28"/>
        </w:rPr>
        <w:t>6、建设用地总量</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建设用地总量从原规划目标17666.56调增至</w:t>
      </w:r>
      <w:r>
        <w:rPr>
          <w:rFonts w:hint="eastAsia" w:ascii="Times New Roman" w:hAnsi="Times New Roman" w:eastAsia="方正仿宋_GBK"/>
          <w:sz w:val="28"/>
          <w:szCs w:val="28"/>
        </w:rPr>
        <w:t>17825</w:t>
      </w:r>
      <w:r>
        <w:rPr>
          <w:rFonts w:ascii="Times New Roman" w:hAnsi="Times New Roman" w:eastAsia="方正仿宋_GBK"/>
          <w:sz w:val="28"/>
          <w:szCs w:val="28"/>
        </w:rPr>
        <w:t>公顷，调增</w:t>
      </w:r>
      <w:r>
        <w:rPr>
          <w:rFonts w:hint="eastAsia" w:ascii="Times New Roman" w:hAnsi="Times New Roman" w:eastAsia="方正仿宋_GBK"/>
          <w:sz w:val="28"/>
          <w:szCs w:val="28"/>
        </w:rPr>
        <w:t>158.44</w:t>
      </w:r>
      <w:r>
        <w:rPr>
          <w:rFonts w:ascii="Times New Roman" w:hAnsi="Times New Roman" w:eastAsia="方正仿宋_GBK"/>
          <w:sz w:val="28"/>
          <w:szCs w:val="28"/>
        </w:rPr>
        <w:t>公顷。落实各项调整后，数据库汇总规模为</w:t>
      </w:r>
      <w:r>
        <w:rPr>
          <w:rFonts w:hint="eastAsia" w:ascii="Times New Roman" w:hAnsi="Times New Roman" w:eastAsia="方正仿宋_GBK"/>
          <w:sz w:val="28"/>
          <w:szCs w:val="28"/>
        </w:rPr>
        <w:t>17676.67</w:t>
      </w:r>
      <w:r>
        <w:rPr>
          <w:rFonts w:ascii="Times New Roman" w:hAnsi="Times New Roman" w:eastAsia="方正仿宋_GBK"/>
          <w:sz w:val="28"/>
          <w:szCs w:val="28"/>
        </w:rPr>
        <w:t>公顷，预留机动指标</w:t>
      </w:r>
      <w:r>
        <w:rPr>
          <w:rFonts w:hint="eastAsia" w:ascii="Times New Roman" w:hAnsi="Times New Roman" w:eastAsia="方正仿宋_GBK"/>
          <w:sz w:val="28"/>
          <w:szCs w:val="28"/>
        </w:rPr>
        <w:t>148.33</w:t>
      </w:r>
      <w:r>
        <w:rPr>
          <w:rFonts w:ascii="Times New Roman" w:hAnsi="Times New Roman" w:eastAsia="方正仿宋_GBK"/>
          <w:sz w:val="28"/>
          <w:szCs w:val="28"/>
        </w:rPr>
        <w:t>公顷。</w:t>
      </w:r>
    </w:p>
    <w:p>
      <w:pPr>
        <w:ind w:firstLine="555"/>
        <w:rPr>
          <w:rFonts w:ascii="Times New Roman" w:hAnsi="Times New Roman" w:eastAsia="方正仿宋_GBK"/>
          <w:b/>
          <w:sz w:val="28"/>
          <w:szCs w:val="28"/>
        </w:rPr>
      </w:pPr>
      <w:r>
        <w:rPr>
          <w:rFonts w:ascii="Times New Roman" w:hAnsi="Times New Roman" w:eastAsia="方正仿宋_GBK"/>
          <w:b/>
          <w:sz w:val="28"/>
          <w:szCs w:val="28"/>
        </w:rPr>
        <w:t>7、城乡建设用地规模</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城乡建设用地规模从原规划目标14735.94调增至15036公顷，调增300.06公顷。落实各项调整后，数据库汇总规模为</w:t>
      </w:r>
      <w:r>
        <w:rPr>
          <w:rFonts w:hint="eastAsia" w:ascii="Times New Roman" w:hAnsi="Times New Roman" w:eastAsia="方正仿宋_GBK"/>
          <w:sz w:val="28"/>
          <w:szCs w:val="28"/>
        </w:rPr>
        <w:t>14915.45</w:t>
      </w:r>
      <w:r>
        <w:rPr>
          <w:rFonts w:ascii="Times New Roman" w:hAnsi="Times New Roman" w:eastAsia="方正仿宋_GBK"/>
          <w:sz w:val="28"/>
          <w:szCs w:val="28"/>
        </w:rPr>
        <w:t>公顷，预留机动指标</w:t>
      </w:r>
      <w:r>
        <w:rPr>
          <w:rFonts w:hint="eastAsia" w:ascii="Times New Roman" w:hAnsi="Times New Roman" w:eastAsia="方正仿宋_GBK"/>
          <w:sz w:val="28"/>
          <w:szCs w:val="28"/>
        </w:rPr>
        <w:t>120.55</w:t>
      </w:r>
      <w:r>
        <w:rPr>
          <w:rFonts w:ascii="Times New Roman" w:hAnsi="Times New Roman" w:eastAsia="方正仿宋_GBK"/>
          <w:sz w:val="28"/>
          <w:szCs w:val="28"/>
        </w:rPr>
        <w:t>公顷，未突破城乡建设用地目标。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8、城镇工矿用地规模</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城镇工矿用地规模从原规划目标3165.94调增至3466公顷，调增300.06公顷。落实各项调整后，数据库汇总规模为</w:t>
      </w:r>
      <w:r>
        <w:rPr>
          <w:rFonts w:hint="eastAsia" w:ascii="Times New Roman" w:hAnsi="Times New Roman" w:eastAsia="方正仿宋_GBK"/>
          <w:sz w:val="28"/>
          <w:szCs w:val="28"/>
        </w:rPr>
        <w:t>3386.89</w:t>
      </w:r>
      <w:r>
        <w:rPr>
          <w:rFonts w:ascii="Times New Roman" w:hAnsi="Times New Roman" w:eastAsia="方正仿宋_GBK"/>
          <w:sz w:val="28"/>
          <w:szCs w:val="28"/>
        </w:rPr>
        <w:t>公顷，预留机动指标</w:t>
      </w:r>
      <w:r>
        <w:rPr>
          <w:rFonts w:hint="eastAsia" w:ascii="Times New Roman" w:hAnsi="Times New Roman" w:eastAsia="方正仿宋_GBK"/>
          <w:sz w:val="28"/>
          <w:szCs w:val="28"/>
        </w:rPr>
        <w:t>79.11</w:t>
      </w:r>
      <w:r>
        <w:rPr>
          <w:rFonts w:ascii="Times New Roman" w:hAnsi="Times New Roman" w:eastAsia="方正仿宋_GBK"/>
          <w:sz w:val="28"/>
          <w:szCs w:val="28"/>
        </w:rPr>
        <w:t>公顷，未突破城镇工矿用地目标。</w:t>
      </w:r>
    </w:p>
    <w:p>
      <w:pPr>
        <w:ind w:firstLine="555"/>
        <w:rPr>
          <w:rFonts w:ascii="Times New Roman" w:hAnsi="Times New Roman" w:eastAsia="方正仿宋_GBK"/>
          <w:b/>
          <w:sz w:val="28"/>
          <w:szCs w:val="28"/>
        </w:rPr>
      </w:pPr>
      <w:r>
        <w:rPr>
          <w:rFonts w:ascii="Times New Roman" w:hAnsi="Times New Roman" w:eastAsia="方正仿宋_GBK"/>
          <w:b/>
          <w:sz w:val="28"/>
          <w:szCs w:val="28"/>
        </w:rPr>
        <w:t>9、交通水利及其他建设用地规模</w:t>
      </w:r>
    </w:p>
    <w:p>
      <w:pPr>
        <w:ind w:firstLine="560" w:firstLineChars="200"/>
        <w:rPr>
          <w:rFonts w:ascii="Times New Roman" w:hAnsi="Times New Roman" w:eastAsia="方正仿宋_GBK"/>
          <w:color w:val="FF0000"/>
          <w:sz w:val="28"/>
          <w:szCs w:val="28"/>
        </w:rPr>
      </w:pPr>
      <w:r>
        <w:rPr>
          <w:rFonts w:ascii="Times New Roman" w:hAnsi="Times New Roman" w:eastAsia="方正仿宋_GBK"/>
          <w:sz w:val="28"/>
          <w:szCs w:val="28"/>
        </w:rPr>
        <w:t>交通水利及其他建设用地规模从原规划目标2930.62调</w:t>
      </w:r>
      <w:r>
        <w:rPr>
          <w:rFonts w:hint="eastAsia" w:ascii="Times New Roman" w:hAnsi="Times New Roman" w:eastAsia="方正仿宋_GBK"/>
          <w:sz w:val="28"/>
          <w:szCs w:val="28"/>
        </w:rPr>
        <w:t>减</w:t>
      </w:r>
      <w:r>
        <w:rPr>
          <w:rFonts w:ascii="Times New Roman" w:hAnsi="Times New Roman" w:eastAsia="方正仿宋_GBK"/>
          <w:sz w:val="28"/>
          <w:szCs w:val="28"/>
        </w:rPr>
        <w:t>至</w:t>
      </w:r>
      <w:r>
        <w:rPr>
          <w:rFonts w:hint="eastAsia" w:ascii="Times New Roman" w:hAnsi="Times New Roman" w:eastAsia="方正仿宋_GBK"/>
          <w:sz w:val="28"/>
          <w:szCs w:val="28"/>
        </w:rPr>
        <w:t>2789</w:t>
      </w:r>
      <w:r>
        <w:rPr>
          <w:rFonts w:ascii="Times New Roman" w:hAnsi="Times New Roman" w:eastAsia="方正仿宋_GBK"/>
          <w:sz w:val="28"/>
          <w:szCs w:val="28"/>
        </w:rPr>
        <w:t>公顷，调</w:t>
      </w:r>
      <w:r>
        <w:rPr>
          <w:rFonts w:hint="eastAsia" w:ascii="Times New Roman" w:hAnsi="Times New Roman" w:eastAsia="方正仿宋_GBK"/>
          <w:sz w:val="28"/>
          <w:szCs w:val="28"/>
        </w:rPr>
        <w:t>减141.62</w:t>
      </w:r>
      <w:r>
        <w:rPr>
          <w:rFonts w:ascii="Times New Roman" w:hAnsi="Times New Roman" w:eastAsia="方正仿宋_GBK"/>
          <w:sz w:val="28"/>
          <w:szCs w:val="28"/>
        </w:rPr>
        <w:t>公顷。落实各项调整后，数据库汇总规模为</w:t>
      </w:r>
      <w:r>
        <w:rPr>
          <w:rFonts w:hint="eastAsia" w:ascii="Times New Roman" w:hAnsi="Times New Roman" w:eastAsia="方正仿宋_GBK"/>
          <w:sz w:val="28"/>
          <w:szCs w:val="28"/>
        </w:rPr>
        <w:t>2761.22</w:t>
      </w:r>
      <w:r>
        <w:rPr>
          <w:rFonts w:ascii="Times New Roman" w:hAnsi="Times New Roman" w:eastAsia="方正仿宋_GBK"/>
          <w:sz w:val="28"/>
          <w:szCs w:val="28"/>
        </w:rPr>
        <w:t>公顷，预留交通水利及其他建设用地机动指标</w:t>
      </w:r>
      <w:r>
        <w:rPr>
          <w:rFonts w:hint="eastAsia" w:ascii="Times New Roman" w:hAnsi="Times New Roman" w:eastAsia="方正仿宋_GBK"/>
          <w:sz w:val="28"/>
          <w:szCs w:val="28"/>
        </w:rPr>
        <w:t>27.78</w:t>
      </w:r>
      <w:r>
        <w:rPr>
          <w:rFonts w:ascii="Times New Roman" w:hAnsi="Times New Roman" w:eastAsia="方正仿宋_GBK"/>
          <w:sz w:val="28"/>
          <w:szCs w:val="28"/>
        </w:rPr>
        <w:t>公顷。</w:t>
      </w:r>
    </w:p>
    <w:p>
      <w:pPr>
        <w:pStyle w:val="3"/>
        <w:spacing w:before="0" w:after="0" w:line="240" w:lineRule="auto"/>
        <w:rPr>
          <w:rFonts w:ascii="Times New Roman" w:hAnsi="Times New Roman" w:eastAsia="楷体" w:cs="Times New Roman"/>
          <w:b w:val="0"/>
        </w:rPr>
      </w:pPr>
      <w:bookmarkStart w:id="16" w:name="_Toc501548527"/>
      <w:r>
        <w:rPr>
          <w:rFonts w:ascii="Times New Roman" w:hAnsi="Times New Roman" w:eastAsia="楷体" w:cs="Times New Roman"/>
          <w:b w:val="0"/>
        </w:rPr>
        <w:t>（二）增量指标</w:t>
      </w:r>
      <w:bookmarkEnd w:id="16"/>
    </w:p>
    <w:p>
      <w:pPr>
        <w:ind w:firstLine="555"/>
        <w:rPr>
          <w:rFonts w:ascii="Times New Roman" w:hAnsi="Times New Roman" w:eastAsia="方正仿宋_GBK"/>
          <w:b/>
          <w:sz w:val="28"/>
          <w:szCs w:val="28"/>
        </w:rPr>
      </w:pPr>
      <w:r>
        <w:rPr>
          <w:rFonts w:ascii="Times New Roman" w:hAnsi="Times New Roman" w:eastAsia="方正仿宋_GBK"/>
          <w:b/>
          <w:sz w:val="28"/>
          <w:szCs w:val="28"/>
        </w:rPr>
        <w:t>1、新增建设用地总量</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新增建设用地总量从原规划目标4285.15公顷调增至</w:t>
      </w:r>
      <w:r>
        <w:rPr>
          <w:rFonts w:hint="eastAsia" w:ascii="Times New Roman" w:hAnsi="Times New Roman" w:eastAsia="方正仿宋_GBK"/>
          <w:sz w:val="28"/>
          <w:szCs w:val="28"/>
        </w:rPr>
        <w:t>3750.00</w:t>
      </w:r>
      <w:r>
        <w:rPr>
          <w:rFonts w:ascii="Times New Roman" w:hAnsi="Times New Roman" w:eastAsia="方正仿宋_GBK"/>
          <w:sz w:val="28"/>
          <w:szCs w:val="28"/>
        </w:rPr>
        <w:t>公顷，调</w:t>
      </w:r>
      <w:r>
        <w:rPr>
          <w:rFonts w:hint="eastAsia" w:ascii="Times New Roman" w:hAnsi="Times New Roman" w:eastAsia="方正仿宋_GBK"/>
          <w:sz w:val="28"/>
          <w:szCs w:val="28"/>
        </w:rPr>
        <w:t>减535.15</w:t>
      </w:r>
      <w:r>
        <w:rPr>
          <w:rFonts w:ascii="Times New Roman" w:hAnsi="Times New Roman" w:eastAsia="方正仿宋_GBK"/>
          <w:sz w:val="28"/>
          <w:szCs w:val="28"/>
        </w:rPr>
        <w:t>公顷。</w:t>
      </w:r>
    </w:p>
    <w:p>
      <w:pPr>
        <w:ind w:firstLine="555"/>
        <w:rPr>
          <w:rFonts w:ascii="Times New Roman" w:hAnsi="Times New Roman" w:eastAsia="方正仿宋_GBK"/>
          <w:b/>
          <w:sz w:val="28"/>
          <w:szCs w:val="28"/>
        </w:rPr>
      </w:pPr>
      <w:r>
        <w:rPr>
          <w:rFonts w:ascii="Times New Roman" w:hAnsi="Times New Roman" w:eastAsia="方正仿宋_GBK"/>
          <w:b/>
          <w:sz w:val="28"/>
          <w:szCs w:val="28"/>
        </w:rPr>
        <w:t>2、建设占用农用地规模</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建设用地占用农用地规模从原规划目标4142.39公顷调增至</w:t>
      </w:r>
      <w:r>
        <w:rPr>
          <w:rFonts w:hint="eastAsia" w:ascii="Times New Roman" w:hAnsi="Times New Roman" w:eastAsia="方正仿宋_GBK"/>
          <w:sz w:val="28"/>
          <w:szCs w:val="28"/>
        </w:rPr>
        <w:t>3150</w:t>
      </w:r>
      <w:r>
        <w:rPr>
          <w:rFonts w:ascii="Times New Roman" w:hAnsi="Times New Roman" w:eastAsia="方正仿宋_GBK"/>
          <w:sz w:val="28"/>
          <w:szCs w:val="28"/>
        </w:rPr>
        <w:t>公顷，调</w:t>
      </w:r>
      <w:r>
        <w:rPr>
          <w:rFonts w:hint="eastAsia" w:ascii="Times New Roman" w:hAnsi="Times New Roman" w:eastAsia="方正仿宋_GBK"/>
          <w:sz w:val="28"/>
          <w:szCs w:val="28"/>
        </w:rPr>
        <w:t>减992.39</w:t>
      </w:r>
      <w:r>
        <w:rPr>
          <w:rFonts w:ascii="Times New Roman" w:hAnsi="Times New Roman" w:eastAsia="方正仿宋_GBK"/>
          <w:sz w:val="28"/>
          <w:szCs w:val="28"/>
        </w:rPr>
        <w:t>公顷。</w:t>
      </w:r>
    </w:p>
    <w:p>
      <w:pPr>
        <w:ind w:firstLine="555"/>
        <w:rPr>
          <w:rFonts w:ascii="Times New Roman" w:hAnsi="Times New Roman" w:eastAsia="方正仿宋_GBK"/>
          <w:b/>
          <w:sz w:val="28"/>
          <w:szCs w:val="28"/>
        </w:rPr>
      </w:pPr>
      <w:r>
        <w:rPr>
          <w:rFonts w:ascii="Times New Roman" w:hAnsi="Times New Roman" w:eastAsia="方正仿宋_GBK"/>
          <w:b/>
          <w:sz w:val="28"/>
          <w:szCs w:val="28"/>
        </w:rPr>
        <w:t>3、建设占用耕地规模</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建设占用耕地规模从原规划目标2991.95公顷调增至</w:t>
      </w:r>
      <w:r>
        <w:rPr>
          <w:rFonts w:hint="eastAsia" w:ascii="Times New Roman" w:hAnsi="Times New Roman" w:eastAsia="方正仿宋_GBK"/>
          <w:sz w:val="28"/>
          <w:szCs w:val="28"/>
        </w:rPr>
        <w:t>2750</w:t>
      </w:r>
      <w:r>
        <w:rPr>
          <w:rFonts w:ascii="Times New Roman" w:hAnsi="Times New Roman" w:eastAsia="方正仿宋_GBK"/>
          <w:sz w:val="28"/>
          <w:szCs w:val="28"/>
        </w:rPr>
        <w:t>公顷，调增</w:t>
      </w:r>
      <w:r>
        <w:rPr>
          <w:rFonts w:hint="eastAsia" w:ascii="Times New Roman" w:hAnsi="Times New Roman" w:eastAsia="方正仿宋_GBK"/>
          <w:sz w:val="28"/>
          <w:szCs w:val="28"/>
        </w:rPr>
        <w:t>241.95</w:t>
      </w:r>
      <w:r>
        <w:rPr>
          <w:rFonts w:ascii="Times New Roman" w:hAnsi="Times New Roman" w:eastAsia="方正仿宋_GBK"/>
          <w:sz w:val="28"/>
          <w:szCs w:val="28"/>
        </w:rPr>
        <w:t>公顷。</w:t>
      </w:r>
    </w:p>
    <w:p>
      <w:pPr>
        <w:ind w:firstLine="555"/>
        <w:rPr>
          <w:rFonts w:ascii="Times New Roman" w:hAnsi="Times New Roman" w:eastAsia="方正仿宋_GBK"/>
          <w:b/>
          <w:sz w:val="28"/>
          <w:szCs w:val="28"/>
        </w:rPr>
      </w:pPr>
      <w:r>
        <w:rPr>
          <w:rFonts w:ascii="Times New Roman" w:hAnsi="Times New Roman" w:eastAsia="方正仿宋_GBK"/>
          <w:b/>
          <w:sz w:val="28"/>
          <w:szCs w:val="28"/>
        </w:rPr>
        <w:t>4、整理复垦开发补充耕地规模</w:t>
      </w:r>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土地整治复垦开发补充耕地规模从原规划的4529.52公顷调减至</w:t>
      </w:r>
      <w:r>
        <w:rPr>
          <w:rFonts w:hint="eastAsia" w:ascii="Times New Roman" w:hAnsi="Times New Roman" w:eastAsia="方正仿宋_GBK"/>
          <w:sz w:val="28"/>
          <w:szCs w:val="28"/>
        </w:rPr>
        <w:t>4025</w:t>
      </w:r>
      <w:r>
        <w:rPr>
          <w:rFonts w:ascii="Times New Roman" w:hAnsi="Times New Roman" w:eastAsia="方正仿宋_GBK"/>
          <w:sz w:val="28"/>
          <w:szCs w:val="28"/>
        </w:rPr>
        <w:t>公顷，调减</w:t>
      </w:r>
      <w:r>
        <w:rPr>
          <w:rFonts w:hint="eastAsia" w:ascii="Times New Roman" w:hAnsi="Times New Roman" w:eastAsia="方正仿宋_GBK"/>
          <w:sz w:val="28"/>
          <w:szCs w:val="28"/>
        </w:rPr>
        <w:t>504.52</w:t>
      </w:r>
      <w:r>
        <w:rPr>
          <w:rFonts w:ascii="Times New Roman" w:hAnsi="Times New Roman" w:eastAsia="方正仿宋_GBK"/>
          <w:sz w:val="28"/>
          <w:szCs w:val="28"/>
        </w:rPr>
        <w:t>公顷。</w:t>
      </w:r>
    </w:p>
    <w:p>
      <w:pPr>
        <w:pStyle w:val="2"/>
        <w:spacing w:before="0" w:beforeAutospacing="0" w:after="0" w:afterAutospacing="0"/>
        <w:rPr>
          <w:rFonts w:ascii="Times New Roman" w:hAnsi="Times New Roman"/>
          <w:sz w:val="32"/>
        </w:rPr>
      </w:pPr>
      <w:bookmarkStart w:id="17" w:name="_Toc23849"/>
      <w:bookmarkStart w:id="18" w:name="_Toc28504"/>
      <w:bookmarkStart w:id="19" w:name="_Toc496632913"/>
      <w:bookmarkStart w:id="20" w:name="_Toc501548544"/>
      <w:bookmarkStart w:id="21" w:name="_Toc496631458"/>
      <w:bookmarkStart w:id="22" w:name="_Toc496711261"/>
      <w:r>
        <w:rPr>
          <w:rFonts w:hint="eastAsia" w:ascii="Times New Roman" w:hAnsi="Times New Roman"/>
          <w:sz w:val="32"/>
          <w:lang w:val="en-US" w:eastAsia="zh-CN"/>
        </w:rPr>
        <w:t>三</w:t>
      </w:r>
      <w:r>
        <w:rPr>
          <w:rFonts w:ascii="Times New Roman" w:hAnsi="Times New Roman"/>
          <w:sz w:val="32"/>
        </w:rPr>
        <w:t>、新增重点建设项目用地保障</w:t>
      </w:r>
      <w:bookmarkEnd w:id="17"/>
      <w:bookmarkEnd w:id="18"/>
      <w:bookmarkEnd w:id="19"/>
      <w:bookmarkEnd w:id="20"/>
      <w:bookmarkEnd w:id="21"/>
      <w:bookmarkEnd w:id="22"/>
    </w:p>
    <w:p>
      <w:pPr>
        <w:ind w:firstLine="560" w:firstLineChars="200"/>
        <w:rPr>
          <w:rFonts w:ascii="Times New Roman" w:hAnsi="Times New Roman" w:eastAsia="方正仿宋_GBK"/>
          <w:sz w:val="28"/>
          <w:szCs w:val="28"/>
        </w:rPr>
      </w:pPr>
      <w:bookmarkStart w:id="23" w:name="_Toc401824709"/>
      <w:r>
        <w:rPr>
          <w:rFonts w:ascii="Times New Roman" w:hAnsi="Times New Roman" w:eastAsia="方正仿宋_GBK"/>
          <w:sz w:val="28"/>
          <w:szCs w:val="28"/>
        </w:rPr>
        <w:t>根据潼南区国民经济和社会发展“十三五”规划及相关专项规划，本次规划调整为规划实施中后期拟新增重点建设项目</w:t>
      </w:r>
      <w:r>
        <w:rPr>
          <w:rFonts w:hint="eastAsia" w:ascii="Times New Roman" w:hAnsi="Times New Roman" w:eastAsia="方正仿宋_GBK"/>
          <w:sz w:val="28"/>
          <w:szCs w:val="28"/>
        </w:rPr>
        <w:t>78</w:t>
      </w:r>
      <w:r>
        <w:rPr>
          <w:rFonts w:ascii="Times New Roman" w:hAnsi="Times New Roman" w:eastAsia="方正仿宋_GBK"/>
          <w:sz w:val="28"/>
          <w:szCs w:val="28"/>
        </w:rPr>
        <w:t>项，其中</w:t>
      </w:r>
      <w:r>
        <w:rPr>
          <w:rFonts w:hint="eastAsia" w:ascii="Times New Roman" w:hAnsi="Times New Roman" w:eastAsia="方正仿宋_GBK"/>
          <w:sz w:val="28"/>
          <w:szCs w:val="28"/>
        </w:rPr>
        <w:t>能源类6项、</w:t>
      </w:r>
      <w:r>
        <w:rPr>
          <w:rFonts w:ascii="Times New Roman" w:hAnsi="Times New Roman" w:eastAsia="方正仿宋_GBK"/>
          <w:sz w:val="28"/>
          <w:szCs w:val="28"/>
        </w:rPr>
        <w:t>交通类</w:t>
      </w:r>
      <w:r>
        <w:rPr>
          <w:rFonts w:hint="eastAsia" w:ascii="Times New Roman" w:hAnsi="Times New Roman" w:eastAsia="方正仿宋_GBK"/>
          <w:sz w:val="28"/>
          <w:szCs w:val="28"/>
        </w:rPr>
        <w:t>35</w:t>
      </w:r>
      <w:r>
        <w:rPr>
          <w:rFonts w:ascii="Times New Roman" w:hAnsi="Times New Roman" w:eastAsia="方正仿宋_GBK"/>
          <w:sz w:val="28"/>
          <w:szCs w:val="28"/>
        </w:rPr>
        <w:t>项、水利类1</w:t>
      </w:r>
      <w:r>
        <w:rPr>
          <w:rFonts w:hint="eastAsia" w:ascii="Times New Roman" w:hAnsi="Times New Roman" w:eastAsia="方正仿宋_GBK"/>
          <w:sz w:val="28"/>
          <w:szCs w:val="28"/>
        </w:rPr>
        <w:t>3</w:t>
      </w:r>
      <w:r>
        <w:rPr>
          <w:rFonts w:ascii="Times New Roman" w:hAnsi="Times New Roman" w:eastAsia="方正仿宋_GBK"/>
          <w:sz w:val="28"/>
          <w:szCs w:val="28"/>
        </w:rPr>
        <w:t>项、环保类</w:t>
      </w:r>
      <w:r>
        <w:rPr>
          <w:rFonts w:hint="eastAsia" w:ascii="Times New Roman" w:hAnsi="Times New Roman" w:eastAsia="方正仿宋_GBK"/>
          <w:sz w:val="28"/>
          <w:szCs w:val="28"/>
        </w:rPr>
        <w:t>3</w:t>
      </w:r>
      <w:r>
        <w:rPr>
          <w:rFonts w:ascii="Times New Roman" w:hAnsi="Times New Roman" w:eastAsia="方正仿宋_GBK"/>
          <w:sz w:val="28"/>
          <w:szCs w:val="28"/>
        </w:rPr>
        <w:t>项、</w:t>
      </w:r>
      <w:r>
        <w:rPr>
          <w:rFonts w:hint="eastAsia" w:ascii="Times New Roman" w:hAnsi="Times New Roman" w:eastAsia="方正仿宋_GBK"/>
          <w:sz w:val="28"/>
          <w:szCs w:val="28"/>
        </w:rPr>
        <w:t>民生类7项、旅游类13项、现代农业建设项目1项。</w:t>
      </w:r>
    </w:p>
    <w:bookmarkEnd w:id="23"/>
    <w:p>
      <w:pPr>
        <w:pStyle w:val="2"/>
        <w:spacing w:before="0" w:beforeAutospacing="0" w:after="0" w:afterAutospacing="0"/>
        <w:rPr>
          <w:rFonts w:ascii="Times New Roman" w:hAnsi="Times New Roman"/>
          <w:sz w:val="32"/>
        </w:rPr>
      </w:pPr>
      <w:bookmarkStart w:id="24" w:name="_Toc496632918"/>
      <w:bookmarkStart w:id="25" w:name="_Toc496631463"/>
      <w:bookmarkStart w:id="26" w:name="_Toc496711266"/>
      <w:bookmarkStart w:id="27" w:name="_Toc501548549"/>
      <w:r>
        <w:rPr>
          <w:rFonts w:hint="eastAsia" w:ascii="Times New Roman" w:hAnsi="Times New Roman"/>
          <w:sz w:val="32"/>
          <w:lang w:val="en-US" w:eastAsia="zh-CN"/>
        </w:rPr>
        <w:t>四</w:t>
      </w:r>
      <w:r>
        <w:rPr>
          <w:rFonts w:ascii="Times New Roman" w:hAnsi="Times New Roman"/>
          <w:sz w:val="32"/>
        </w:rPr>
        <w:t>、实施保障措施</w:t>
      </w:r>
      <w:bookmarkEnd w:id="24"/>
      <w:bookmarkEnd w:id="25"/>
      <w:bookmarkEnd w:id="26"/>
      <w:bookmarkEnd w:id="27"/>
    </w:p>
    <w:p>
      <w:pPr>
        <w:pStyle w:val="3"/>
        <w:spacing w:before="0" w:after="0" w:line="240" w:lineRule="auto"/>
        <w:rPr>
          <w:rFonts w:ascii="Times New Roman" w:hAnsi="Times New Roman" w:eastAsia="楷体" w:cs="Times New Roman"/>
          <w:b w:val="0"/>
        </w:rPr>
      </w:pPr>
      <w:bookmarkStart w:id="28" w:name="_Toc374664276"/>
      <w:bookmarkStart w:id="29" w:name="_Toc16304"/>
      <w:bookmarkStart w:id="30" w:name="_Toc426035918"/>
      <w:bookmarkStart w:id="31" w:name="_Toc375345756"/>
      <w:bookmarkStart w:id="32" w:name="_Toc496632919"/>
      <w:bookmarkStart w:id="33" w:name="_Toc375346258"/>
      <w:bookmarkStart w:id="34" w:name="_Toc496711267"/>
      <w:bookmarkStart w:id="35" w:name="_Toc496631464"/>
      <w:bookmarkStart w:id="36" w:name="_Toc374741316"/>
      <w:bookmarkStart w:id="37" w:name="_Toc501548550"/>
      <w:bookmarkStart w:id="38" w:name="_Toc215290297"/>
      <w:bookmarkStart w:id="39" w:name="_Toc217811644"/>
      <w:bookmarkStart w:id="40" w:name="_Toc131582691"/>
      <w:bookmarkStart w:id="41" w:name="_Toc217811707"/>
      <w:r>
        <w:rPr>
          <w:rFonts w:ascii="Times New Roman" w:hAnsi="Times New Roman" w:eastAsia="楷体" w:cs="Times New Roman"/>
          <w:b w:val="0"/>
        </w:rPr>
        <w:t>（一）严格落实耕地保护措施，确保耕地占补平衡</w:t>
      </w:r>
      <w:bookmarkEnd w:id="28"/>
      <w:bookmarkEnd w:id="29"/>
      <w:bookmarkEnd w:id="30"/>
      <w:bookmarkEnd w:id="31"/>
      <w:bookmarkEnd w:id="32"/>
      <w:bookmarkEnd w:id="33"/>
      <w:bookmarkEnd w:id="34"/>
      <w:bookmarkEnd w:id="35"/>
      <w:bookmarkEnd w:id="36"/>
      <w:bookmarkEnd w:id="37"/>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规划调整方案经批准实施后，新增非农建设用地占用耕地的，须以委托补充等措施，补充数量和质量相当的耕地，确保潼南区土地利用总体规划确定的耕地面积不减少、质量不降低。</w:t>
      </w:r>
    </w:p>
    <w:p>
      <w:pPr>
        <w:pStyle w:val="3"/>
        <w:spacing w:before="0" w:after="0" w:line="240" w:lineRule="auto"/>
        <w:rPr>
          <w:rFonts w:ascii="Times New Roman" w:hAnsi="Times New Roman" w:eastAsia="楷体" w:cs="Times New Roman"/>
          <w:b w:val="0"/>
        </w:rPr>
      </w:pPr>
      <w:bookmarkStart w:id="42" w:name="_Toc374741317"/>
      <w:bookmarkStart w:id="43" w:name="_Toc375345757"/>
      <w:bookmarkStart w:id="44" w:name="_Toc375346259"/>
      <w:bookmarkStart w:id="45" w:name="_Toc374664277"/>
      <w:bookmarkStart w:id="46" w:name="_Toc31496"/>
      <w:bookmarkStart w:id="47" w:name="_Toc426035919"/>
      <w:bookmarkStart w:id="48" w:name="_Toc496711268"/>
      <w:bookmarkStart w:id="49" w:name="_Toc496632920"/>
      <w:bookmarkStart w:id="50" w:name="_Toc496631465"/>
      <w:bookmarkStart w:id="51" w:name="_Toc501548551"/>
      <w:r>
        <w:rPr>
          <w:rFonts w:ascii="Times New Roman" w:hAnsi="Times New Roman" w:eastAsia="楷体" w:cs="Times New Roman"/>
          <w:b w:val="0"/>
        </w:rPr>
        <w:t>（二）严格实施土地用途管制制度</w:t>
      </w:r>
      <w:bookmarkEnd w:id="38"/>
      <w:bookmarkEnd w:id="39"/>
      <w:bookmarkEnd w:id="40"/>
      <w:bookmarkEnd w:id="41"/>
      <w:r>
        <w:rPr>
          <w:rFonts w:ascii="Times New Roman" w:hAnsi="Times New Roman" w:eastAsia="楷体" w:cs="Times New Roman"/>
          <w:b w:val="0"/>
        </w:rPr>
        <w:t>，合理引导用地方向</w:t>
      </w:r>
      <w:bookmarkEnd w:id="42"/>
      <w:bookmarkEnd w:id="43"/>
      <w:bookmarkEnd w:id="44"/>
      <w:bookmarkEnd w:id="45"/>
      <w:bookmarkEnd w:id="46"/>
      <w:bookmarkEnd w:id="47"/>
      <w:bookmarkEnd w:id="48"/>
      <w:bookmarkEnd w:id="49"/>
      <w:bookmarkEnd w:id="50"/>
      <w:bookmarkEnd w:id="51"/>
    </w:p>
    <w:p>
      <w:pPr>
        <w:ind w:firstLine="560" w:firstLineChars="200"/>
        <w:rPr>
          <w:rFonts w:ascii="Times New Roman" w:hAnsi="Times New Roman" w:eastAsia="方正仿宋_GBK"/>
          <w:sz w:val="28"/>
          <w:szCs w:val="28"/>
        </w:rPr>
      </w:pPr>
      <w:r>
        <w:rPr>
          <w:rFonts w:ascii="Times New Roman" w:hAnsi="Times New Roman" w:eastAsia="方正仿宋_GBK"/>
          <w:sz w:val="28"/>
          <w:szCs w:val="28"/>
        </w:rPr>
        <w:t>严格限制农用地转为建设用地，控制建设用地总量，对耕地实行特殊保护，确保当地的农业生产力不下降。</w:t>
      </w:r>
      <w:bookmarkStart w:id="52" w:name="_Toc375345758"/>
      <w:bookmarkStart w:id="53" w:name="_Toc426035920"/>
      <w:bookmarkStart w:id="54" w:name="_Toc375346260"/>
      <w:bookmarkStart w:id="55" w:name="_Toc27722"/>
      <w:bookmarkStart w:id="56" w:name="_Toc374664278"/>
      <w:bookmarkStart w:id="57" w:name="_Toc374741318"/>
    </w:p>
    <w:p>
      <w:pPr>
        <w:pStyle w:val="3"/>
        <w:spacing w:before="0" w:after="0" w:line="240" w:lineRule="auto"/>
        <w:rPr>
          <w:rFonts w:ascii="Times New Roman" w:hAnsi="Times New Roman" w:eastAsia="楷体" w:cs="Times New Roman"/>
          <w:b w:val="0"/>
        </w:rPr>
      </w:pPr>
      <w:bookmarkStart w:id="58" w:name="_Toc501548552"/>
      <w:r>
        <w:rPr>
          <w:rFonts w:hint="eastAsia" w:ascii="Times New Roman" w:hAnsi="Times New Roman" w:eastAsia="楷体" w:cs="Times New Roman"/>
          <w:b w:val="0"/>
        </w:rPr>
        <w:t>（三）全面落实乡村振兴战略行动计划</w:t>
      </w:r>
      <w:bookmarkEnd w:id="58"/>
    </w:p>
    <w:p>
      <w:pPr>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全面落实乡村振兴战略行动计划，鼓励农村地区编制村土地利用规划，统一安排各类各业用地。</w:t>
      </w:r>
    </w:p>
    <w:bookmarkEnd w:id="52"/>
    <w:bookmarkEnd w:id="53"/>
    <w:bookmarkEnd w:id="54"/>
    <w:bookmarkEnd w:id="55"/>
    <w:bookmarkEnd w:id="56"/>
    <w:bookmarkEnd w:id="57"/>
    <w:p>
      <w:pPr>
        <w:pStyle w:val="3"/>
        <w:spacing w:before="0" w:after="0" w:line="240" w:lineRule="auto"/>
        <w:rPr>
          <w:rFonts w:ascii="Times New Roman" w:hAnsi="Times New Roman" w:eastAsia="楷体" w:cs="Times New Roman"/>
          <w:b w:val="0"/>
        </w:rPr>
      </w:pPr>
      <w:bookmarkStart w:id="59" w:name="_Toc426035921"/>
      <w:bookmarkStart w:id="60" w:name="_Toc496711270"/>
      <w:bookmarkStart w:id="61" w:name="_Toc496632922"/>
      <w:bookmarkStart w:id="62" w:name="_Toc26198"/>
      <w:bookmarkStart w:id="63" w:name="_Toc501548554"/>
      <w:bookmarkStart w:id="64" w:name="_Toc496631467"/>
      <w:r>
        <w:rPr>
          <w:rFonts w:ascii="Times New Roman" w:hAnsi="Times New Roman" w:eastAsia="楷体" w:cs="Times New Roman"/>
          <w:b w:val="0"/>
        </w:rPr>
        <w:t>（</w:t>
      </w:r>
      <w:r>
        <w:rPr>
          <w:rFonts w:hint="eastAsia" w:ascii="Times New Roman" w:hAnsi="Times New Roman" w:eastAsia="楷体" w:cs="Times New Roman"/>
          <w:b w:val="0"/>
        </w:rPr>
        <w:t>五</w:t>
      </w:r>
      <w:r>
        <w:rPr>
          <w:rFonts w:ascii="Times New Roman" w:hAnsi="Times New Roman" w:eastAsia="楷体" w:cs="Times New Roman"/>
          <w:b w:val="0"/>
        </w:rPr>
        <w:t>）完善节约集约举措，提升节约集约水平</w:t>
      </w:r>
      <w:bookmarkEnd w:id="59"/>
      <w:bookmarkEnd w:id="60"/>
      <w:bookmarkEnd w:id="61"/>
      <w:bookmarkEnd w:id="62"/>
      <w:bookmarkEnd w:id="63"/>
      <w:bookmarkEnd w:id="64"/>
    </w:p>
    <w:p>
      <w:pPr>
        <w:ind w:firstLine="560" w:firstLineChars="200"/>
        <w:rPr>
          <w:rFonts w:ascii="Times New Roman" w:hAnsi="Times New Roman" w:eastAsia="方正仿宋_GBK"/>
          <w:sz w:val="28"/>
          <w:szCs w:val="28"/>
        </w:rPr>
      </w:pPr>
      <w:bookmarkStart w:id="65" w:name="_Toc401817828"/>
      <w:bookmarkStart w:id="66" w:name="_Toc401824719"/>
      <w:r>
        <w:rPr>
          <w:rFonts w:ascii="Times New Roman" w:hAnsi="Times New Roman" w:eastAsia="方正仿宋_GBK"/>
          <w:sz w:val="28"/>
          <w:szCs w:val="28"/>
        </w:rPr>
        <w:t>规划实施后期，严格执行依法收回闲置土地或征收土地闲置费的规定，加快闲置土地的认定、公示和处置；建立低效用地再开发激励约束机制，推进城乡存量建设用地挖潜利用和高效配置；完善土地收购储备制度，制定工业用地等各类存量用地回购和转让政策，建立存量建设用地盘活利用激励机制。</w:t>
      </w:r>
      <w:bookmarkEnd w:id="65"/>
      <w:bookmarkEnd w:id="66"/>
    </w:p>
    <w:p>
      <w:pPr>
        <w:ind w:firstLine="560" w:firstLineChars="200"/>
        <w:rPr>
          <w:rFonts w:ascii="Times New Roman" w:hAnsi="Times New Roman" w:eastAsia="方正仿宋_GBK"/>
          <w:sz w:val="28"/>
          <w:szCs w:val="28"/>
        </w:rPr>
      </w:pPr>
    </w:p>
    <w:p>
      <w:pPr>
        <w:spacing w:line="360" w:lineRule="auto"/>
        <w:ind w:firstLine="640" w:firstLineChars="200"/>
        <w:rPr>
          <w:rFonts w:ascii="Times New Roman" w:hAnsi="Times New Roman" w:eastAsia="方正小标宋_GBK"/>
          <w:color w:val="FF0000"/>
          <w:sz w:val="32"/>
        </w:rPr>
        <w:sectPr>
          <w:headerReference r:id="rId4" w:type="default"/>
          <w:footerReference r:id="rId5" w:type="default"/>
          <w:pgSz w:w="11906" w:h="16838"/>
          <w:pgMar w:top="1418" w:right="1701" w:bottom="1418" w:left="1701" w:header="851" w:footer="992" w:gutter="0"/>
          <w:pgNumType w:start="1"/>
          <w:cols w:space="425" w:num="1"/>
          <w:docGrid w:type="lines" w:linePitch="312" w:charSpace="0"/>
        </w:sectPr>
      </w:pPr>
    </w:p>
    <w:p>
      <w:pPr>
        <w:spacing w:line="400" w:lineRule="exact"/>
        <w:jc w:val="center"/>
        <w:rPr>
          <w:rFonts w:ascii="Times New Roman" w:hAnsi="Times New Roman" w:eastAsia="方正仿宋_GBK"/>
          <w:b/>
          <w:bCs/>
          <w:kern w:val="0"/>
          <w:sz w:val="28"/>
          <w:szCs w:val="28"/>
        </w:rPr>
      </w:pPr>
      <w:r>
        <w:rPr>
          <w:rFonts w:ascii="Times New Roman" w:hAnsi="Times New Roman" w:eastAsia="方正仿宋_GBK"/>
          <w:b/>
          <w:bCs/>
          <w:kern w:val="0"/>
          <w:sz w:val="28"/>
          <w:szCs w:val="28"/>
        </w:rPr>
        <w:t>附表1  潼南区规划调整前后主要规划指标情况表</w:t>
      </w:r>
    </w:p>
    <w:tbl>
      <w:tblPr>
        <w:tblStyle w:val="17"/>
        <w:tblW w:w="5000" w:type="pct"/>
        <w:jc w:val="center"/>
        <w:tblLayout w:type="autofit"/>
        <w:tblCellMar>
          <w:top w:w="0" w:type="dxa"/>
          <w:left w:w="108" w:type="dxa"/>
          <w:bottom w:w="0" w:type="dxa"/>
          <w:right w:w="108" w:type="dxa"/>
        </w:tblCellMar>
      </w:tblPr>
      <w:tblGrid>
        <w:gridCol w:w="1565"/>
        <w:gridCol w:w="3898"/>
        <w:gridCol w:w="1671"/>
        <w:gridCol w:w="2227"/>
        <w:gridCol w:w="2227"/>
        <w:gridCol w:w="1156"/>
        <w:gridCol w:w="2870"/>
      </w:tblGrid>
      <w:tr>
        <w:tblPrEx>
          <w:tblCellMar>
            <w:top w:w="0" w:type="dxa"/>
            <w:left w:w="108" w:type="dxa"/>
            <w:bottom w:w="0" w:type="dxa"/>
            <w:right w:w="108" w:type="dxa"/>
          </w:tblCellMar>
        </w:tblPrEx>
        <w:trPr>
          <w:trHeight w:val="312" w:hRule="atLeast"/>
          <w:jc w:val="center"/>
        </w:trPr>
        <w:tc>
          <w:tcPr>
            <w:tcW w:w="174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指标</w:t>
            </w:r>
          </w:p>
        </w:tc>
        <w:tc>
          <w:tcPr>
            <w:tcW w:w="5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现行规划目标</w:t>
            </w:r>
          </w:p>
        </w:tc>
        <w:tc>
          <w:tcPr>
            <w:tcW w:w="7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调整后的目标</w:t>
            </w:r>
          </w:p>
        </w:tc>
        <w:tc>
          <w:tcPr>
            <w:tcW w:w="7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规划目标增减情况</w:t>
            </w:r>
          </w:p>
        </w:tc>
        <w:tc>
          <w:tcPr>
            <w:tcW w:w="3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指标属性</w:t>
            </w:r>
          </w:p>
        </w:tc>
        <w:tc>
          <w:tcPr>
            <w:tcW w:w="9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调整原因</w:t>
            </w:r>
          </w:p>
        </w:tc>
      </w:tr>
      <w:tr>
        <w:tblPrEx>
          <w:tblCellMar>
            <w:top w:w="0" w:type="dxa"/>
            <w:left w:w="108" w:type="dxa"/>
            <w:bottom w:w="0" w:type="dxa"/>
            <w:right w:w="108" w:type="dxa"/>
          </w:tblCellMar>
        </w:tblPrEx>
        <w:trPr>
          <w:trHeight w:val="312" w:hRule="atLeast"/>
          <w:jc w:val="center"/>
        </w:trPr>
        <w:tc>
          <w:tcPr>
            <w:tcW w:w="17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300" w:hRule="atLeast"/>
          <w:jc w:val="center"/>
        </w:trPr>
        <w:tc>
          <w:tcPr>
            <w:tcW w:w="5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总量指标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（公顷）</w:t>
            </w: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耕地保有量</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78900.00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72733.00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-6167.00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上位规划下达新目标</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基本农田面积</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67333.33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62000.00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-5333.33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上位规划下达新目标</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园地面积</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5730.00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2800.00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-2930.00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林地面积</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12430.00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15000.00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2570.00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退耕还林</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牧草地面积</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70.00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-70.00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48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建设用地总规模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17666.56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17825.00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158.44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落实规划实施后期新布局建设用地项目</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城乡建设用地规模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14735.94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15036.00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300.06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上位规划下达新目标</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城镇工矿用地规模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3165.94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3466.00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300.06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新增城镇工矿用地</w:t>
            </w:r>
          </w:p>
        </w:tc>
      </w:tr>
      <w:tr>
        <w:tblPrEx>
          <w:tblCellMar>
            <w:top w:w="0" w:type="dxa"/>
            <w:left w:w="108" w:type="dxa"/>
            <w:bottom w:w="0" w:type="dxa"/>
            <w:right w:w="108" w:type="dxa"/>
          </w:tblCellMar>
        </w:tblPrEx>
        <w:trPr>
          <w:trHeight w:val="48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交通、水利及其他用地规模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2930.62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2789.00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-141.62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落实规划实施后期新布局交通水利及其他建设用地项目</w:t>
            </w:r>
          </w:p>
        </w:tc>
      </w:tr>
      <w:tr>
        <w:tblPrEx>
          <w:tblCellMar>
            <w:top w:w="0" w:type="dxa"/>
            <w:left w:w="108" w:type="dxa"/>
            <w:bottom w:w="0" w:type="dxa"/>
            <w:right w:w="108" w:type="dxa"/>
          </w:tblCellMar>
        </w:tblPrEx>
        <w:trPr>
          <w:trHeight w:val="300" w:hRule="atLeast"/>
          <w:jc w:val="center"/>
        </w:trPr>
        <w:tc>
          <w:tcPr>
            <w:tcW w:w="5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增量指标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（公顷）</w:t>
            </w: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新增建设用地总量</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4285.15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3750.00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-535.15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建设占用农用地规模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4142.39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3150.00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-992.39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预期性</w:t>
            </w:r>
          </w:p>
        </w:tc>
        <w:tc>
          <w:tcPr>
            <w:tcW w:w="91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30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建设占用耕地规模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2991.95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2750.00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-241.95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p>
        </w:tc>
        <w:tc>
          <w:tcPr>
            <w:tcW w:w="91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80" w:hRule="atLeast"/>
          <w:jc w:val="center"/>
        </w:trPr>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整理复垦开发补充耕地规模</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4529.52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4025.00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-504.52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因耕地保有量目标减少，相应适当减少该目标。</w:t>
            </w:r>
          </w:p>
        </w:tc>
      </w:tr>
      <w:tr>
        <w:tblPrEx>
          <w:tblCellMar>
            <w:top w:w="0" w:type="dxa"/>
            <w:left w:w="108" w:type="dxa"/>
            <w:bottom w:w="0" w:type="dxa"/>
            <w:right w:w="108" w:type="dxa"/>
          </w:tblCellMar>
        </w:tblPrEx>
        <w:trPr>
          <w:trHeight w:val="510" w:hRule="atLeast"/>
          <w:jc w:val="center"/>
        </w:trPr>
        <w:tc>
          <w:tcPr>
            <w:tcW w:w="50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效率指标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（平方米/人）</w:t>
            </w:r>
          </w:p>
        </w:tc>
        <w:tc>
          <w:tcPr>
            <w:tcW w:w="124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人均城镇工矿用地</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90.00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90.00 </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xml:space="preserve">0.00 </w:t>
            </w:r>
          </w:p>
        </w:tc>
        <w:tc>
          <w:tcPr>
            <w:tcW w:w="37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约束性</w:t>
            </w:r>
            <w:r>
              <w:rPr>
                <w:rFonts w:cs="Calibri" w:asciiTheme="minorEastAsia" w:hAnsiTheme="minorEastAsia" w:eastAsiaTheme="minorEastAsia"/>
                <w:kern w:val="0"/>
                <w:szCs w:val="21"/>
              </w:rPr>
              <w:t xml:space="preserve"> </w:t>
            </w:r>
          </w:p>
        </w:tc>
        <w:tc>
          <w:tcPr>
            <w:tcW w:w="91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无变化</w:t>
            </w:r>
          </w:p>
        </w:tc>
      </w:tr>
    </w:tbl>
    <w:p>
      <w:pPr>
        <w:spacing w:line="400" w:lineRule="exact"/>
        <w:jc w:val="right"/>
        <w:rPr>
          <w:rFonts w:ascii="Times New Roman" w:hAnsi="Times New Roman" w:eastAsia="方正仿宋_GBK"/>
          <w:b/>
          <w:bCs/>
          <w:color w:val="FF0000"/>
          <w:kern w:val="0"/>
          <w:sz w:val="24"/>
          <w:szCs w:val="28"/>
        </w:rPr>
      </w:pPr>
    </w:p>
    <w:p>
      <w:pPr>
        <w:rPr>
          <w:rFonts w:ascii="Times New Roman" w:hAnsi="Times New Roman"/>
          <w:color w:val="FF0000"/>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E6C97B4-CDF1-445D-95A3-A9646612BC6C}"/>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auto"/>
    <w:pitch w:val="default"/>
    <w:sig w:usb0="A00002BF" w:usb1="38CF7CFA" w:usb2="00082016" w:usb3="00000000" w:csb0="00040001" w:csb1="00000000"/>
    <w:embedRegular r:id="rId2" w:fontKey="{0854AAAE-E807-4C45-B27B-C1723C009646}"/>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C850141D-A3C3-4EE6-AA61-746DD628C6D9}"/>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D5496DD0-2553-4CFD-A841-87C522AF25E0}"/>
  </w:font>
  <w:font w:name="楷体">
    <w:panose1 w:val="02010609060101010101"/>
    <w:charset w:val="86"/>
    <w:family w:val="auto"/>
    <w:pitch w:val="default"/>
    <w:sig w:usb0="800002BF" w:usb1="38CF7CFA" w:usb2="00000016" w:usb3="00000000" w:csb0="00040001" w:csb1="00000000"/>
    <w:embedRegular r:id="rId5" w:fontKey="{37991361-2D16-478C-BDDC-E381B1D67D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91644"/>
      <w:docPartObj>
        <w:docPartGallery w:val="autotext"/>
      </w:docPartObj>
    </w:sdtPr>
    <w:sdtContent>
      <w:p>
        <w:pPr>
          <w:pStyle w:val="10"/>
          <w:jc w:val="center"/>
        </w:pPr>
        <w:r>
          <w:fldChar w:fldCharType="begin"/>
        </w:r>
        <w:r>
          <w:instrText xml:space="preserve">PAGE   \* MERGEFORMAT</w:instrText>
        </w:r>
        <w:r>
          <w:fldChar w:fldCharType="separate"/>
        </w:r>
        <w:r>
          <w:rPr>
            <w:lang w:val="zh-CN"/>
          </w:rPr>
          <w:t>17</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footnoteRef/>
      </w:r>
      <w:r>
        <w:t xml:space="preserve"> </w:t>
      </w:r>
      <w:r>
        <w:rPr>
          <w:rFonts w:hint="eastAsia"/>
        </w:rPr>
        <w:t>潼南区第十三届二次党代会精神，为做大做强做优以工业为主体的实体经济，做大做强做绿现代农业，做大做强做美宜居城市，做大做强做活旅游产业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重庆市潼南区及桂林街道等22个镇街土地利用总体规划（2006-2020年）调整方案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81"/>
    <w:rsid w:val="00000076"/>
    <w:rsid w:val="00002090"/>
    <w:rsid w:val="00002C1B"/>
    <w:rsid w:val="00006C66"/>
    <w:rsid w:val="00013787"/>
    <w:rsid w:val="00015B2A"/>
    <w:rsid w:val="00016341"/>
    <w:rsid w:val="0002085A"/>
    <w:rsid w:val="00022E08"/>
    <w:rsid w:val="00023538"/>
    <w:rsid w:val="0002476E"/>
    <w:rsid w:val="0002723E"/>
    <w:rsid w:val="00031DAD"/>
    <w:rsid w:val="00032299"/>
    <w:rsid w:val="000326F2"/>
    <w:rsid w:val="00033933"/>
    <w:rsid w:val="00035D9D"/>
    <w:rsid w:val="000360FA"/>
    <w:rsid w:val="0003785C"/>
    <w:rsid w:val="00041B58"/>
    <w:rsid w:val="00042633"/>
    <w:rsid w:val="00043380"/>
    <w:rsid w:val="000455DD"/>
    <w:rsid w:val="0004685F"/>
    <w:rsid w:val="00046A7A"/>
    <w:rsid w:val="0005167E"/>
    <w:rsid w:val="0005488E"/>
    <w:rsid w:val="00057543"/>
    <w:rsid w:val="000577CD"/>
    <w:rsid w:val="000609B5"/>
    <w:rsid w:val="00062576"/>
    <w:rsid w:val="0006266D"/>
    <w:rsid w:val="00062AB6"/>
    <w:rsid w:val="00062AE1"/>
    <w:rsid w:val="0006590A"/>
    <w:rsid w:val="00067DC8"/>
    <w:rsid w:val="0007143E"/>
    <w:rsid w:val="000739F3"/>
    <w:rsid w:val="000801CD"/>
    <w:rsid w:val="000802B8"/>
    <w:rsid w:val="00081690"/>
    <w:rsid w:val="00081E9C"/>
    <w:rsid w:val="00086F4D"/>
    <w:rsid w:val="0009146B"/>
    <w:rsid w:val="000A005C"/>
    <w:rsid w:val="000A13EC"/>
    <w:rsid w:val="000A4E0D"/>
    <w:rsid w:val="000A594C"/>
    <w:rsid w:val="000A7D32"/>
    <w:rsid w:val="000B1353"/>
    <w:rsid w:val="000B1A54"/>
    <w:rsid w:val="000B29C4"/>
    <w:rsid w:val="000B3511"/>
    <w:rsid w:val="000C1747"/>
    <w:rsid w:val="000C2116"/>
    <w:rsid w:val="000C3D3E"/>
    <w:rsid w:val="000D324A"/>
    <w:rsid w:val="000D457E"/>
    <w:rsid w:val="000D66A2"/>
    <w:rsid w:val="000E0BE8"/>
    <w:rsid w:val="000E1B9C"/>
    <w:rsid w:val="000F2721"/>
    <w:rsid w:val="000F3EB4"/>
    <w:rsid w:val="000F4F0E"/>
    <w:rsid w:val="000F6EF9"/>
    <w:rsid w:val="00100040"/>
    <w:rsid w:val="00102BF1"/>
    <w:rsid w:val="00105AE0"/>
    <w:rsid w:val="00106535"/>
    <w:rsid w:val="00106DEF"/>
    <w:rsid w:val="001117EB"/>
    <w:rsid w:val="0011325E"/>
    <w:rsid w:val="00126046"/>
    <w:rsid w:val="00126C3D"/>
    <w:rsid w:val="00126CF4"/>
    <w:rsid w:val="00127237"/>
    <w:rsid w:val="001301E0"/>
    <w:rsid w:val="001318E0"/>
    <w:rsid w:val="0013281E"/>
    <w:rsid w:val="00134E12"/>
    <w:rsid w:val="00134E55"/>
    <w:rsid w:val="00136E25"/>
    <w:rsid w:val="001404A0"/>
    <w:rsid w:val="001411ED"/>
    <w:rsid w:val="00143400"/>
    <w:rsid w:val="0014341B"/>
    <w:rsid w:val="00144171"/>
    <w:rsid w:val="00145050"/>
    <w:rsid w:val="00145731"/>
    <w:rsid w:val="00146C34"/>
    <w:rsid w:val="001527B6"/>
    <w:rsid w:val="00153003"/>
    <w:rsid w:val="0015375D"/>
    <w:rsid w:val="001576A0"/>
    <w:rsid w:val="00160762"/>
    <w:rsid w:val="00161898"/>
    <w:rsid w:val="00161FE9"/>
    <w:rsid w:val="00162CC7"/>
    <w:rsid w:val="00165330"/>
    <w:rsid w:val="00167409"/>
    <w:rsid w:val="00171403"/>
    <w:rsid w:val="0017162E"/>
    <w:rsid w:val="00171C2E"/>
    <w:rsid w:val="0017264E"/>
    <w:rsid w:val="001732CF"/>
    <w:rsid w:val="00176F4E"/>
    <w:rsid w:val="001816E9"/>
    <w:rsid w:val="001963B6"/>
    <w:rsid w:val="001A3915"/>
    <w:rsid w:val="001A4295"/>
    <w:rsid w:val="001A6653"/>
    <w:rsid w:val="001B14B9"/>
    <w:rsid w:val="001B3245"/>
    <w:rsid w:val="001B4EF1"/>
    <w:rsid w:val="001B7462"/>
    <w:rsid w:val="001C79B6"/>
    <w:rsid w:val="001D0974"/>
    <w:rsid w:val="001F29AF"/>
    <w:rsid w:val="001F561C"/>
    <w:rsid w:val="001F590D"/>
    <w:rsid w:val="001F6006"/>
    <w:rsid w:val="002048C8"/>
    <w:rsid w:val="00205575"/>
    <w:rsid w:val="00210F25"/>
    <w:rsid w:val="00211BF4"/>
    <w:rsid w:val="0021518D"/>
    <w:rsid w:val="002157F4"/>
    <w:rsid w:val="00215B40"/>
    <w:rsid w:val="0022187F"/>
    <w:rsid w:val="002224A2"/>
    <w:rsid w:val="00227097"/>
    <w:rsid w:val="00232DAC"/>
    <w:rsid w:val="002352B3"/>
    <w:rsid w:val="00236A92"/>
    <w:rsid w:val="00242967"/>
    <w:rsid w:val="002446A2"/>
    <w:rsid w:val="002455B4"/>
    <w:rsid w:val="00245696"/>
    <w:rsid w:val="00246120"/>
    <w:rsid w:val="00247D62"/>
    <w:rsid w:val="00250E91"/>
    <w:rsid w:val="00253F54"/>
    <w:rsid w:val="00254AFF"/>
    <w:rsid w:val="0025711D"/>
    <w:rsid w:val="00264986"/>
    <w:rsid w:val="00264FFD"/>
    <w:rsid w:val="0027181B"/>
    <w:rsid w:val="0027427D"/>
    <w:rsid w:val="00274CA8"/>
    <w:rsid w:val="00276AB9"/>
    <w:rsid w:val="00280EDE"/>
    <w:rsid w:val="00290B71"/>
    <w:rsid w:val="00292C88"/>
    <w:rsid w:val="00293284"/>
    <w:rsid w:val="00294801"/>
    <w:rsid w:val="00295592"/>
    <w:rsid w:val="00295FAF"/>
    <w:rsid w:val="00297C5A"/>
    <w:rsid w:val="002A2F9C"/>
    <w:rsid w:val="002A78FF"/>
    <w:rsid w:val="002B0EF9"/>
    <w:rsid w:val="002B1851"/>
    <w:rsid w:val="002B3ACC"/>
    <w:rsid w:val="002B51A9"/>
    <w:rsid w:val="002B6877"/>
    <w:rsid w:val="002C1E3C"/>
    <w:rsid w:val="002C36B0"/>
    <w:rsid w:val="002C5BB9"/>
    <w:rsid w:val="002C6BE3"/>
    <w:rsid w:val="002D4426"/>
    <w:rsid w:val="002D4AA3"/>
    <w:rsid w:val="002D4AB1"/>
    <w:rsid w:val="002D4C01"/>
    <w:rsid w:val="002D64A9"/>
    <w:rsid w:val="002D675E"/>
    <w:rsid w:val="002D7DE6"/>
    <w:rsid w:val="002E0A83"/>
    <w:rsid w:val="002E0AF2"/>
    <w:rsid w:val="002F4319"/>
    <w:rsid w:val="003057E4"/>
    <w:rsid w:val="00307F6F"/>
    <w:rsid w:val="00310A23"/>
    <w:rsid w:val="003133E9"/>
    <w:rsid w:val="00313C8C"/>
    <w:rsid w:val="003159D3"/>
    <w:rsid w:val="00316557"/>
    <w:rsid w:val="00316663"/>
    <w:rsid w:val="0032301A"/>
    <w:rsid w:val="00324065"/>
    <w:rsid w:val="00324A0E"/>
    <w:rsid w:val="003268A7"/>
    <w:rsid w:val="00326EE9"/>
    <w:rsid w:val="003279A8"/>
    <w:rsid w:val="00331AE0"/>
    <w:rsid w:val="00332BEF"/>
    <w:rsid w:val="00334372"/>
    <w:rsid w:val="00335B9D"/>
    <w:rsid w:val="00337B0F"/>
    <w:rsid w:val="00340F4E"/>
    <w:rsid w:val="00340FA1"/>
    <w:rsid w:val="0034371A"/>
    <w:rsid w:val="00345C34"/>
    <w:rsid w:val="00356361"/>
    <w:rsid w:val="00356EA7"/>
    <w:rsid w:val="003571F6"/>
    <w:rsid w:val="003600A7"/>
    <w:rsid w:val="003667A2"/>
    <w:rsid w:val="003718A5"/>
    <w:rsid w:val="00371917"/>
    <w:rsid w:val="003726D0"/>
    <w:rsid w:val="00373CFE"/>
    <w:rsid w:val="00374725"/>
    <w:rsid w:val="00375323"/>
    <w:rsid w:val="00377782"/>
    <w:rsid w:val="003827B6"/>
    <w:rsid w:val="00386DD0"/>
    <w:rsid w:val="00386E93"/>
    <w:rsid w:val="003875D2"/>
    <w:rsid w:val="003904D1"/>
    <w:rsid w:val="00392F86"/>
    <w:rsid w:val="003937B0"/>
    <w:rsid w:val="00393B6B"/>
    <w:rsid w:val="00393DA6"/>
    <w:rsid w:val="003A73CA"/>
    <w:rsid w:val="003A760C"/>
    <w:rsid w:val="003B4C5F"/>
    <w:rsid w:val="003B755F"/>
    <w:rsid w:val="003C01B0"/>
    <w:rsid w:val="003C2B20"/>
    <w:rsid w:val="003C685C"/>
    <w:rsid w:val="003D1267"/>
    <w:rsid w:val="003D13E5"/>
    <w:rsid w:val="003D1F7E"/>
    <w:rsid w:val="003D37A6"/>
    <w:rsid w:val="003D4E6B"/>
    <w:rsid w:val="003D4FEE"/>
    <w:rsid w:val="003D56BC"/>
    <w:rsid w:val="003E428F"/>
    <w:rsid w:val="003E534B"/>
    <w:rsid w:val="003E5640"/>
    <w:rsid w:val="003F307F"/>
    <w:rsid w:val="003F484C"/>
    <w:rsid w:val="003F6FD1"/>
    <w:rsid w:val="00400B09"/>
    <w:rsid w:val="00401A5D"/>
    <w:rsid w:val="00404B3C"/>
    <w:rsid w:val="00406FCF"/>
    <w:rsid w:val="00415729"/>
    <w:rsid w:val="00415BEA"/>
    <w:rsid w:val="00423694"/>
    <w:rsid w:val="00424F45"/>
    <w:rsid w:val="0042558E"/>
    <w:rsid w:val="0043343E"/>
    <w:rsid w:val="00434BC8"/>
    <w:rsid w:val="00437721"/>
    <w:rsid w:val="00437CBB"/>
    <w:rsid w:val="00441785"/>
    <w:rsid w:val="00443B3D"/>
    <w:rsid w:val="0045025A"/>
    <w:rsid w:val="00452997"/>
    <w:rsid w:val="004547C9"/>
    <w:rsid w:val="00454982"/>
    <w:rsid w:val="004569C7"/>
    <w:rsid w:val="00457269"/>
    <w:rsid w:val="0046027B"/>
    <w:rsid w:val="00465193"/>
    <w:rsid w:val="00465260"/>
    <w:rsid w:val="00467327"/>
    <w:rsid w:val="00473B6A"/>
    <w:rsid w:val="004751D3"/>
    <w:rsid w:val="00480EFE"/>
    <w:rsid w:val="0048248E"/>
    <w:rsid w:val="004843E6"/>
    <w:rsid w:val="004844C4"/>
    <w:rsid w:val="00485FB5"/>
    <w:rsid w:val="004863E2"/>
    <w:rsid w:val="004872E8"/>
    <w:rsid w:val="00492AC7"/>
    <w:rsid w:val="00493B2E"/>
    <w:rsid w:val="0049511E"/>
    <w:rsid w:val="004A01BA"/>
    <w:rsid w:val="004A2BFB"/>
    <w:rsid w:val="004A2C01"/>
    <w:rsid w:val="004A2CC0"/>
    <w:rsid w:val="004A43BF"/>
    <w:rsid w:val="004A48C7"/>
    <w:rsid w:val="004B2F2F"/>
    <w:rsid w:val="004B55EF"/>
    <w:rsid w:val="004B64BD"/>
    <w:rsid w:val="004C2165"/>
    <w:rsid w:val="004C3367"/>
    <w:rsid w:val="004C36C3"/>
    <w:rsid w:val="004C3864"/>
    <w:rsid w:val="004C5F6D"/>
    <w:rsid w:val="004D3059"/>
    <w:rsid w:val="004D40BE"/>
    <w:rsid w:val="004D5628"/>
    <w:rsid w:val="004D7177"/>
    <w:rsid w:val="004D755E"/>
    <w:rsid w:val="004E45C1"/>
    <w:rsid w:val="004F371F"/>
    <w:rsid w:val="004F5685"/>
    <w:rsid w:val="004F668F"/>
    <w:rsid w:val="005015BB"/>
    <w:rsid w:val="00503329"/>
    <w:rsid w:val="00506625"/>
    <w:rsid w:val="00510B7A"/>
    <w:rsid w:val="00513F79"/>
    <w:rsid w:val="0051625E"/>
    <w:rsid w:val="00516F94"/>
    <w:rsid w:val="0052066E"/>
    <w:rsid w:val="00521597"/>
    <w:rsid w:val="00521EA1"/>
    <w:rsid w:val="005223CD"/>
    <w:rsid w:val="005231D7"/>
    <w:rsid w:val="00523BEF"/>
    <w:rsid w:val="005257EA"/>
    <w:rsid w:val="00526CFE"/>
    <w:rsid w:val="00530256"/>
    <w:rsid w:val="00540F53"/>
    <w:rsid w:val="00543412"/>
    <w:rsid w:val="005435B6"/>
    <w:rsid w:val="00544BFF"/>
    <w:rsid w:val="00546878"/>
    <w:rsid w:val="005477A6"/>
    <w:rsid w:val="00552B98"/>
    <w:rsid w:val="0056108A"/>
    <w:rsid w:val="00561147"/>
    <w:rsid w:val="0056167F"/>
    <w:rsid w:val="00561EBE"/>
    <w:rsid w:val="005623A9"/>
    <w:rsid w:val="00565C71"/>
    <w:rsid w:val="00571F6B"/>
    <w:rsid w:val="00572782"/>
    <w:rsid w:val="0057333E"/>
    <w:rsid w:val="00576A7E"/>
    <w:rsid w:val="005812DA"/>
    <w:rsid w:val="005817C1"/>
    <w:rsid w:val="00583191"/>
    <w:rsid w:val="005839F1"/>
    <w:rsid w:val="0058401A"/>
    <w:rsid w:val="00585ECC"/>
    <w:rsid w:val="0058759D"/>
    <w:rsid w:val="00591538"/>
    <w:rsid w:val="00591AA1"/>
    <w:rsid w:val="00594085"/>
    <w:rsid w:val="005A14DC"/>
    <w:rsid w:val="005A6A74"/>
    <w:rsid w:val="005B0DC8"/>
    <w:rsid w:val="005B121B"/>
    <w:rsid w:val="005B1726"/>
    <w:rsid w:val="005B7B66"/>
    <w:rsid w:val="005C2041"/>
    <w:rsid w:val="005C4613"/>
    <w:rsid w:val="005C559F"/>
    <w:rsid w:val="005D13B1"/>
    <w:rsid w:val="005D248D"/>
    <w:rsid w:val="005D3B88"/>
    <w:rsid w:val="005E024F"/>
    <w:rsid w:val="005E1440"/>
    <w:rsid w:val="005E63AD"/>
    <w:rsid w:val="005E700B"/>
    <w:rsid w:val="005F2215"/>
    <w:rsid w:val="005F367E"/>
    <w:rsid w:val="005F48DF"/>
    <w:rsid w:val="00601A53"/>
    <w:rsid w:val="0060506C"/>
    <w:rsid w:val="0061340D"/>
    <w:rsid w:val="00613F8E"/>
    <w:rsid w:val="006165F8"/>
    <w:rsid w:val="00616888"/>
    <w:rsid w:val="00620A68"/>
    <w:rsid w:val="00620F3F"/>
    <w:rsid w:val="0062202A"/>
    <w:rsid w:val="00624079"/>
    <w:rsid w:val="006253DC"/>
    <w:rsid w:val="0063088D"/>
    <w:rsid w:val="00630B81"/>
    <w:rsid w:val="00632E6F"/>
    <w:rsid w:val="00634F53"/>
    <w:rsid w:val="0063572B"/>
    <w:rsid w:val="00643B97"/>
    <w:rsid w:val="0064584C"/>
    <w:rsid w:val="006500D6"/>
    <w:rsid w:val="00650444"/>
    <w:rsid w:val="00654E22"/>
    <w:rsid w:val="00655492"/>
    <w:rsid w:val="00655E5A"/>
    <w:rsid w:val="00660B85"/>
    <w:rsid w:val="00664CBF"/>
    <w:rsid w:val="00666B05"/>
    <w:rsid w:val="006674E9"/>
    <w:rsid w:val="00667702"/>
    <w:rsid w:val="00670214"/>
    <w:rsid w:val="006747DF"/>
    <w:rsid w:val="006749F4"/>
    <w:rsid w:val="0067710C"/>
    <w:rsid w:val="00683BAA"/>
    <w:rsid w:val="00684F19"/>
    <w:rsid w:val="006921D9"/>
    <w:rsid w:val="006927F3"/>
    <w:rsid w:val="006964AD"/>
    <w:rsid w:val="006A048F"/>
    <w:rsid w:val="006A21BF"/>
    <w:rsid w:val="006A3383"/>
    <w:rsid w:val="006B3519"/>
    <w:rsid w:val="006B630D"/>
    <w:rsid w:val="006B7E44"/>
    <w:rsid w:val="006C281A"/>
    <w:rsid w:val="006C6A19"/>
    <w:rsid w:val="006D0CCF"/>
    <w:rsid w:val="006D0D9F"/>
    <w:rsid w:val="006D647F"/>
    <w:rsid w:val="006E1312"/>
    <w:rsid w:val="006E307D"/>
    <w:rsid w:val="006E38DD"/>
    <w:rsid w:val="006E456A"/>
    <w:rsid w:val="006E5790"/>
    <w:rsid w:val="006E68BC"/>
    <w:rsid w:val="006F10B7"/>
    <w:rsid w:val="006F12A5"/>
    <w:rsid w:val="006F28D9"/>
    <w:rsid w:val="006F3818"/>
    <w:rsid w:val="007010BE"/>
    <w:rsid w:val="007029A3"/>
    <w:rsid w:val="007066C1"/>
    <w:rsid w:val="007113DF"/>
    <w:rsid w:val="00713C5A"/>
    <w:rsid w:val="00714450"/>
    <w:rsid w:val="0071674D"/>
    <w:rsid w:val="007176CB"/>
    <w:rsid w:val="007179C9"/>
    <w:rsid w:val="00722B4B"/>
    <w:rsid w:val="00723362"/>
    <w:rsid w:val="00724A4E"/>
    <w:rsid w:val="00724EFD"/>
    <w:rsid w:val="00726D6C"/>
    <w:rsid w:val="007276AD"/>
    <w:rsid w:val="00730C90"/>
    <w:rsid w:val="0073153C"/>
    <w:rsid w:val="0073518A"/>
    <w:rsid w:val="00737077"/>
    <w:rsid w:val="007374F2"/>
    <w:rsid w:val="00737AAC"/>
    <w:rsid w:val="00737B78"/>
    <w:rsid w:val="007505C8"/>
    <w:rsid w:val="00753709"/>
    <w:rsid w:val="00754BE5"/>
    <w:rsid w:val="007551A3"/>
    <w:rsid w:val="00757169"/>
    <w:rsid w:val="00763B7F"/>
    <w:rsid w:val="00764D02"/>
    <w:rsid w:val="00770CD8"/>
    <w:rsid w:val="0077153C"/>
    <w:rsid w:val="00773D89"/>
    <w:rsid w:val="00773F1C"/>
    <w:rsid w:val="00775432"/>
    <w:rsid w:val="00776725"/>
    <w:rsid w:val="00776A54"/>
    <w:rsid w:val="00782D25"/>
    <w:rsid w:val="00783726"/>
    <w:rsid w:val="00784D0A"/>
    <w:rsid w:val="00784DDE"/>
    <w:rsid w:val="00785409"/>
    <w:rsid w:val="0078674A"/>
    <w:rsid w:val="0078723E"/>
    <w:rsid w:val="007942F9"/>
    <w:rsid w:val="00796D11"/>
    <w:rsid w:val="007A1FCB"/>
    <w:rsid w:val="007A2D17"/>
    <w:rsid w:val="007A4E52"/>
    <w:rsid w:val="007A5617"/>
    <w:rsid w:val="007A5C07"/>
    <w:rsid w:val="007B1AD2"/>
    <w:rsid w:val="007B2FF0"/>
    <w:rsid w:val="007B3D45"/>
    <w:rsid w:val="007B438F"/>
    <w:rsid w:val="007C1509"/>
    <w:rsid w:val="007C77BC"/>
    <w:rsid w:val="007D029F"/>
    <w:rsid w:val="007D35D1"/>
    <w:rsid w:val="007E38F2"/>
    <w:rsid w:val="007E3A1D"/>
    <w:rsid w:val="007E5475"/>
    <w:rsid w:val="007E6E94"/>
    <w:rsid w:val="007F0D0F"/>
    <w:rsid w:val="007F1EE7"/>
    <w:rsid w:val="007F2728"/>
    <w:rsid w:val="007F3F69"/>
    <w:rsid w:val="007F47B1"/>
    <w:rsid w:val="007F4854"/>
    <w:rsid w:val="007F49C8"/>
    <w:rsid w:val="007F560C"/>
    <w:rsid w:val="00800AB6"/>
    <w:rsid w:val="008034EE"/>
    <w:rsid w:val="00805008"/>
    <w:rsid w:val="008065BF"/>
    <w:rsid w:val="0080775F"/>
    <w:rsid w:val="00812599"/>
    <w:rsid w:val="00812A72"/>
    <w:rsid w:val="008141A2"/>
    <w:rsid w:val="00817030"/>
    <w:rsid w:val="00822269"/>
    <w:rsid w:val="008260B9"/>
    <w:rsid w:val="008314BF"/>
    <w:rsid w:val="00832D9F"/>
    <w:rsid w:val="00835944"/>
    <w:rsid w:val="0083748B"/>
    <w:rsid w:val="00841597"/>
    <w:rsid w:val="00843A58"/>
    <w:rsid w:val="00843FF0"/>
    <w:rsid w:val="008454BC"/>
    <w:rsid w:val="00845DD2"/>
    <w:rsid w:val="00850598"/>
    <w:rsid w:val="00855CDE"/>
    <w:rsid w:val="008607DE"/>
    <w:rsid w:val="00864331"/>
    <w:rsid w:val="00865A6C"/>
    <w:rsid w:val="00866083"/>
    <w:rsid w:val="00870599"/>
    <w:rsid w:val="00872021"/>
    <w:rsid w:val="0087349D"/>
    <w:rsid w:val="008739BD"/>
    <w:rsid w:val="008740FA"/>
    <w:rsid w:val="00876FBE"/>
    <w:rsid w:val="00877474"/>
    <w:rsid w:val="00880925"/>
    <w:rsid w:val="00881A08"/>
    <w:rsid w:val="0088503D"/>
    <w:rsid w:val="008866A2"/>
    <w:rsid w:val="00891798"/>
    <w:rsid w:val="008924C4"/>
    <w:rsid w:val="00892D33"/>
    <w:rsid w:val="0089720A"/>
    <w:rsid w:val="008A19EB"/>
    <w:rsid w:val="008A3FD9"/>
    <w:rsid w:val="008A47E2"/>
    <w:rsid w:val="008B043F"/>
    <w:rsid w:val="008B1579"/>
    <w:rsid w:val="008B3D1F"/>
    <w:rsid w:val="008B53F3"/>
    <w:rsid w:val="008D181C"/>
    <w:rsid w:val="008D19F8"/>
    <w:rsid w:val="008D1DFC"/>
    <w:rsid w:val="008D38F9"/>
    <w:rsid w:val="008D4F03"/>
    <w:rsid w:val="008E2EF2"/>
    <w:rsid w:val="008E4529"/>
    <w:rsid w:val="008E7C1E"/>
    <w:rsid w:val="008F33F3"/>
    <w:rsid w:val="008F3A54"/>
    <w:rsid w:val="0090128C"/>
    <w:rsid w:val="009036C8"/>
    <w:rsid w:val="009054E4"/>
    <w:rsid w:val="00906D16"/>
    <w:rsid w:val="00907130"/>
    <w:rsid w:val="0090724E"/>
    <w:rsid w:val="00907D6C"/>
    <w:rsid w:val="00911D17"/>
    <w:rsid w:val="009124B8"/>
    <w:rsid w:val="009129FF"/>
    <w:rsid w:val="009135CE"/>
    <w:rsid w:val="009138A8"/>
    <w:rsid w:val="009149E4"/>
    <w:rsid w:val="00917290"/>
    <w:rsid w:val="009175D7"/>
    <w:rsid w:val="00917D9E"/>
    <w:rsid w:val="0092013F"/>
    <w:rsid w:val="00920433"/>
    <w:rsid w:val="00935837"/>
    <w:rsid w:val="00935A93"/>
    <w:rsid w:val="0094010A"/>
    <w:rsid w:val="009465E6"/>
    <w:rsid w:val="00951A97"/>
    <w:rsid w:val="00952AE6"/>
    <w:rsid w:val="00953CC9"/>
    <w:rsid w:val="00957BF8"/>
    <w:rsid w:val="00960084"/>
    <w:rsid w:val="00966E6C"/>
    <w:rsid w:val="009704A6"/>
    <w:rsid w:val="0097513F"/>
    <w:rsid w:val="00976C33"/>
    <w:rsid w:val="00977C36"/>
    <w:rsid w:val="009804D5"/>
    <w:rsid w:val="00981066"/>
    <w:rsid w:val="00985382"/>
    <w:rsid w:val="009855C1"/>
    <w:rsid w:val="009867D1"/>
    <w:rsid w:val="00987A76"/>
    <w:rsid w:val="00997318"/>
    <w:rsid w:val="009A04F6"/>
    <w:rsid w:val="009A0B28"/>
    <w:rsid w:val="009A50CD"/>
    <w:rsid w:val="009A62F3"/>
    <w:rsid w:val="009A67BD"/>
    <w:rsid w:val="009A7694"/>
    <w:rsid w:val="009B06C7"/>
    <w:rsid w:val="009B272C"/>
    <w:rsid w:val="009B6D17"/>
    <w:rsid w:val="009B6FCA"/>
    <w:rsid w:val="009C0DA0"/>
    <w:rsid w:val="009C3876"/>
    <w:rsid w:val="009D1DCE"/>
    <w:rsid w:val="009D2BF5"/>
    <w:rsid w:val="009D41AE"/>
    <w:rsid w:val="009D55DA"/>
    <w:rsid w:val="009D5BAC"/>
    <w:rsid w:val="009E1EF0"/>
    <w:rsid w:val="009F3377"/>
    <w:rsid w:val="009F49A5"/>
    <w:rsid w:val="009F4B26"/>
    <w:rsid w:val="009F74BD"/>
    <w:rsid w:val="00A00CBA"/>
    <w:rsid w:val="00A01B4B"/>
    <w:rsid w:val="00A02E98"/>
    <w:rsid w:val="00A039EF"/>
    <w:rsid w:val="00A066D6"/>
    <w:rsid w:val="00A10951"/>
    <w:rsid w:val="00A16B32"/>
    <w:rsid w:val="00A17DED"/>
    <w:rsid w:val="00A2025B"/>
    <w:rsid w:val="00A20E48"/>
    <w:rsid w:val="00A2288D"/>
    <w:rsid w:val="00A237D0"/>
    <w:rsid w:val="00A26C9A"/>
    <w:rsid w:val="00A37E16"/>
    <w:rsid w:val="00A41F85"/>
    <w:rsid w:val="00A43373"/>
    <w:rsid w:val="00A47215"/>
    <w:rsid w:val="00A515B5"/>
    <w:rsid w:val="00A53A36"/>
    <w:rsid w:val="00A54487"/>
    <w:rsid w:val="00A54F66"/>
    <w:rsid w:val="00A57F30"/>
    <w:rsid w:val="00A60D0B"/>
    <w:rsid w:val="00A6571E"/>
    <w:rsid w:val="00A718E9"/>
    <w:rsid w:val="00A800C7"/>
    <w:rsid w:val="00A8046F"/>
    <w:rsid w:val="00A920CF"/>
    <w:rsid w:val="00A94418"/>
    <w:rsid w:val="00AA32AC"/>
    <w:rsid w:val="00AA4203"/>
    <w:rsid w:val="00AA7113"/>
    <w:rsid w:val="00AA76A9"/>
    <w:rsid w:val="00AB2F1C"/>
    <w:rsid w:val="00AB3AE6"/>
    <w:rsid w:val="00AB4681"/>
    <w:rsid w:val="00AB667F"/>
    <w:rsid w:val="00AB6C53"/>
    <w:rsid w:val="00AC4352"/>
    <w:rsid w:val="00AC4B74"/>
    <w:rsid w:val="00AC70FF"/>
    <w:rsid w:val="00AC76CC"/>
    <w:rsid w:val="00AD0ECC"/>
    <w:rsid w:val="00AD14EC"/>
    <w:rsid w:val="00AD734C"/>
    <w:rsid w:val="00AE0B01"/>
    <w:rsid w:val="00AF1E4D"/>
    <w:rsid w:val="00AF3F8C"/>
    <w:rsid w:val="00AF5E11"/>
    <w:rsid w:val="00B0015F"/>
    <w:rsid w:val="00B02306"/>
    <w:rsid w:val="00B02B9A"/>
    <w:rsid w:val="00B03EEE"/>
    <w:rsid w:val="00B0429B"/>
    <w:rsid w:val="00B0528B"/>
    <w:rsid w:val="00B05575"/>
    <w:rsid w:val="00B0772D"/>
    <w:rsid w:val="00B10787"/>
    <w:rsid w:val="00B1631D"/>
    <w:rsid w:val="00B21485"/>
    <w:rsid w:val="00B21FD6"/>
    <w:rsid w:val="00B27768"/>
    <w:rsid w:val="00B277D1"/>
    <w:rsid w:val="00B3406E"/>
    <w:rsid w:val="00B35385"/>
    <w:rsid w:val="00B35AD1"/>
    <w:rsid w:val="00B505EB"/>
    <w:rsid w:val="00B52595"/>
    <w:rsid w:val="00B54E14"/>
    <w:rsid w:val="00B555A1"/>
    <w:rsid w:val="00B55C5B"/>
    <w:rsid w:val="00B56101"/>
    <w:rsid w:val="00B61FCF"/>
    <w:rsid w:val="00B636F4"/>
    <w:rsid w:val="00B653B0"/>
    <w:rsid w:val="00B658A9"/>
    <w:rsid w:val="00B704D5"/>
    <w:rsid w:val="00B710B6"/>
    <w:rsid w:val="00B75768"/>
    <w:rsid w:val="00B803B2"/>
    <w:rsid w:val="00B80E9F"/>
    <w:rsid w:val="00B90B15"/>
    <w:rsid w:val="00B9107A"/>
    <w:rsid w:val="00B93E17"/>
    <w:rsid w:val="00B9423C"/>
    <w:rsid w:val="00B96E0F"/>
    <w:rsid w:val="00BA4AD9"/>
    <w:rsid w:val="00BA5E8C"/>
    <w:rsid w:val="00BB762E"/>
    <w:rsid w:val="00BC69B9"/>
    <w:rsid w:val="00BD0BDE"/>
    <w:rsid w:val="00BD3078"/>
    <w:rsid w:val="00BD4FDE"/>
    <w:rsid w:val="00BD59AC"/>
    <w:rsid w:val="00BD5CA4"/>
    <w:rsid w:val="00BE0666"/>
    <w:rsid w:val="00BE0E0D"/>
    <w:rsid w:val="00BE3E1A"/>
    <w:rsid w:val="00BE4A80"/>
    <w:rsid w:val="00BE583A"/>
    <w:rsid w:val="00BE7EAE"/>
    <w:rsid w:val="00BF2232"/>
    <w:rsid w:val="00BF26F4"/>
    <w:rsid w:val="00BF4335"/>
    <w:rsid w:val="00BF672C"/>
    <w:rsid w:val="00BF6E1D"/>
    <w:rsid w:val="00BF77B2"/>
    <w:rsid w:val="00C0010D"/>
    <w:rsid w:val="00C05BB1"/>
    <w:rsid w:val="00C104C8"/>
    <w:rsid w:val="00C1110D"/>
    <w:rsid w:val="00C1209C"/>
    <w:rsid w:val="00C1382B"/>
    <w:rsid w:val="00C14C28"/>
    <w:rsid w:val="00C159F7"/>
    <w:rsid w:val="00C160AD"/>
    <w:rsid w:val="00C24B14"/>
    <w:rsid w:val="00C321E0"/>
    <w:rsid w:val="00C36F65"/>
    <w:rsid w:val="00C374B5"/>
    <w:rsid w:val="00C37A3C"/>
    <w:rsid w:val="00C40C13"/>
    <w:rsid w:val="00C40E59"/>
    <w:rsid w:val="00C44FCC"/>
    <w:rsid w:val="00C54B86"/>
    <w:rsid w:val="00C55F38"/>
    <w:rsid w:val="00C61FD3"/>
    <w:rsid w:val="00C62E03"/>
    <w:rsid w:val="00C65F96"/>
    <w:rsid w:val="00C71841"/>
    <w:rsid w:val="00C71E11"/>
    <w:rsid w:val="00C73D5C"/>
    <w:rsid w:val="00C7507A"/>
    <w:rsid w:val="00C76492"/>
    <w:rsid w:val="00C76A07"/>
    <w:rsid w:val="00C76DC7"/>
    <w:rsid w:val="00C77DF3"/>
    <w:rsid w:val="00C80014"/>
    <w:rsid w:val="00C808EE"/>
    <w:rsid w:val="00C81A1B"/>
    <w:rsid w:val="00C83CC9"/>
    <w:rsid w:val="00C8594B"/>
    <w:rsid w:val="00C87F80"/>
    <w:rsid w:val="00C91997"/>
    <w:rsid w:val="00C92094"/>
    <w:rsid w:val="00C923B8"/>
    <w:rsid w:val="00C924F6"/>
    <w:rsid w:val="00C94376"/>
    <w:rsid w:val="00C95981"/>
    <w:rsid w:val="00C97805"/>
    <w:rsid w:val="00CA09BF"/>
    <w:rsid w:val="00CA2571"/>
    <w:rsid w:val="00CA65DF"/>
    <w:rsid w:val="00CA7073"/>
    <w:rsid w:val="00CC1CC5"/>
    <w:rsid w:val="00CC4313"/>
    <w:rsid w:val="00CC5444"/>
    <w:rsid w:val="00CD22D1"/>
    <w:rsid w:val="00CD2EBA"/>
    <w:rsid w:val="00CD4D91"/>
    <w:rsid w:val="00CD7D65"/>
    <w:rsid w:val="00CE00E6"/>
    <w:rsid w:val="00CE1101"/>
    <w:rsid w:val="00CE2778"/>
    <w:rsid w:val="00CE2F05"/>
    <w:rsid w:val="00CE35E5"/>
    <w:rsid w:val="00CE57BC"/>
    <w:rsid w:val="00CF1B33"/>
    <w:rsid w:val="00D01B3A"/>
    <w:rsid w:val="00D02B32"/>
    <w:rsid w:val="00D03937"/>
    <w:rsid w:val="00D0422E"/>
    <w:rsid w:val="00D14BBA"/>
    <w:rsid w:val="00D15404"/>
    <w:rsid w:val="00D24113"/>
    <w:rsid w:val="00D24444"/>
    <w:rsid w:val="00D24B27"/>
    <w:rsid w:val="00D27AB7"/>
    <w:rsid w:val="00D27CBC"/>
    <w:rsid w:val="00D30475"/>
    <w:rsid w:val="00D305B6"/>
    <w:rsid w:val="00D31280"/>
    <w:rsid w:val="00D31F6B"/>
    <w:rsid w:val="00D33036"/>
    <w:rsid w:val="00D353B3"/>
    <w:rsid w:val="00D41973"/>
    <w:rsid w:val="00D471BB"/>
    <w:rsid w:val="00D47D33"/>
    <w:rsid w:val="00D501B9"/>
    <w:rsid w:val="00D56061"/>
    <w:rsid w:val="00D61594"/>
    <w:rsid w:val="00D63AA5"/>
    <w:rsid w:val="00D65E50"/>
    <w:rsid w:val="00D671EC"/>
    <w:rsid w:val="00D700FE"/>
    <w:rsid w:val="00D701E0"/>
    <w:rsid w:val="00D71E77"/>
    <w:rsid w:val="00D722EE"/>
    <w:rsid w:val="00D73253"/>
    <w:rsid w:val="00D80061"/>
    <w:rsid w:val="00D813B5"/>
    <w:rsid w:val="00D84ECF"/>
    <w:rsid w:val="00D878FB"/>
    <w:rsid w:val="00D915B1"/>
    <w:rsid w:val="00D924BD"/>
    <w:rsid w:val="00D95BD8"/>
    <w:rsid w:val="00D97E44"/>
    <w:rsid w:val="00DA02E4"/>
    <w:rsid w:val="00DA25F3"/>
    <w:rsid w:val="00DA37BA"/>
    <w:rsid w:val="00DA5FD8"/>
    <w:rsid w:val="00DA7074"/>
    <w:rsid w:val="00DB3866"/>
    <w:rsid w:val="00DB4CCA"/>
    <w:rsid w:val="00DB5322"/>
    <w:rsid w:val="00DB5B43"/>
    <w:rsid w:val="00DC15C8"/>
    <w:rsid w:val="00DC56B9"/>
    <w:rsid w:val="00DC57A4"/>
    <w:rsid w:val="00DC5DAD"/>
    <w:rsid w:val="00DC658E"/>
    <w:rsid w:val="00DD429B"/>
    <w:rsid w:val="00DD504C"/>
    <w:rsid w:val="00DE3EC7"/>
    <w:rsid w:val="00DE4083"/>
    <w:rsid w:val="00DE7B5F"/>
    <w:rsid w:val="00DF1298"/>
    <w:rsid w:val="00DF1E40"/>
    <w:rsid w:val="00DF202F"/>
    <w:rsid w:val="00DF2A28"/>
    <w:rsid w:val="00DF39BD"/>
    <w:rsid w:val="00E01DF2"/>
    <w:rsid w:val="00E04A3A"/>
    <w:rsid w:val="00E06019"/>
    <w:rsid w:val="00E10DB1"/>
    <w:rsid w:val="00E12BC6"/>
    <w:rsid w:val="00E15D7A"/>
    <w:rsid w:val="00E16B97"/>
    <w:rsid w:val="00E2019C"/>
    <w:rsid w:val="00E238DB"/>
    <w:rsid w:val="00E273EB"/>
    <w:rsid w:val="00E2786F"/>
    <w:rsid w:val="00E31579"/>
    <w:rsid w:val="00E31D06"/>
    <w:rsid w:val="00E31F5C"/>
    <w:rsid w:val="00E33DD5"/>
    <w:rsid w:val="00E3525C"/>
    <w:rsid w:val="00E357D3"/>
    <w:rsid w:val="00E3778C"/>
    <w:rsid w:val="00E4004D"/>
    <w:rsid w:val="00E429EE"/>
    <w:rsid w:val="00E43601"/>
    <w:rsid w:val="00E442B7"/>
    <w:rsid w:val="00E4560B"/>
    <w:rsid w:val="00E45D6E"/>
    <w:rsid w:val="00E54648"/>
    <w:rsid w:val="00E54AFC"/>
    <w:rsid w:val="00E54B24"/>
    <w:rsid w:val="00E54D11"/>
    <w:rsid w:val="00E55365"/>
    <w:rsid w:val="00E63430"/>
    <w:rsid w:val="00E63802"/>
    <w:rsid w:val="00E67EA9"/>
    <w:rsid w:val="00E73440"/>
    <w:rsid w:val="00E73D45"/>
    <w:rsid w:val="00E75718"/>
    <w:rsid w:val="00E7763B"/>
    <w:rsid w:val="00E84170"/>
    <w:rsid w:val="00E93257"/>
    <w:rsid w:val="00E95947"/>
    <w:rsid w:val="00EA0762"/>
    <w:rsid w:val="00EA255B"/>
    <w:rsid w:val="00EA7288"/>
    <w:rsid w:val="00EB349C"/>
    <w:rsid w:val="00EC0AAE"/>
    <w:rsid w:val="00EC198C"/>
    <w:rsid w:val="00EC3695"/>
    <w:rsid w:val="00EC3C08"/>
    <w:rsid w:val="00EC45C7"/>
    <w:rsid w:val="00EC56A4"/>
    <w:rsid w:val="00EC7520"/>
    <w:rsid w:val="00EC7591"/>
    <w:rsid w:val="00ED33D0"/>
    <w:rsid w:val="00ED4A0C"/>
    <w:rsid w:val="00ED4E97"/>
    <w:rsid w:val="00ED4F19"/>
    <w:rsid w:val="00ED4FB5"/>
    <w:rsid w:val="00ED5B3D"/>
    <w:rsid w:val="00EE2D73"/>
    <w:rsid w:val="00EE323F"/>
    <w:rsid w:val="00EE4946"/>
    <w:rsid w:val="00EE68EE"/>
    <w:rsid w:val="00EF1ACA"/>
    <w:rsid w:val="00EF2AF9"/>
    <w:rsid w:val="00F0287D"/>
    <w:rsid w:val="00F04567"/>
    <w:rsid w:val="00F125D9"/>
    <w:rsid w:val="00F12F75"/>
    <w:rsid w:val="00F13331"/>
    <w:rsid w:val="00F13F5C"/>
    <w:rsid w:val="00F147A5"/>
    <w:rsid w:val="00F14F07"/>
    <w:rsid w:val="00F16C64"/>
    <w:rsid w:val="00F205A5"/>
    <w:rsid w:val="00F20E67"/>
    <w:rsid w:val="00F2226D"/>
    <w:rsid w:val="00F23270"/>
    <w:rsid w:val="00F27B91"/>
    <w:rsid w:val="00F31403"/>
    <w:rsid w:val="00F31F95"/>
    <w:rsid w:val="00F36497"/>
    <w:rsid w:val="00F410ED"/>
    <w:rsid w:val="00F43CA8"/>
    <w:rsid w:val="00F44181"/>
    <w:rsid w:val="00F45BFB"/>
    <w:rsid w:val="00F506AD"/>
    <w:rsid w:val="00F521E2"/>
    <w:rsid w:val="00F57EA5"/>
    <w:rsid w:val="00F6057E"/>
    <w:rsid w:val="00F6444B"/>
    <w:rsid w:val="00F64909"/>
    <w:rsid w:val="00F67249"/>
    <w:rsid w:val="00F71B2E"/>
    <w:rsid w:val="00F72BCE"/>
    <w:rsid w:val="00F76C15"/>
    <w:rsid w:val="00F8023C"/>
    <w:rsid w:val="00F820FA"/>
    <w:rsid w:val="00F821AD"/>
    <w:rsid w:val="00F84526"/>
    <w:rsid w:val="00F85336"/>
    <w:rsid w:val="00F94314"/>
    <w:rsid w:val="00F94720"/>
    <w:rsid w:val="00F94829"/>
    <w:rsid w:val="00FA7C93"/>
    <w:rsid w:val="00FC3CDF"/>
    <w:rsid w:val="00FC45DC"/>
    <w:rsid w:val="00FC4D2B"/>
    <w:rsid w:val="00FD189F"/>
    <w:rsid w:val="00FE0BA1"/>
    <w:rsid w:val="00FE5CF9"/>
    <w:rsid w:val="00FE63B3"/>
    <w:rsid w:val="00FE6D31"/>
    <w:rsid w:val="00FF2C3F"/>
    <w:rsid w:val="00FF2FF0"/>
    <w:rsid w:val="00FF4ED3"/>
    <w:rsid w:val="00FF4FCE"/>
    <w:rsid w:val="00FF79F1"/>
    <w:rsid w:val="3F977BCF"/>
    <w:rsid w:val="589C39A4"/>
    <w:rsid w:val="5C9C4A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9"/>
    <w:pPr>
      <w:widowControl/>
      <w:spacing w:before="100" w:beforeAutospacing="1" w:after="100" w:afterAutospacing="1"/>
      <w:jc w:val="left"/>
      <w:outlineLvl w:val="0"/>
    </w:pPr>
    <w:rPr>
      <w:rFonts w:ascii="宋体" w:hAnsi="宋体" w:eastAsia="黑体"/>
      <w:bCs/>
      <w:kern w:val="36"/>
      <w:sz w:val="36"/>
      <w:szCs w:val="48"/>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semiHidden/>
    <w:unhideWhenUsed/>
    <w:qFormat/>
    <w:uiPriority w:val="99"/>
    <w:rPr>
      <w:rFonts w:ascii="宋体"/>
      <w:sz w:val="18"/>
      <w:szCs w:val="18"/>
    </w:rPr>
  </w:style>
  <w:style w:type="paragraph" w:styleId="6">
    <w:name w:val="annotation text"/>
    <w:basedOn w:val="1"/>
    <w:link w:val="36"/>
    <w:semiHidden/>
    <w:unhideWhenUsed/>
    <w:qFormat/>
    <w:uiPriority w:val="99"/>
    <w:pPr>
      <w:jc w:val="left"/>
    </w:pPr>
  </w:style>
  <w:style w:type="paragraph" w:styleId="7">
    <w:name w:val="Body Text Indent"/>
    <w:basedOn w:val="1"/>
    <w:link w:val="26"/>
    <w:unhideWhenUsed/>
    <w:uiPriority w:val="99"/>
    <w:pPr>
      <w:spacing w:after="120"/>
      <w:ind w:left="420" w:leftChars="200"/>
    </w:pPr>
    <w:rPr>
      <w:rFonts w:ascii="Times New Roman" w:hAnsi="Times New Roman" w:eastAsiaTheme="minorEastAsia" w:cstheme="minorBidi"/>
    </w:rPr>
  </w:style>
  <w:style w:type="paragraph" w:styleId="8">
    <w:name w:val="toc 3"/>
    <w:basedOn w:val="1"/>
    <w:next w:val="1"/>
    <w:unhideWhenUsed/>
    <w:qFormat/>
    <w:uiPriority w:val="39"/>
    <w:pPr>
      <w:ind w:left="840" w:leftChars="400"/>
    </w:pPr>
    <w:rPr>
      <w:rFonts w:eastAsia="黑体"/>
    </w:rPr>
  </w:style>
  <w:style w:type="paragraph" w:styleId="9">
    <w:name w:val="Balloon Text"/>
    <w:basedOn w:val="1"/>
    <w:link w:val="28"/>
    <w:semiHidden/>
    <w:unhideWhenUsed/>
    <w:qFormat/>
    <w:uiPriority w:val="99"/>
    <w:rPr>
      <w:sz w:val="18"/>
      <w:szCs w:val="18"/>
    </w:rPr>
  </w:style>
  <w:style w:type="paragraph" w:styleId="10">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方正仿宋_GBK"/>
      <w:b/>
      <w:sz w:val="24"/>
      <w:szCs w:val="20"/>
    </w:rPr>
  </w:style>
  <w:style w:type="paragraph" w:styleId="13">
    <w:name w:val="footnote text"/>
    <w:basedOn w:val="1"/>
    <w:link w:val="29"/>
    <w:unhideWhenUsed/>
    <w:qFormat/>
    <w:uiPriority w:val="99"/>
    <w:pPr>
      <w:snapToGrid w:val="0"/>
      <w:jc w:val="left"/>
    </w:pPr>
    <w:rPr>
      <w:rFonts w:ascii="Times New Roman" w:hAnsi="Times New Roman" w:eastAsiaTheme="minorEastAsia" w:cstheme="minorBidi"/>
      <w:sz w:val="18"/>
      <w:szCs w:val="18"/>
    </w:rPr>
  </w:style>
  <w:style w:type="paragraph" w:styleId="14">
    <w:name w:val="toc 2"/>
    <w:basedOn w:val="1"/>
    <w:next w:val="1"/>
    <w:unhideWhenUsed/>
    <w:qFormat/>
    <w:uiPriority w:val="39"/>
    <w:pPr>
      <w:ind w:left="420" w:leftChars="200"/>
    </w:pPr>
    <w:rPr>
      <w:rFonts w:eastAsia="方正仿宋_GBK"/>
    </w:rPr>
  </w:style>
  <w:style w:type="paragraph" w:styleId="15">
    <w:name w:val="Normal (Web)"/>
    <w:basedOn w:val="1"/>
    <w:qFormat/>
    <w:uiPriority w:val="99"/>
    <w:pPr>
      <w:widowControl/>
      <w:spacing w:before="100" w:beforeAutospacing="1" w:after="100" w:afterAutospacing="1"/>
      <w:jc w:val="left"/>
    </w:pPr>
    <w:rPr>
      <w:rFonts w:ascii="微软雅黑" w:hAnsi="Times New Roman" w:eastAsia="微软雅黑"/>
      <w:kern w:val="0"/>
      <w:sz w:val="24"/>
      <w:szCs w:val="24"/>
    </w:rPr>
  </w:style>
  <w:style w:type="paragraph" w:styleId="16">
    <w:name w:val="annotation subject"/>
    <w:basedOn w:val="6"/>
    <w:next w:val="6"/>
    <w:link w:val="37"/>
    <w:semiHidden/>
    <w:unhideWhenUsed/>
    <w:qFormat/>
    <w:uiPriority w:val="99"/>
    <w:rPr>
      <w:b/>
      <w:bCs/>
    </w:rPr>
  </w:style>
  <w:style w:type="character" w:styleId="19">
    <w:name w:val="page number"/>
    <w:basedOn w:val="18"/>
    <w:qFormat/>
    <w:uiPriority w:val="0"/>
  </w:style>
  <w:style w:type="character" w:styleId="20">
    <w:name w:val="Hyperlink"/>
    <w:basedOn w:val="18"/>
    <w:unhideWhenUsed/>
    <w:qFormat/>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styleId="22">
    <w:name w:val="footnote reference"/>
    <w:unhideWhenUsed/>
    <w:qFormat/>
    <w:uiPriority w:val="99"/>
    <w:rPr>
      <w:vertAlign w:val="superscript"/>
    </w:rPr>
  </w:style>
  <w:style w:type="character" w:customStyle="1" w:styleId="23">
    <w:name w:val="标题 1 Char"/>
    <w:basedOn w:val="18"/>
    <w:link w:val="2"/>
    <w:qFormat/>
    <w:uiPriority w:val="99"/>
    <w:rPr>
      <w:rFonts w:ascii="宋体" w:hAnsi="宋体" w:eastAsia="黑体" w:cs="Times New Roman"/>
      <w:bCs/>
      <w:kern w:val="36"/>
      <w:sz w:val="36"/>
      <w:szCs w:val="48"/>
    </w:rPr>
  </w:style>
  <w:style w:type="character" w:customStyle="1" w:styleId="24">
    <w:name w:val="标题 2 Char"/>
    <w:basedOn w:val="18"/>
    <w:link w:val="3"/>
    <w:qFormat/>
    <w:uiPriority w:val="9"/>
    <w:rPr>
      <w:rFonts w:asciiTheme="majorHAnsi" w:hAnsiTheme="majorHAnsi" w:eastAsiaTheme="majorEastAsia" w:cstheme="majorBidi"/>
      <w:b/>
      <w:bCs/>
      <w:sz w:val="32"/>
      <w:szCs w:val="32"/>
    </w:rPr>
  </w:style>
  <w:style w:type="paragraph" w:customStyle="1" w:styleId="25">
    <w:name w:val="p16"/>
    <w:basedOn w:val="1"/>
    <w:uiPriority w:val="0"/>
    <w:pPr>
      <w:widowControl/>
    </w:pPr>
    <w:rPr>
      <w:rFonts w:ascii="仿宋" w:hAnsi="仿宋" w:eastAsia="仿宋" w:cs="宋体"/>
      <w:kern w:val="0"/>
      <w:szCs w:val="21"/>
    </w:rPr>
  </w:style>
  <w:style w:type="character" w:customStyle="1" w:styleId="26">
    <w:name w:val="正文文本缩进 Char"/>
    <w:link w:val="7"/>
    <w:uiPriority w:val="99"/>
    <w:rPr>
      <w:rFonts w:ascii="Times New Roman" w:hAnsi="Times New Roman"/>
    </w:rPr>
  </w:style>
  <w:style w:type="character" w:customStyle="1" w:styleId="27">
    <w:name w:val="正文文本缩进 Char1"/>
    <w:basedOn w:val="18"/>
    <w:semiHidden/>
    <w:uiPriority w:val="99"/>
    <w:rPr>
      <w:rFonts w:ascii="Calibri" w:hAnsi="Calibri" w:eastAsia="宋体" w:cs="Times New Roman"/>
    </w:rPr>
  </w:style>
  <w:style w:type="character" w:customStyle="1" w:styleId="28">
    <w:name w:val="批注框文本 Char"/>
    <w:basedOn w:val="18"/>
    <w:link w:val="9"/>
    <w:semiHidden/>
    <w:qFormat/>
    <w:uiPriority w:val="99"/>
    <w:rPr>
      <w:rFonts w:ascii="Calibri" w:hAnsi="Calibri" w:eastAsia="宋体" w:cs="Times New Roman"/>
      <w:sz w:val="18"/>
      <w:szCs w:val="18"/>
    </w:rPr>
  </w:style>
  <w:style w:type="character" w:customStyle="1" w:styleId="29">
    <w:name w:val="脚注文本 Char"/>
    <w:link w:val="13"/>
    <w:uiPriority w:val="99"/>
    <w:rPr>
      <w:rFonts w:ascii="Times New Roman" w:hAnsi="Times New Roman"/>
      <w:sz w:val="18"/>
      <w:szCs w:val="18"/>
    </w:rPr>
  </w:style>
  <w:style w:type="character" w:customStyle="1" w:styleId="30">
    <w:name w:val="脚注文本 Char1"/>
    <w:basedOn w:val="18"/>
    <w:semiHidden/>
    <w:qFormat/>
    <w:uiPriority w:val="99"/>
    <w:rPr>
      <w:rFonts w:ascii="Calibri" w:hAnsi="Calibri" w:eastAsia="宋体" w:cs="Times New Roman"/>
      <w:sz w:val="18"/>
      <w:szCs w:val="18"/>
    </w:rPr>
  </w:style>
  <w:style w:type="character" w:customStyle="1" w:styleId="31">
    <w:name w:val="页脚 Char"/>
    <w:link w:val="10"/>
    <w:qFormat/>
    <w:uiPriority w:val="99"/>
    <w:rPr>
      <w:sz w:val="18"/>
      <w:szCs w:val="18"/>
    </w:rPr>
  </w:style>
  <w:style w:type="character" w:customStyle="1" w:styleId="32">
    <w:name w:val="页脚 Char1"/>
    <w:basedOn w:val="18"/>
    <w:semiHidden/>
    <w:qFormat/>
    <w:uiPriority w:val="99"/>
    <w:rPr>
      <w:rFonts w:ascii="Calibri" w:hAnsi="Calibri" w:eastAsia="宋体" w:cs="Times New Roman"/>
      <w:sz w:val="18"/>
      <w:szCs w:val="18"/>
    </w:rPr>
  </w:style>
  <w:style w:type="character" w:customStyle="1" w:styleId="33">
    <w:name w:val="页眉 Char"/>
    <w:basedOn w:val="18"/>
    <w:link w:val="11"/>
    <w:qFormat/>
    <w:uiPriority w:val="99"/>
    <w:rPr>
      <w:rFonts w:ascii="Calibri" w:hAnsi="Calibri" w:eastAsia="宋体" w:cs="Times New Roman"/>
      <w:sz w:val="18"/>
      <w:szCs w:val="18"/>
    </w:rPr>
  </w:style>
  <w:style w:type="character" w:customStyle="1" w:styleId="34">
    <w:name w:val="文档结构图 Char"/>
    <w:basedOn w:val="18"/>
    <w:link w:val="5"/>
    <w:semiHidden/>
    <w:qFormat/>
    <w:uiPriority w:val="99"/>
    <w:rPr>
      <w:rFonts w:ascii="宋体" w:hAnsi="Calibri" w:eastAsia="宋体" w:cs="Times New Roman"/>
      <w:sz w:val="18"/>
      <w:szCs w:val="18"/>
    </w:rPr>
  </w:style>
  <w:style w:type="paragraph" w:customStyle="1" w:styleId="35">
    <w:name w:val="TOC Heading"/>
    <w:basedOn w:val="2"/>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b/>
      <w:color w:val="366091" w:themeColor="accent1" w:themeShade="BF"/>
      <w:kern w:val="0"/>
      <w:sz w:val="28"/>
      <w:szCs w:val="28"/>
    </w:rPr>
  </w:style>
  <w:style w:type="character" w:customStyle="1" w:styleId="36">
    <w:name w:val="批注文字 Char"/>
    <w:basedOn w:val="18"/>
    <w:link w:val="6"/>
    <w:semiHidden/>
    <w:qFormat/>
    <w:uiPriority w:val="99"/>
    <w:rPr>
      <w:rFonts w:ascii="Calibri" w:hAnsi="Calibri" w:eastAsia="宋体" w:cs="Times New Roman"/>
    </w:rPr>
  </w:style>
  <w:style w:type="character" w:customStyle="1" w:styleId="37">
    <w:name w:val="批注主题 Char"/>
    <w:basedOn w:val="36"/>
    <w:link w:val="16"/>
    <w:semiHidden/>
    <w:qFormat/>
    <w:uiPriority w:val="99"/>
    <w:rPr>
      <w:rFonts w:ascii="Calibri" w:hAnsi="Calibri" w:eastAsia="宋体" w:cs="Times New Roman"/>
      <w:b/>
      <w:bCs/>
    </w:rPr>
  </w:style>
  <w:style w:type="character" w:customStyle="1" w:styleId="38">
    <w:name w:val="标题 3 Char"/>
    <w:basedOn w:val="18"/>
    <w:link w:val="4"/>
    <w:semiHidden/>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6A765-F43A-451A-9AA0-E9AF64F9E87D}">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4330</Words>
  <Characters>24685</Characters>
  <Lines>205</Lines>
  <Paragraphs>57</Paragraphs>
  <TotalTime>1881</TotalTime>
  <ScaleCrop>false</ScaleCrop>
  <LinksUpToDate>false</LinksUpToDate>
  <CharactersWithSpaces>28958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2017-10-25T02:16:00Z</dcterms:created>
  <dc:creator>黄萌萌</dc:creator>
  <cp:lastModifiedBy>咸鱼十二三</cp:lastModifiedBy>
  <cp:lastPrinted>2017-11-08T03:55:00Z</cp:lastPrinted>
  <dcterms:modified xsi:type="dcterms:W3CDTF">2022-01-10T06:47:51Z</dcterms:modified>
  <cp:revision>699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A359E738472B49778B318EFE7E314AEC</vt:lpwstr>
  </property>
</Properties>
</file>