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Times New Roman" w:hAnsi="Times New Roman" w:eastAsia="方正仿宋_GBK"/>
          <w:sz w:val="32"/>
          <w:szCs w:val="32"/>
        </w:rPr>
      </w:pPr>
    </w:p>
    <w:p>
      <w:pPr>
        <w:tabs>
          <w:tab w:val="left" w:pos="1470"/>
        </w:tabs>
        <w:spacing w:line="600" w:lineRule="exact"/>
        <w:jc w:val="center"/>
        <w:rPr>
          <w:rFonts w:hint="eastAsia" w:eastAsia="方正小标宋_GBK"/>
          <w:sz w:val="44"/>
          <w:szCs w:val="44"/>
        </w:rPr>
      </w:pPr>
    </w:p>
    <w:p>
      <w:pPr>
        <w:keepNext w:val="0"/>
        <w:keepLines w:val="0"/>
        <w:pageBreakBefore w:val="0"/>
        <w:widowControl w:val="0"/>
        <w:tabs>
          <w:tab w:val="left" w:pos="1470"/>
        </w:tabs>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重庆市潼南区人民政府</w:t>
      </w:r>
    </w:p>
    <w:p>
      <w:pPr>
        <w:keepNext w:val="0"/>
        <w:keepLines w:val="0"/>
        <w:pageBreakBefore w:val="0"/>
        <w:widowControl w:val="0"/>
        <w:tabs>
          <w:tab w:val="left" w:pos="1470"/>
        </w:tabs>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关于印发重庆市潼南区集中式饮用水</w:t>
      </w:r>
    </w:p>
    <w:p>
      <w:pPr>
        <w:keepNext w:val="0"/>
        <w:keepLines w:val="0"/>
        <w:pageBreakBefore w:val="0"/>
        <w:widowControl w:val="0"/>
        <w:tabs>
          <w:tab w:val="left" w:pos="1470"/>
        </w:tabs>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水源地保护区撤销方案的通知</w:t>
      </w:r>
    </w:p>
    <w:p>
      <w:pPr>
        <w:spacing w:line="600" w:lineRule="exact"/>
        <w:jc w:val="center"/>
        <w:rPr>
          <w:rFonts w:hint="eastAsia"/>
          <w:b/>
          <w:sz w:val="44"/>
          <w:szCs w:val="44"/>
        </w:rPr>
      </w:pPr>
      <w:r>
        <w:rPr>
          <w:rFonts w:hint="eastAsia" w:ascii="Times New Roman" w:hAnsi="Times New Roman" w:eastAsia="方正仿宋_GBK"/>
          <w:sz w:val="32"/>
          <w:szCs w:val="32"/>
        </w:rPr>
        <w:t>潼南府发〔</w:t>
      </w:r>
      <w:r>
        <w:rPr>
          <w:rFonts w:ascii="Times New Roman" w:hAnsi="Times New Roman" w:eastAsia="方正仿宋_GBK"/>
          <w:sz w:val="32"/>
          <w:szCs w:val="32"/>
        </w:rPr>
        <w:t>202</w:t>
      </w:r>
      <w:r>
        <w:rPr>
          <w:rFonts w:hint="eastAsia" w:ascii="Times New Roman" w:hAnsi="Times New Roman" w:eastAsia="方正仿宋_GBK"/>
          <w:sz w:val="32"/>
          <w:szCs w:val="32"/>
        </w:rPr>
        <w:t>4〕2号</w:t>
      </w:r>
    </w:p>
    <w:p>
      <w:pPr>
        <w:snapToGrid w:val="0"/>
        <w:spacing w:line="600" w:lineRule="exact"/>
        <w:jc w:val="both"/>
        <w:rPr>
          <w:rFonts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各镇人民政府、街道办事处，区</w:t>
      </w:r>
      <w:r>
        <w:rPr>
          <w:rFonts w:hint="eastAsia" w:ascii="Times New Roman" w:hAnsi="Times New Roman" w:eastAsia="方正仿宋_GBK" w:cs="Times New Roman"/>
          <w:kern w:val="0"/>
          <w:sz w:val="32"/>
          <w:szCs w:val="32"/>
        </w:rPr>
        <w:t>政府</w:t>
      </w:r>
      <w:r>
        <w:rPr>
          <w:rFonts w:ascii="Times New Roman" w:hAnsi="Times New Roman" w:eastAsia="方正仿宋_GBK" w:cs="Times New Roman"/>
          <w:kern w:val="0"/>
          <w:sz w:val="32"/>
          <w:szCs w:val="32"/>
        </w:rPr>
        <w:t>有关部门</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有关单位</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《重庆市潼南区集中式饮用水水源地保护区撤销方案》已通过市生态环境局技术审查并经市政府同意，现印发给你们，请认真贯彻执行，重点做好以下工作：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提高政治站位，深化思想认识。饮用水水源保护涉及人民群众的切身利益，各有关镇街、各有关部门和单位要提高政治站位，深入贯彻习近平生态文明思想，坚持以人民为中心，将城市及乡镇集中式饮用水水源保护工作摆在优先位置，做好饮用水源保护各项工作，确保群众喝上干净水、安全水、放心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二是</w:t>
      </w:r>
      <w:r>
        <w:rPr>
          <w:rFonts w:hint="eastAsia" w:ascii="Times New Roman" w:hAnsi="Times New Roman" w:eastAsia="方正仿宋_GBK" w:cs="Times New Roman"/>
          <w:sz w:val="32"/>
          <w:szCs w:val="32"/>
        </w:rPr>
        <w:t>压实属地责任，做好日常巡查。</w:t>
      </w:r>
      <w:r>
        <w:rPr>
          <w:rFonts w:ascii="Times New Roman" w:hAnsi="Times New Roman" w:eastAsia="方正仿宋_GBK" w:cs="Times New Roman"/>
          <w:sz w:val="32"/>
          <w:szCs w:val="32"/>
        </w:rPr>
        <w:t>按照属地管理原则，</w:t>
      </w:r>
      <w:r>
        <w:rPr>
          <w:rFonts w:hint="eastAsia" w:ascii="Times New Roman" w:hAnsi="Times New Roman" w:eastAsia="方正仿宋_GBK" w:cs="Times New Roman"/>
          <w:sz w:val="32"/>
          <w:szCs w:val="32"/>
        </w:rPr>
        <w:t>各</w:t>
      </w:r>
      <w:r>
        <w:rPr>
          <w:rFonts w:ascii="Times New Roman" w:hAnsi="Times New Roman" w:eastAsia="方正仿宋_GBK" w:cs="Times New Roman"/>
          <w:sz w:val="32"/>
          <w:szCs w:val="32"/>
        </w:rPr>
        <w:t>有关镇街要落实集中式饮用水水源地保护工作主体责任，进一步做好辖区内饮用水水源地保护区的日常</w:t>
      </w:r>
      <w:r>
        <w:rPr>
          <w:rFonts w:hint="eastAsia" w:ascii="Times New Roman" w:hAnsi="Times New Roman" w:eastAsia="方正仿宋_GBK" w:cs="Times New Roman"/>
          <w:sz w:val="32"/>
          <w:szCs w:val="32"/>
        </w:rPr>
        <w:t>巡查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规范化建设</w:t>
      </w:r>
      <w:r>
        <w:rPr>
          <w:rFonts w:ascii="Times New Roman" w:hAnsi="Times New Roman" w:eastAsia="方正仿宋_GBK" w:cs="Times New Roman"/>
          <w:sz w:val="32"/>
          <w:szCs w:val="32"/>
        </w:rPr>
        <w:t>及维</w:t>
      </w:r>
      <w:r>
        <w:rPr>
          <w:rFonts w:hint="eastAsia" w:ascii="Times New Roman" w:hAnsi="Times New Roman" w:eastAsia="方正仿宋_GBK" w:cs="Times New Roman"/>
          <w:sz w:val="32"/>
          <w:szCs w:val="32"/>
        </w:rPr>
        <w:t>修</w:t>
      </w:r>
      <w:r>
        <w:rPr>
          <w:rFonts w:ascii="Times New Roman" w:hAnsi="Times New Roman" w:eastAsia="方正仿宋_GBK" w:cs="Times New Roman"/>
          <w:sz w:val="32"/>
          <w:szCs w:val="32"/>
        </w:rPr>
        <w:t>管理等工作。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三是</w:t>
      </w:r>
      <w:r>
        <w:rPr>
          <w:rFonts w:hint="eastAsia" w:ascii="Times New Roman" w:hAnsi="Times New Roman" w:eastAsia="方正仿宋_GBK" w:cs="Times New Roman"/>
          <w:sz w:val="32"/>
          <w:szCs w:val="32"/>
        </w:rPr>
        <w:t>强化部门监管，形成工作合力。</w:t>
      </w:r>
      <w:r>
        <w:rPr>
          <w:rFonts w:ascii="Times New Roman" w:hAnsi="Times New Roman" w:eastAsia="方正仿宋_GBK" w:cs="Times New Roman"/>
          <w:sz w:val="32"/>
          <w:szCs w:val="32"/>
        </w:rPr>
        <w:t>区生态环境局负责本行政区域内集中式饮用水水源污染防治的统一监督管理；双江镇</w:t>
      </w:r>
      <w:r>
        <w:rPr>
          <w:rFonts w:hint="eastAsia" w:ascii="Times New Roman" w:hAnsi="Times New Roman" w:eastAsia="方正仿宋_GBK" w:cs="Times New Roman"/>
          <w:sz w:val="32"/>
          <w:szCs w:val="32"/>
        </w:rPr>
        <w:t>人民政府、米心镇人民政府</w:t>
      </w:r>
      <w:r>
        <w:rPr>
          <w:rFonts w:ascii="Times New Roman" w:hAnsi="Times New Roman" w:eastAsia="方正仿宋_GBK" w:cs="Times New Roman"/>
          <w:sz w:val="32"/>
          <w:szCs w:val="32"/>
        </w:rPr>
        <w:t>负责</w:t>
      </w:r>
      <w:r>
        <w:rPr>
          <w:rFonts w:hint="eastAsia" w:ascii="Times New Roman" w:hAnsi="Times New Roman" w:eastAsia="方正仿宋_GBK" w:cs="Times New Roman"/>
          <w:sz w:val="32"/>
          <w:szCs w:val="32"/>
        </w:rPr>
        <w:t>及时拆除此次撤销的饮用水源地取水设施、标识标牌、并对取水口进行封堵</w:t>
      </w:r>
      <w:r>
        <w:rPr>
          <w:rFonts w:ascii="Times New Roman" w:hAnsi="Times New Roman" w:eastAsia="方正仿宋_GBK" w:cs="Times New Roman"/>
          <w:color w:val="0000FF"/>
          <w:sz w:val="32"/>
          <w:szCs w:val="32"/>
        </w:rPr>
        <w:t>。</w:t>
      </w:r>
      <w:r>
        <w:rPr>
          <w:rFonts w:ascii="Times New Roman" w:hAnsi="Times New Roman" w:eastAsia="方正仿宋_GBK" w:cs="Times New Roman"/>
          <w:color w:val="0000FF"/>
          <w:sz w:val="32"/>
          <w:szCs w:val="32"/>
        </w:rPr>
        <w:br w:type="textWrapping"/>
      </w:r>
      <w:r>
        <w:rPr>
          <w:rFonts w:ascii="Times New Roman" w:hAnsi="Times New Roman" w:eastAsia="方正仿宋_GBK" w:cs="Times New Roman"/>
          <w:sz w:val="32"/>
          <w:szCs w:val="32"/>
        </w:rPr>
        <w:t xml:space="preserve"> </w:t>
      </w:r>
    </w:p>
    <w:p>
      <w:pPr>
        <w:keepNext w:val="0"/>
        <w:keepLines w:val="0"/>
        <w:pageBreakBefore w:val="0"/>
        <w:widowControl w:val="0"/>
        <w:tabs>
          <w:tab w:val="left" w:pos="1470"/>
        </w:tabs>
        <w:kinsoku/>
        <w:wordWrap/>
        <w:overflowPunct/>
        <w:topLinePunct w:val="0"/>
        <w:autoSpaceDE/>
        <w:autoSpaceDN/>
        <w:bidi w:val="0"/>
        <w:adjustRightInd/>
        <w:spacing w:line="600" w:lineRule="exact"/>
        <w:ind w:firstLine="640" w:firstLineChars="200"/>
        <w:jc w:val="both"/>
        <w:textAlignment w:val="auto"/>
        <w:rPr>
          <w:rFonts w:hint="eastAsia" w:ascii="Times New Roman" w:hAnsi="Times New Roman" w:eastAsia="方正仿宋_GBK" w:cs="Times New Roman"/>
          <w:spacing w:val="-17"/>
          <w:sz w:val="32"/>
          <w:szCs w:val="32"/>
        </w:rPr>
      </w:pPr>
      <w:r>
        <w:rPr>
          <w:rFonts w:hint="eastAsia" w:eastAsia="方正仿宋_GBK"/>
          <w:sz w:val="32"/>
          <w:szCs w:val="32"/>
        </w:rPr>
        <w:t>附件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重庆市</w:t>
      </w:r>
      <w:r>
        <w:rPr>
          <w:rFonts w:hint="eastAsia" w:ascii="Times New Roman" w:hAnsi="Times New Roman" w:eastAsia="方正仿宋_GBK" w:cs="Times New Roman"/>
          <w:spacing w:val="-17"/>
          <w:sz w:val="32"/>
          <w:szCs w:val="32"/>
        </w:rPr>
        <w:t>潼南区集中式饮用水水源地保护区撤销方案</w:t>
      </w:r>
    </w:p>
    <w:p>
      <w:pPr>
        <w:pStyle w:val="5"/>
        <w:keepNext w:val="0"/>
        <w:keepLines w:val="0"/>
        <w:pageBreakBefore w:val="0"/>
        <w:widowControl w:val="0"/>
        <w:kinsoku/>
        <w:wordWrap/>
        <w:overflowPunct/>
        <w:topLinePunct w:val="0"/>
        <w:autoSpaceDE/>
        <w:autoSpaceDN/>
        <w:bidi w:val="0"/>
        <w:adjustRightInd/>
        <w:spacing w:before="0" w:beforeAutospacing="0" w:after="0" w:line="600" w:lineRule="exact"/>
        <w:textAlignment w:val="auto"/>
        <w:rPr>
          <w:rFonts w:hint="eastAsia" w:eastAsia="方正仿宋_GBK"/>
          <w:spacing w:val="-11"/>
          <w:sz w:val="32"/>
          <w:szCs w:val="32"/>
        </w:rPr>
      </w:pPr>
      <w:r>
        <w:rPr>
          <w:rFonts w:hint="eastAsia" w:eastAsia="方正仿宋_GBK"/>
          <w:spacing w:val="-11"/>
          <w:sz w:val="32"/>
          <w:szCs w:val="32"/>
        </w:rPr>
        <w:t xml:space="preserve">         </w:t>
      </w:r>
    </w:p>
    <w:p>
      <w:pPr>
        <w:pStyle w:val="5"/>
        <w:keepNext w:val="0"/>
        <w:keepLines w:val="0"/>
        <w:pageBreakBefore w:val="0"/>
        <w:widowControl w:val="0"/>
        <w:kinsoku/>
        <w:wordWrap/>
        <w:overflowPunct/>
        <w:topLinePunct w:val="0"/>
        <w:autoSpaceDE/>
        <w:autoSpaceDN/>
        <w:bidi w:val="0"/>
        <w:adjustRightInd/>
        <w:spacing w:before="0" w:beforeAutospacing="0" w:after="0" w:line="60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重庆市潼南区人民政府</w:t>
      </w:r>
    </w:p>
    <w:p>
      <w:pPr>
        <w:keepNext w:val="0"/>
        <w:keepLines w:val="0"/>
        <w:pageBreakBefore w:val="0"/>
        <w:widowControl w:val="0"/>
        <w:tabs>
          <w:tab w:val="left" w:pos="7560"/>
        </w:tabs>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3月18日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sz w:val="32"/>
          <w:szCs w:val="32"/>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Times New Roman" w:hAnsi="Times New Roman" w:eastAsia="方正仿宋_GBK" w:cs="Times New Roman"/>
          <w:sz w:val="32"/>
          <w:szCs w:val="32"/>
        </w:rPr>
        <w:t>（此件公开发布）</w:t>
      </w:r>
    </w:p>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adjustRightInd w:val="0"/>
        <w:snapToGrid w:val="0"/>
        <w:spacing w:line="600" w:lineRule="exact"/>
        <w:jc w:val="center"/>
        <w:rPr>
          <w:rFonts w:hint="eastAsia" w:ascii="方正小标宋_GBK" w:hAnsi="Times New Roman" w:eastAsia="方正小标宋_GBK" w:cs="Times New Roman"/>
          <w:sz w:val="44"/>
          <w:szCs w:val="44"/>
        </w:rPr>
      </w:pPr>
    </w:p>
    <w:p>
      <w:pPr>
        <w:adjustRightInd w:val="0"/>
        <w:snapToGrid w:val="0"/>
        <w:spacing w:line="60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重庆市潼南区集中式饮用水水源地保护区撤销方案</w:t>
      </w:r>
    </w:p>
    <w:p>
      <w:pPr>
        <w:pStyle w:val="2"/>
        <w:rPr>
          <w:rFonts w:hint="eastAsia" w:ascii="方正黑体_GBK" w:hAnsi="方正黑体_GBK" w:eastAsia="宋体" w:cs="方正黑体_GBK"/>
          <w:sz w:val="24"/>
          <w:szCs w:val="24"/>
        </w:rPr>
      </w:pPr>
    </w:p>
    <w:tbl>
      <w:tblPr>
        <w:tblStyle w:val="9"/>
        <w:tblpPr w:leftFromText="180" w:rightFromText="180" w:vertAnchor="text" w:horzAnchor="page" w:tblpXSpec="center" w:tblpY="16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35"/>
        <w:gridCol w:w="735"/>
        <w:gridCol w:w="1016"/>
        <w:gridCol w:w="817"/>
        <w:gridCol w:w="922"/>
        <w:gridCol w:w="1262"/>
        <w:gridCol w:w="1900"/>
        <w:gridCol w:w="1999"/>
        <w:gridCol w:w="1649"/>
        <w:gridCol w:w="1723"/>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266" w:type="pct"/>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 w:val="24"/>
              </w:rPr>
            </w:pPr>
            <w:r>
              <w:rPr>
                <w:rFonts w:hint="eastAsia" w:ascii="方正黑体_GBK" w:eastAsia="方正黑体_GBK"/>
                <w:bCs/>
                <w:color w:val="000000"/>
                <w:kern w:val="0"/>
                <w:szCs w:val="21"/>
              </w:rPr>
              <w:t>序号</w:t>
            </w:r>
          </w:p>
        </w:tc>
        <w:tc>
          <w:tcPr>
            <w:tcW w:w="266" w:type="pct"/>
            <w:vMerge w:val="restart"/>
            <w:noWrap w:val="0"/>
            <w:vAlign w:val="center"/>
          </w:tcPr>
          <w:p>
            <w:pPr>
              <w:spacing w:line="240" w:lineRule="exact"/>
              <w:jc w:val="center"/>
              <w:textAlignment w:val="center"/>
              <w:rPr>
                <w:rFonts w:ascii="方正黑体_GBK" w:eastAsia="方正黑体_GBK"/>
                <w:bCs/>
                <w:color w:val="000000"/>
                <w:kern w:val="0"/>
                <w:szCs w:val="21"/>
              </w:rPr>
            </w:pPr>
            <w:r>
              <w:rPr>
                <w:rFonts w:hint="eastAsia" w:ascii="方正黑体_GBK" w:eastAsia="方正黑体_GBK"/>
                <w:bCs/>
                <w:color w:val="000000"/>
                <w:kern w:val="0"/>
                <w:szCs w:val="21"/>
              </w:rPr>
              <w:t>水源</w:t>
            </w:r>
          </w:p>
          <w:p>
            <w:pPr>
              <w:spacing w:line="240" w:lineRule="exact"/>
              <w:jc w:val="center"/>
              <w:textAlignment w:val="center"/>
              <w:rPr>
                <w:rFonts w:ascii="方正黑体_GBK" w:hAnsi="方正黑体_GBK" w:eastAsia="方正黑体_GBK" w:cs="方正黑体_GBK"/>
                <w:color w:val="000000"/>
                <w:kern w:val="0"/>
                <w:sz w:val="24"/>
              </w:rPr>
            </w:pPr>
            <w:r>
              <w:rPr>
                <w:rFonts w:hint="eastAsia" w:ascii="方正黑体_GBK" w:eastAsia="方正黑体_GBK"/>
                <w:bCs/>
                <w:color w:val="000000"/>
                <w:kern w:val="0"/>
                <w:szCs w:val="21"/>
              </w:rPr>
              <w:t>级别</w:t>
            </w:r>
          </w:p>
        </w:tc>
        <w:tc>
          <w:tcPr>
            <w:tcW w:w="368" w:type="pct"/>
            <w:vMerge w:val="restart"/>
            <w:noWrap w:val="0"/>
            <w:vAlign w:val="center"/>
          </w:tcPr>
          <w:p>
            <w:pPr>
              <w:spacing w:line="240" w:lineRule="exact"/>
              <w:jc w:val="center"/>
              <w:textAlignment w:val="center"/>
              <w:rPr>
                <w:rFonts w:ascii="方正黑体_GBK" w:eastAsia="方正黑体_GBK"/>
                <w:bCs/>
                <w:color w:val="000000"/>
                <w:kern w:val="0"/>
                <w:szCs w:val="21"/>
              </w:rPr>
            </w:pPr>
            <w:r>
              <w:rPr>
                <w:rFonts w:hint="eastAsia" w:ascii="方正黑体_GBK" w:eastAsia="方正黑体_GBK"/>
                <w:bCs/>
                <w:color w:val="000000"/>
                <w:kern w:val="0"/>
                <w:szCs w:val="21"/>
              </w:rPr>
              <w:t>水厂</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名称</w:t>
            </w:r>
          </w:p>
        </w:tc>
        <w:tc>
          <w:tcPr>
            <w:tcW w:w="296" w:type="pct"/>
            <w:vMerge w:val="restart"/>
            <w:noWrap w:val="0"/>
            <w:vAlign w:val="center"/>
          </w:tcPr>
          <w:p>
            <w:pPr>
              <w:spacing w:line="240" w:lineRule="exact"/>
              <w:jc w:val="center"/>
              <w:textAlignment w:val="center"/>
              <w:rPr>
                <w:rFonts w:ascii="方正黑体_GBK" w:eastAsia="方正黑体_GBK"/>
                <w:bCs/>
                <w:color w:val="000000"/>
                <w:kern w:val="0"/>
                <w:szCs w:val="21"/>
              </w:rPr>
            </w:pPr>
            <w:r>
              <w:rPr>
                <w:rFonts w:hint="eastAsia" w:ascii="方正黑体_GBK" w:eastAsia="方正黑体_GBK"/>
                <w:bCs/>
                <w:color w:val="000000"/>
                <w:kern w:val="0"/>
                <w:szCs w:val="21"/>
              </w:rPr>
              <w:t>水源</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名称</w:t>
            </w:r>
          </w:p>
        </w:tc>
        <w:tc>
          <w:tcPr>
            <w:tcW w:w="334" w:type="pct"/>
            <w:vMerge w:val="restart"/>
            <w:noWrap w:val="0"/>
            <w:vAlign w:val="center"/>
          </w:tcPr>
          <w:p>
            <w:pPr>
              <w:spacing w:line="240" w:lineRule="exact"/>
              <w:jc w:val="center"/>
              <w:textAlignment w:val="center"/>
              <w:rPr>
                <w:rFonts w:ascii="方正黑体_GBK" w:eastAsia="方正黑体_GBK"/>
                <w:bCs/>
                <w:color w:val="000000"/>
                <w:kern w:val="0"/>
                <w:szCs w:val="21"/>
              </w:rPr>
            </w:pPr>
            <w:r>
              <w:rPr>
                <w:rFonts w:hint="eastAsia" w:ascii="方正黑体_GBK" w:eastAsia="方正黑体_GBK"/>
                <w:bCs/>
                <w:color w:val="000000"/>
                <w:kern w:val="0"/>
                <w:szCs w:val="21"/>
              </w:rPr>
              <w:t>水源</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类型</w:t>
            </w:r>
          </w:p>
        </w:tc>
        <w:tc>
          <w:tcPr>
            <w:tcW w:w="457" w:type="pct"/>
            <w:vMerge w:val="restart"/>
            <w:noWrap w:val="0"/>
            <w:vAlign w:val="center"/>
          </w:tcPr>
          <w:p>
            <w:pPr>
              <w:spacing w:line="240" w:lineRule="exact"/>
              <w:jc w:val="center"/>
              <w:textAlignment w:val="center"/>
              <w:rPr>
                <w:rFonts w:ascii="方正黑体_GBK" w:eastAsia="方正黑体_GBK"/>
                <w:bCs/>
                <w:color w:val="000000"/>
                <w:kern w:val="0"/>
                <w:szCs w:val="21"/>
              </w:rPr>
            </w:pPr>
            <w:r>
              <w:rPr>
                <w:rFonts w:hint="eastAsia" w:ascii="方正黑体_GBK" w:eastAsia="方正黑体_GBK"/>
                <w:bCs/>
                <w:color w:val="000000"/>
                <w:kern w:val="0"/>
                <w:szCs w:val="21"/>
              </w:rPr>
              <w:t>水源所在乡镇</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（街道）</w:t>
            </w:r>
          </w:p>
        </w:tc>
        <w:tc>
          <w:tcPr>
            <w:tcW w:w="2632" w:type="pct"/>
            <w:gridSpan w:val="4"/>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保护区范围划分</w:t>
            </w:r>
          </w:p>
        </w:tc>
        <w:tc>
          <w:tcPr>
            <w:tcW w:w="382" w:type="pct"/>
            <w:vMerge w:val="restart"/>
            <w:noWrap w:val="0"/>
            <w:vAlign w:val="center"/>
          </w:tcPr>
          <w:p>
            <w:pPr>
              <w:spacing w:line="240" w:lineRule="exact"/>
              <w:jc w:val="center"/>
              <w:textAlignment w:val="center"/>
              <w:rPr>
                <w:rFonts w:ascii="方正黑体_GBK" w:eastAsia="方正黑体_GBK"/>
                <w:bCs/>
                <w:color w:val="000000"/>
                <w:kern w:val="0"/>
                <w:szCs w:val="21"/>
              </w:rPr>
            </w:pPr>
            <w:r>
              <w:rPr>
                <w:rFonts w:hint="eastAsia" w:ascii="方正黑体_GBK" w:eastAsia="方正黑体_GBK"/>
                <w:bCs/>
                <w:color w:val="000000"/>
                <w:kern w:val="0"/>
                <w:szCs w:val="21"/>
              </w:rPr>
              <w:t>使用</w:t>
            </w:r>
          </w:p>
          <w:p>
            <w:pPr>
              <w:spacing w:line="240" w:lineRule="exact"/>
              <w:jc w:val="center"/>
              <w:textAlignment w:val="center"/>
              <w:rPr>
                <w:b/>
                <w:bCs/>
                <w:color w:val="000000"/>
                <w:kern w:val="0"/>
                <w:szCs w:val="21"/>
              </w:rPr>
            </w:pPr>
            <w:r>
              <w:rPr>
                <w:rFonts w:hint="eastAsia" w:ascii="方正黑体_GBK" w:eastAsia="方正黑体_GBK"/>
                <w:bCs/>
                <w:color w:val="000000"/>
                <w:kern w:val="0"/>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266" w:type="pct"/>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266" w:type="pct"/>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368"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296"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334"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457"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1412" w:type="pct"/>
            <w:gridSpan w:val="2"/>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一级保护区</w:t>
            </w:r>
          </w:p>
        </w:tc>
        <w:tc>
          <w:tcPr>
            <w:tcW w:w="1220" w:type="pct"/>
            <w:gridSpan w:val="2"/>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二级保护区</w:t>
            </w:r>
          </w:p>
        </w:tc>
        <w:tc>
          <w:tcPr>
            <w:tcW w:w="382" w:type="pct"/>
            <w:vMerge w:val="continue"/>
            <w:noWrap w:val="0"/>
            <w:vAlign w:val="center"/>
          </w:tcPr>
          <w:p>
            <w:pPr>
              <w:spacing w:line="240" w:lineRule="exact"/>
              <w:jc w:val="center"/>
              <w:textAlignment w:val="center"/>
              <w:rPr>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266" w:type="pct"/>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266" w:type="pct"/>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368"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296"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334"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457" w:type="pct"/>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688" w:type="pc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水域范围</w:t>
            </w:r>
          </w:p>
        </w:tc>
        <w:tc>
          <w:tcPr>
            <w:tcW w:w="724" w:type="pc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陆域范围</w:t>
            </w:r>
          </w:p>
        </w:tc>
        <w:tc>
          <w:tcPr>
            <w:tcW w:w="597" w:type="pct"/>
            <w:noWrap w:val="0"/>
            <w:vAlign w:val="center"/>
          </w:tcPr>
          <w:p>
            <w:pPr>
              <w:spacing w:line="240" w:lineRule="exact"/>
              <w:jc w:val="center"/>
              <w:textAlignment w:val="center"/>
              <w:rPr>
                <w:rFonts w:ascii="方正黑体_GBK" w:eastAsia="方正黑体_GBK"/>
                <w:bCs/>
                <w:color w:val="000000"/>
                <w:kern w:val="0"/>
                <w:szCs w:val="21"/>
              </w:rPr>
            </w:pPr>
            <w:r>
              <w:rPr>
                <w:rFonts w:hint="eastAsia" w:ascii="方正黑体_GBK" w:eastAsia="方正黑体_GBK"/>
                <w:bCs/>
                <w:color w:val="000000"/>
                <w:kern w:val="0"/>
                <w:szCs w:val="21"/>
              </w:rPr>
              <w:t>水域</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范围</w:t>
            </w:r>
          </w:p>
        </w:tc>
        <w:tc>
          <w:tcPr>
            <w:tcW w:w="624" w:type="pc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eastAsia="方正黑体_GBK"/>
                <w:bCs/>
                <w:color w:val="000000"/>
                <w:kern w:val="0"/>
                <w:szCs w:val="21"/>
              </w:rPr>
              <w:t>陆域范围</w:t>
            </w:r>
          </w:p>
        </w:tc>
        <w:tc>
          <w:tcPr>
            <w:tcW w:w="382" w:type="pct"/>
            <w:vMerge w:val="continue"/>
            <w:noWrap w:val="0"/>
            <w:vAlign w:val="center"/>
          </w:tcPr>
          <w:p>
            <w:pPr>
              <w:spacing w:line="240" w:lineRule="exact"/>
              <w:jc w:val="center"/>
              <w:textAlignment w:val="center"/>
              <w:rPr>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266" w:type="pct"/>
            <w:noWrap w:val="0"/>
            <w:vAlign w:val="center"/>
          </w:tcPr>
          <w:p>
            <w:pPr>
              <w:spacing w:line="240" w:lineRule="exact"/>
              <w:jc w:val="center"/>
              <w:rPr>
                <w:rFonts w:eastAsia="方正仿宋_GBK"/>
                <w:kern w:val="0"/>
                <w:szCs w:val="18"/>
              </w:rPr>
            </w:pPr>
            <w:r>
              <w:rPr>
                <w:rFonts w:eastAsia="方正仿宋_GBK"/>
                <w:kern w:val="0"/>
                <w:szCs w:val="18"/>
              </w:rPr>
              <w:t>1</w:t>
            </w:r>
          </w:p>
        </w:tc>
        <w:tc>
          <w:tcPr>
            <w:tcW w:w="266" w:type="pct"/>
            <w:noWrap w:val="0"/>
            <w:vAlign w:val="center"/>
          </w:tcPr>
          <w:p>
            <w:pPr>
              <w:spacing w:line="240" w:lineRule="exact"/>
              <w:jc w:val="center"/>
              <w:rPr>
                <w:rFonts w:eastAsia="方正仿宋_GBK"/>
                <w:kern w:val="0"/>
                <w:szCs w:val="18"/>
              </w:rPr>
            </w:pPr>
            <w:r>
              <w:rPr>
                <w:rFonts w:hint="eastAsia" w:eastAsia="方正仿宋_GBK"/>
                <w:kern w:val="0"/>
                <w:szCs w:val="18"/>
              </w:rPr>
              <w:t>镇级</w:t>
            </w:r>
          </w:p>
        </w:tc>
        <w:tc>
          <w:tcPr>
            <w:tcW w:w="368" w:type="pct"/>
            <w:noWrap w:val="0"/>
            <w:vAlign w:val="center"/>
          </w:tcPr>
          <w:p>
            <w:pPr>
              <w:spacing w:line="240" w:lineRule="exact"/>
              <w:jc w:val="center"/>
              <w:rPr>
                <w:rFonts w:eastAsia="方正仿宋_GBK"/>
                <w:kern w:val="0"/>
                <w:szCs w:val="18"/>
              </w:rPr>
            </w:pPr>
            <w:r>
              <w:rPr>
                <w:rFonts w:hint="eastAsia" w:eastAsia="方正仿宋_GBK"/>
                <w:kern w:val="0"/>
                <w:szCs w:val="18"/>
              </w:rPr>
              <w:t>重庆市潼南区双江镇自来水公司</w:t>
            </w:r>
          </w:p>
        </w:tc>
        <w:tc>
          <w:tcPr>
            <w:tcW w:w="296" w:type="pct"/>
            <w:noWrap w:val="0"/>
            <w:vAlign w:val="center"/>
          </w:tcPr>
          <w:p>
            <w:pPr>
              <w:spacing w:line="240" w:lineRule="exact"/>
              <w:jc w:val="center"/>
              <w:rPr>
                <w:rFonts w:eastAsia="方正仿宋_GBK"/>
                <w:kern w:val="0"/>
                <w:szCs w:val="18"/>
              </w:rPr>
            </w:pPr>
            <w:r>
              <w:rPr>
                <w:rFonts w:hint="eastAsia" w:eastAsia="方正仿宋_GBK"/>
                <w:kern w:val="0"/>
                <w:szCs w:val="18"/>
              </w:rPr>
              <w:t>人工运河</w:t>
            </w:r>
          </w:p>
        </w:tc>
        <w:tc>
          <w:tcPr>
            <w:tcW w:w="334" w:type="pct"/>
            <w:noWrap w:val="0"/>
            <w:vAlign w:val="center"/>
          </w:tcPr>
          <w:p>
            <w:pPr>
              <w:spacing w:line="240" w:lineRule="exact"/>
              <w:jc w:val="center"/>
              <w:rPr>
                <w:rFonts w:eastAsia="方正仿宋_GBK"/>
                <w:kern w:val="0"/>
                <w:szCs w:val="18"/>
              </w:rPr>
            </w:pPr>
            <w:r>
              <w:rPr>
                <w:rFonts w:hint="eastAsia" w:eastAsia="方正仿宋_GBK"/>
                <w:szCs w:val="18"/>
              </w:rPr>
              <w:t>小型河流</w:t>
            </w:r>
          </w:p>
        </w:tc>
        <w:tc>
          <w:tcPr>
            <w:tcW w:w="457" w:type="pct"/>
            <w:noWrap w:val="0"/>
            <w:vAlign w:val="center"/>
          </w:tcPr>
          <w:p>
            <w:pPr>
              <w:spacing w:line="240" w:lineRule="exact"/>
              <w:jc w:val="center"/>
              <w:rPr>
                <w:rFonts w:eastAsia="方正仿宋_GBK"/>
                <w:kern w:val="0"/>
                <w:szCs w:val="18"/>
              </w:rPr>
            </w:pPr>
            <w:r>
              <w:rPr>
                <w:rFonts w:hint="eastAsia" w:ascii="Times New Roman" w:hAnsi="Times New Roman" w:eastAsia="方正仿宋_GBK"/>
                <w:szCs w:val="21"/>
              </w:rPr>
              <w:t>桂林街道办事处</w:t>
            </w:r>
            <w:bookmarkStart w:id="0" w:name="_GoBack"/>
            <w:bookmarkEnd w:id="0"/>
          </w:p>
        </w:tc>
        <w:tc>
          <w:tcPr>
            <w:tcW w:w="688"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取水口上游1000米，下游为100米范围内的整个水域。</w:t>
            </w:r>
          </w:p>
        </w:tc>
        <w:tc>
          <w:tcPr>
            <w:tcW w:w="724"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20年一遇洪水位控制高程以下陆域，陆域沿岸长度与一级保护区水域长度相同。</w:t>
            </w:r>
          </w:p>
        </w:tc>
        <w:tc>
          <w:tcPr>
            <w:tcW w:w="597"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取水口上游1000-1500米，下游为100-200米范围内的整个水域。</w:t>
            </w:r>
          </w:p>
        </w:tc>
        <w:tc>
          <w:tcPr>
            <w:tcW w:w="624"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20年一遇洪水位控制高程以下陆域，陆域沿岸长度与二级保护区水域长度相同。</w:t>
            </w:r>
          </w:p>
        </w:tc>
        <w:tc>
          <w:tcPr>
            <w:tcW w:w="382" w:type="pct"/>
            <w:noWrap w:val="0"/>
            <w:vAlign w:val="center"/>
          </w:tcPr>
          <w:p>
            <w:pPr>
              <w:spacing w:line="240" w:lineRule="exact"/>
              <w:jc w:val="center"/>
              <w:rPr>
                <w:rFonts w:eastAsia="方正仿宋_GBK"/>
                <w:kern w:val="0"/>
                <w:szCs w:val="18"/>
              </w:rPr>
            </w:pPr>
            <w:r>
              <w:rPr>
                <w:rFonts w:hint="eastAsia" w:eastAsia="方正仿宋_GBK"/>
                <w:kern w:val="0"/>
                <w:szCs w:val="18"/>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32" w:hRule="atLeast"/>
        </w:trPr>
        <w:tc>
          <w:tcPr>
            <w:tcW w:w="266" w:type="pct"/>
            <w:noWrap w:val="0"/>
            <w:vAlign w:val="center"/>
          </w:tcPr>
          <w:p>
            <w:pPr>
              <w:spacing w:line="240" w:lineRule="exact"/>
              <w:jc w:val="center"/>
              <w:rPr>
                <w:rFonts w:eastAsia="方正仿宋_GBK"/>
                <w:kern w:val="0"/>
                <w:szCs w:val="18"/>
              </w:rPr>
            </w:pPr>
            <w:r>
              <w:rPr>
                <w:rFonts w:eastAsia="方正仿宋_GBK"/>
                <w:kern w:val="0"/>
                <w:szCs w:val="18"/>
              </w:rPr>
              <w:t>2</w:t>
            </w:r>
          </w:p>
        </w:tc>
        <w:tc>
          <w:tcPr>
            <w:tcW w:w="266" w:type="pct"/>
            <w:noWrap w:val="0"/>
            <w:vAlign w:val="center"/>
          </w:tcPr>
          <w:p>
            <w:pPr>
              <w:spacing w:line="240" w:lineRule="exact"/>
              <w:jc w:val="center"/>
              <w:rPr>
                <w:rFonts w:eastAsia="方正仿宋_GBK"/>
                <w:kern w:val="0"/>
                <w:szCs w:val="18"/>
              </w:rPr>
            </w:pPr>
            <w:r>
              <w:rPr>
                <w:rFonts w:hint="eastAsia" w:eastAsia="方正仿宋_GBK"/>
                <w:kern w:val="0"/>
                <w:szCs w:val="18"/>
              </w:rPr>
              <w:t>镇级</w:t>
            </w:r>
          </w:p>
        </w:tc>
        <w:tc>
          <w:tcPr>
            <w:tcW w:w="368" w:type="pct"/>
            <w:noWrap w:val="0"/>
            <w:vAlign w:val="center"/>
          </w:tcPr>
          <w:p>
            <w:pPr>
              <w:adjustRightInd w:val="0"/>
              <w:spacing w:line="240" w:lineRule="exact"/>
              <w:jc w:val="center"/>
              <w:rPr>
                <w:rFonts w:eastAsia="方正仿宋_GBK"/>
                <w:kern w:val="0"/>
                <w:szCs w:val="18"/>
              </w:rPr>
            </w:pPr>
            <w:r>
              <w:rPr>
                <w:rFonts w:hint="eastAsia" w:eastAsia="方正仿宋_GBK"/>
                <w:kern w:val="0"/>
                <w:szCs w:val="18"/>
              </w:rPr>
              <w:t>米心自来水厂</w:t>
            </w:r>
          </w:p>
        </w:tc>
        <w:tc>
          <w:tcPr>
            <w:tcW w:w="296" w:type="pct"/>
            <w:noWrap w:val="0"/>
            <w:vAlign w:val="center"/>
          </w:tcPr>
          <w:p>
            <w:pPr>
              <w:adjustRightInd w:val="0"/>
              <w:spacing w:line="240" w:lineRule="exact"/>
              <w:jc w:val="center"/>
              <w:rPr>
                <w:rFonts w:eastAsia="方正仿宋_GBK"/>
                <w:kern w:val="0"/>
                <w:szCs w:val="18"/>
              </w:rPr>
            </w:pPr>
            <w:r>
              <w:rPr>
                <w:rFonts w:hint="eastAsia" w:eastAsia="方正仿宋_GBK"/>
                <w:kern w:val="0"/>
                <w:szCs w:val="18"/>
              </w:rPr>
              <w:t>涪江</w:t>
            </w:r>
          </w:p>
        </w:tc>
        <w:tc>
          <w:tcPr>
            <w:tcW w:w="334" w:type="pct"/>
            <w:noWrap w:val="0"/>
            <w:vAlign w:val="center"/>
          </w:tcPr>
          <w:p>
            <w:pPr>
              <w:adjustRightInd w:val="0"/>
              <w:spacing w:line="240" w:lineRule="exact"/>
              <w:jc w:val="center"/>
              <w:rPr>
                <w:rFonts w:eastAsia="方正仿宋_GBK"/>
                <w:kern w:val="0"/>
                <w:szCs w:val="18"/>
              </w:rPr>
            </w:pPr>
            <w:r>
              <w:rPr>
                <w:rFonts w:hint="eastAsia" w:eastAsia="方正仿宋_GBK"/>
                <w:szCs w:val="18"/>
              </w:rPr>
              <w:t>小型河流</w:t>
            </w:r>
          </w:p>
        </w:tc>
        <w:tc>
          <w:tcPr>
            <w:tcW w:w="457" w:type="pct"/>
            <w:noWrap w:val="0"/>
            <w:vAlign w:val="center"/>
          </w:tcPr>
          <w:p>
            <w:pPr>
              <w:adjustRightInd w:val="0"/>
              <w:spacing w:line="240" w:lineRule="exact"/>
              <w:jc w:val="center"/>
              <w:rPr>
                <w:rFonts w:eastAsia="方正仿宋_GBK"/>
                <w:kern w:val="0"/>
                <w:szCs w:val="18"/>
              </w:rPr>
            </w:pPr>
            <w:r>
              <w:rPr>
                <w:rFonts w:hint="eastAsia" w:eastAsia="方正仿宋_GBK"/>
                <w:kern w:val="0"/>
                <w:szCs w:val="18"/>
              </w:rPr>
              <w:t>米心镇</w:t>
            </w:r>
          </w:p>
        </w:tc>
        <w:tc>
          <w:tcPr>
            <w:tcW w:w="688"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取水口上游1000米，下游为100米范围内的整个水域。</w:t>
            </w:r>
          </w:p>
        </w:tc>
        <w:tc>
          <w:tcPr>
            <w:tcW w:w="724"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20年一遇洪水位控制高程以下陆域，陆域沿岸长度与一级保护区水域长度相同。</w:t>
            </w:r>
          </w:p>
        </w:tc>
        <w:tc>
          <w:tcPr>
            <w:tcW w:w="597"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取水口上游1000米至三星电站大坝，下游为100-200米范围内的整个水域。</w:t>
            </w:r>
          </w:p>
        </w:tc>
        <w:tc>
          <w:tcPr>
            <w:tcW w:w="624" w:type="pct"/>
            <w:noWrap w:val="0"/>
            <w:vAlign w:val="center"/>
          </w:tcPr>
          <w:p>
            <w:pPr>
              <w:adjustRightInd w:val="0"/>
              <w:spacing w:line="24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20年一遇洪水位控制高程以下陆域，陆域沿岸长度与二级保护区水域长度相同。</w:t>
            </w:r>
          </w:p>
        </w:tc>
        <w:tc>
          <w:tcPr>
            <w:tcW w:w="382" w:type="pct"/>
            <w:noWrap w:val="0"/>
            <w:vAlign w:val="center"/>
          </w:tcPr>
          <w:p>
            <w:pPr>
              <w:spacing w:line="240" w:lineRule="exact"/>
              <w:jc w:val="center"/>
              <w:rPr>
                <w:rFonts w:eastAsia="方正仿宋_GBK"/>
                <w:kern w:val="0"/>
                <w:szCs w:val="18"/>
              </w:rPr>
            </w:pPr>
            <w:r>
              <w:rPr>
                <w:rFonts w:hint="eastAsia" w:eastAsia="方正仿宋_GBK"/>
                <w:kern w:val="0"/>
                <w:szCs w:val="18"/>
              </w:rPr>
              <w:t>停用</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sz w:val="32"/>
          <w:szCs w:val="32"/>
          <w:lang w:val="en-US" w:eastAsia="zh-CN"/>
        </w:rPr>
      </w:pPr>
    </w:p>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55245</wp:posOffset>
              </wp:positionV>
              <wp:extent cx="8771890" cy="3175"/>
              <wp:effectExtent l="0" t="10795" r="10160" b="14605"/>
              <wp:wrapNone/>
              <wp:docPr id="13" name="直接连接符 13"/>
              <wp:cNvGraphicFramePr/>
              <a:graphic xmlns:a="http://schemas.openxmlformats.org/drawingml/2006/main">
                <a:graphicData uri="http://schemas.microsoft.com/office/word/2010/wordprocessingShape">
                  <wps:wsp>
                    <wps:cNvCnPr/>
                    <wps:spPr>
                      <a:xfrm>
                        <a:off x="0" y="0"/>
                        <a:ext cx="8771890" cy="31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4.35pt;height:0.25pt;width:690.7pt;z-index:251663360;mso-width-relative:page;mso-height-relative:page;" filled="f" stroked="t" coordsize="21600,21600" o:gfxdata="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kN5ktMA&#10;AAAFAQAADwAAAAAAAAABACAAAAAiAAAAZHJzL2Rvd25yZXYueG1sUEsBAhQAFAAAAAgAh07iQM43&#10;zdrrAQAAtwMAAA4AAAAAAAAAAQAgAAAAIg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ind w:firstLine="8714" w:firstLineChars="3100"/>
      <w:jc w:val="both"/>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潼南区人民政府办公室发布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8759825" cy="3175"/>
              <wp:effectExtent l="0" t="10795" r="3175" b="14605"/>
              <wp:wrapNone/>
              <wp:docPr id="10" name="直接连接符 10"/>
              <wp:cNvGraphicFramePr/>
              <a:graphic xmlns:a="http://schemas.openxmlformats.org/drawingml/2006/main">
                <a:graphicData uri="http://schemas.microsoft.com/office/word/2010/wordprocessingShape">
                  <wps:wsp>
                    <wps:cNvCnPr/>
                    <wps:spPr>
                      <a:xfrm>
                        <a:off x="4133850" y="864870"/>
                        <a:ext cx="8759825" cy="31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25pt;width:689.75pt;z-index:251662336;mso-width-relative:page;mso-height-relative:page;" filled="f" stroked="t" coordsize="21600,21600" o:gfxdata="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kqm1QAAAAkBAAAPAAAAAAAAAAEAIAAAACIAAABkcnMvZG93bnJldi54bWxQSwEC&#10;FAAUAAAACACHTuJAlDiz+/cBAADCAwAADgAAAAAAAAABACAAAAAkAQAAZHJzL2Uyb0RvYy54bWxQ&#10;SwUGAAAAAAYABgBZAQAAjQ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3F690758"/>
    <w:rsid w:val="417B75E9"/>
    <w:rsid w:val="42F058B7"/>
    <w:rsid w:val="436109F6"/>
    <w:rsid w:val="441A38D4"/>
    <w:rsid w:val="4504239D"/>
    <w:rsid w:val="4A983A3C"/>
    <w:rsid w:val="4BC77339"/>
    <w:rsid w:val="4C9236C5"/>
    <w:rsid w:val="4E250A85"/>
    <w:rsid w:val="4FFD4925"/>
    <w:rsid w:val="505C172E"/>
    <w:rsid w:val="506405EA"/>
    <w:rsid w:val="52F46F0B"/>
    <w:rsid w:val="532B6A10"/>
    <w:rsid w:val="53D8014D"/>
    <w:rsid w:val="55E064E0"/>
    <w:rsid w:val="572C6D10"/>
    <w:rsid w:val="5A6D1036"/>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黑体_GBK" w:hAnsi="方正黑体_GBK" w:eastAsia="宋体" w:cs="方正黑体_GBK"/>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spacing w:before="100" w:beforeLines="0" w:beforeAutospacing="1" w:after="120" w:afterLines="0"/>
    </w:pPr>
    <w:rPr>
      <w:rFonts w:ascii="Times New Roman" w:hAnsi="Times New Roman" w:eastAsia="宋体" w:cs="Times New Roman"/>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2024-03-28T08:34:21Z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