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仿宋_GBK"/>
          <w:snapToGrid w:val="0"/>
          <w:color w:val="000000"/>
          <w:kern w:val="0"/>
        </w:rPr>
      </w:pPr>
    </w:p>
    <w:p>
      <w:pPr>
        <w:tabs>
          <w:tab w:val="left" w:pos="1470"/>
        </w:tabs>
        <w:spacing w:line="600" w:lineRule="exact"/>
        <w:jc w:val="both"/>
        <w:rPr>
          <w:rFonts w:hint="eastAsia" w:eastAsia="方正小标宋_GBK"/>
          <w:sz w:val="44"/>
          <w:szCs w:val="44"/>
        </w:rPr>
      </w:pPr>
    </w:p>
    <w:p>
      <w:pPr>
        <w:keepNext w:val="0"/>
        <w:keepLines w:val="0"/>
        <w:pageBreakBefore w:val="0"/>
        <w:widowControl w:val="0"/>
        <w:tabs>
          <w:tab w:val="left" w:pos="1470"/>
        </w:tabs>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重庆市潼南区人民政府办公室</w:t>
      </w:r>
    </w:p>
    <w:p>
      <w:pPr>
        <w:keepNext w:val="0"/>
        <w:keepLines w:val="0"/>
        <w:pageBreakBefore w:val="0"/>
        <w:widowControl w:val="0"/>
        <w:tabs>
          <w:tab w:val="left" w:pos="1470"/>
        </w:tabs>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关于印发《重庆市潼南区集中式饮用水水源地保护区划分方案》的通知</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潼南府办发〔2023〕24号</w:t>
      </w:r>
    </w:p>
    <w:p>
      <w:pPr>
        <w:spacing w:line="600" w:lineRule="exact"/>
        <w:rPr>
          <w:rFonts w:hint="eastAsia"/>
          <w:b/>
          <w:sz w:val="44"/>
          <w:szCs w:val="44"/>
        </w:rPr>
      </w:pPr>
    </w:p>
    <w:p>
      <w:pPr>
        <w:keepNext w:val="0"/>
        <w:keepLines w:val="0"/>
        <w:pageBreakBefore w:val="0"/>
        <w:widowControl w:val="0"/>
        <w:kinsoku/>
        <w:wordWrap/>
        <w:overflowPunct/>
        <w:topLinePunct w:val="0"/>
        <w:autoSpaceDE/>
        <w:autoSpaceDN/>
        <w:bidi w:val="0"/>
        <w:snapToGrid w:val="0"/>
        <w:spacing w:line="60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各镇人民政府、街道办事处，区</w:t>
      </w:r>
      <w:r>
        <w:rPr>
          <w:rFonts w:hint="eastAsia" w:ascii="Times New Roman" w:hAnsi="Times New Roman" w:eastAsia="方正仿宋_GBK" w:cs="Times New Roman"/>
          <w:kern w:val="0"/>
          <w:sz w:val="32"/>
          <w:szCs w:val="32"/>
        </w:rPr>
        <w:t>政府</w:t>
      </w:r>
      <w:r>
        <w:rPr>
          <w:rFonts w:ascii="Times New Roman" w:hAnsi="Times New Roman" w:eastAsia="方正仿宋_GBK" w:cs="Times New Roman"/>
          <w:kern w:val="0"/>
          <w:sz w:val="32"/>
          <w:szCs w:val="32"/>
        </w:rPr>
        <w:t>有关部门</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有关单位</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根据《关于公布实施潼南区等区县集中式饮用水水源地保护区的函》（渝环函</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75</w:t>
      </w:r>
      <w:r>
        <w:rPr>
          <w:rFonts w:hint="eastAsia" w:ascii="Times New Roman" w:hAnsi="Times New Roman" w:eastAsia="方正仿宋_GBK" w:cs="Times New Roman"/>
          <w:sz w:val="32"/>
          <w:szCs w:val="32"/>
        </w:rPr>
        <w:t>号）要求，市政府批准同意对我区4个集中式饮用水源地保护区进行划分。为进一步做好集中式饮用水水源地管理，确保饮用水水源地水质安全，现就有关工作通知如下。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一是提高政治站位，深化思想认识。</w:t>
      </w:r>
      <w:r>
        <w:rPr>
          <w:rFonts w:hint="eastAsia" w:ascii="Times New Roman" w:hAnsi="Times New Roman" w:eastAsia="方正仿宋_GBK" w:cs="Times New Roman"/>
          <w:sz w:val="32"/>
          <w:szCs w:val="32"/>
        </w:rPr>
        <w:t>饮用水水源保护涉及人民群众的切身利益，各有关镇街、各有关部门和单位要提高政治站位，深入贯彻习近平生态文明思想，坚持新发展理念，坚持以人民为中心，坚持从实际出发，将城市及乡镇集中式饮用水水源保护工作摆在优先位置，做好饮用水源保护各项工作，确保群众喝上干净水、安全水、放心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二是</w:t>
      </w:r>
      <w:r>
        <w:rPr>
          <w:rFonts w:hint="eastAsia" w:ascii="方正黑体_GBK" w:hAnsi="方正黑体_GBK" w:eastAsia="方正黑体_GBK" w:cs="方正黑体_GBK"/>
          <w:sz w:val="32"/>
          <w:szCs w:val="32"/>
        </w:rPr>
        <w:t>压实属地责任，做好日常巡查。</w:t>
      </w:r>
      <w:r>
        <w:rPr>
          <w:rFonts w:ascii="Times New Roman" w:hAnsi="Times New Roman" w:eastAsia="方正仿宋_GBK" w:cs="Times New Roman"/>
          <w:sz w:val="32"/>
          <w:szCs w:val="32"/>
        </w:rPr>
        <w:t>按照属地管理原则，</w:t>
      </w:r>
      <w:r>
        <w:rPr>
          <w:rFonts w:hint="eastAsia" w:ascii="Times New Roman" w:hAnsi="Times New Roman" w:eastAsia="方正仿宋_GBK" w:cs="Times New Roman"/>
          <w:sz w:val="32"/>
          <w:szCs w:val="32"/>
        </w:rPr>
        <w:t>各</w:t>
      </w:r>
      <w:r>
        <w:rPr>
          <w:rFonts w:ascii="Times New Roman" w:hAnsi="Times New Roman" w:eastAsia="方正仿宋_GBK" w:cs="Times New Roman"/>
          <w:sz w:val="32"/>
          <w:szCs w:val="32"/>
        </w:rPr>
        <w:t>有关镇街要落实集中式饮用水水源地保护工作主体责任，进一步做好辖区内饮用水水源地保护区的日常</w:t>
      </w:r>
      <w:r>
        <w:rPr>
          <w:rFonts w:hint="eastAsia" w:ascii="Times New Roman" w:hAnsi="Times New Roman" w:eastAsia="方正仿宋_GBK" w:cs="Times New Roman"/>
          <w:sz w:val="32"/>
          <w:szCs w:val="32"/>
        </w:rPr>
        <w:t>巡查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规范化建设</w:t>
      </w:r>
      <w:r>
        <w:rPr>
          <w:rFonts w:ascii="Times New Roman" w:hAnsi="Times New Roman" w:eastAsia="方正仿宋_GBK" w:cs="Times New Roman"/>
          <w:sz w:val="32"/>
          <w:szCs w:val="32"/>
        </w:rPr>
        <w:t>及维</w:t>
      </w:r>
      <w:r>
        <w:rPr>
          <w:rFonts w:hint="eastAsia" w:ascii="Times New Roman" w:hAnsi="Times New Roman" w:eastAsia="方正仿宋_GBK" w:cs="Times New Roman"/>
          <w:sz w:val="32"/>
          <w:szCs w:val="32"/>
        </w:rPr>
        <w:t>修</w:t>
      </w:r>
      <w:r>
        <w:rPr>
          <w:rFonts w:ascii="Times New Roman" w:hAnsi="Times New Roman" w:eastAsia="方正仿宋_GBK" w:cs="Times New Roman"/>
          <w:sz w:val="32"/>
          <w:szCs w:val="32"/>
        </w:rPr>
        <w:t>管理等工作。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方正黑体_GBK" w:eastAsia="方正黑体_GBK" w:cs="方正黑体_GBK"/>
          <w:sz w:val="32"/>
          <w:szCs w:val="32"/>
        </w:rPr>
        <w:t>三是</w:t>
      </w:r>
      <w:r>
        <w:rPr>
          <w:rFonts w:hint="eastAsia" w:ascii="方正黑体_GBK" w:hAnsi="方正黑体_GBK" w:eastAsia="方正黑体_GBK" w:cs="方正黑体_GBK"/>
          <w:sz w:val="32"/>
          <w:szCs w:val="32"/>
        </w:rPr>
        <w:t>强化部门监管，形成工作合力。</w:t>
      </w:r>
      <w:r>
        <w:rPr>
          <w:rFonts w:ascii="Times New Roman" w:hAnsi="Times New Roman" w:eastAsia="方正仿宋_GBK" w:cs="Times New Roman"/>
          <w:sz w:val="32"/>
          <w:szCs w:val="32"/>
        </w:rPr>
        <w:t>生态环境部门负责本行政区域内集中式饮用水水源污染防治的统一监督管理。水利、规划自然资源、卫生健康、应急、交通等部门和供水单位按照各自职责，做好集中式饮用水水源利用、保护和监督管理工作。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tabs>
          <w:tab w:val="left" w:pos="1470"/>
        </w:tabs>
        <w:kinsoku/>
        <w:wordWrap/>
        <w:overflowPunct/>
        <w:topLinePunct w:val="0"/>
        <w:autoSpaceDE/>
        <w:autoSpaceDN/>
        <w:bidi w:val="0"/>
        <w:spacing w:line="600" w:lineRule="exact"/>
        <w:ind w:left="1918" w:leftChars="304" w:hanging="1280" w:hangingChars="400"/>
        <w:textAlignment w:val="auto"/>
        <w:rPr>
          <w:rFonts w:hint="eastAsia" w:ascii="Times New Roman" w:hAnsi="Times New Roman" w:eastAsia="方正仿宋_GBK" w:cs="Times New Roman"/>
          <w:spacing w:val="-17"/>
          <w:sz w:val="32"/>
          <w:szCs w:val="32"/>
        </w:rPr>
      </w:pPr>
      <w:r>
        <w:rPr>
          <w:rFonts w:ascii="Times New Roman" w:hAnsi="Times New Roman" w:eastAsia="方正仿宋_GBK" w:cs="Times New Roman"/>
          <w:sz w:val="32"/>
          <w:szCs w:val="32"/>
        </w:rPr>
        <w:t xml:space="preserve"> </w:t>
      </w:r>
      <w:r>
        <w:rPr>
          <w:rFonts w:hint="eastAsia" w:eastAsia="方正仿宋_GBK"/>
          <w:sz w:val="32"/>
          <w:szCs w:val="32"/>
        </w:rPr>
        <w:t>附件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潼南区集中式饮用水水源地保护区划分方案</w:t>
      </w:r>
    </w:p>
    <w:p>
      <w:pPr>
        <w:pStyle w:val="5"/>
        <w:keepNext w:val="0"/>
        <w:keepLines w:val="0"/>
        <w:pageBreakBefore w:val="0"/>
        <w:widowControl w:val="0"/>
        <w:kinsoku/>
        <w:wordWrap/>
        <w:overflowPunct/>
        <w:topLinePunct w:val="0"/>
        <w:autoSpaceDE/>
        <w:autoSpaceDN/>
        <w:bidi w:val="0"/>
        <w:spacing w:before="0" w:beforeAutospacing="0" w:after="0" w:line="600" w:lineRule="exact"/>
        <w:textAlignment w:val="auto"/>
        <w:rPr>
          <w:rFonts w:hint="eastAsia" w:eastAsia="方正仿宋_GBK"/>
          <w:spacing w:val="-11"/>
          <w:sz w:val="32"/>
          <w:szCs w:val="32"/>
        </w:rPr>
      </w:pPr>
      <w:r>
        <w:rPr>
          <w:rFonts w:hint="eastAsia" w:eastAsia="方正仿宋_GBK"/>
          <w:spacing w:val="-11"/>
          <w:sz w:val="32"/>
          <w:szCs w:val="32"/>
        </w:rPr>
        <w:t xml:space="preserve">         </w:t>
      </w:r>
    </w:p>
    <w:p>
      <w:pPr>
        <w:pStyle w:val="5"/>
        <w:keepNext w:val="0"/>
        <w:keepLines w:val="0"/>
        <w:pageBreakBefore w:val="0"/>
        <w:widowControl w:val="0"/>
        <w:kinsoku/>
        <w:wordWrap/>
        <w:overflowPunct/>
        <w:topLinePunct w:val="0"/>
        <w:autoSpaceDE/>
        <w:autoSpaceDN/>
        <w:bidi w:val="0"/>
        <w:spacing w:before="0" w:beforeAutospacing="0" w:after="0" w:line="60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重庆市潼南区人民政府</w:t>
      </w:r>
      <w:r>
        <w:rPr>
          <w:rFonts w:hint="eastAsia" w:ascii="Times New Roman" w:hAnsi="Times New Roman" w:eastAsia="方正仿宋_GBK" w:cs="Times New Roman"/>
          <w:sz w:val="32"/>
          <w:szCs w:val="32"/>
        </w:rPr>
        <w:t>办公室</w:t>
      </w:r>
    </w:p>
    <w:p>
      <w:pPr>
        <w:keepNext w:val="0"/>
        <w:keepLines w:val="0"/>
        <w:pageBreakBefore w:val="0"/>
        <w:widowControl w:val="0"/>
        <w:tabs>
          <w:tab w:val="left" w:pos="7560"/>
        </w:tabs>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bookmarkStart w:id="0" w:name="_GoBack"/>
      <w:bookmarkEnd w:id="0"/>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7月3日</w:t>
      </w: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eastAsia="方正仿宋_GBK"/>
          <w:sz w:val="32"/>
          <w:szCs w:val="32"/>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方正仿宋_GBK" w:eastAsia="方正仿宋_GBK"/>
          <w:sz w:val="32"/>
          <w:szCs w:val="32"/>
        </w:rPr>
        <w:t>（此件公开发布）</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adjustRightInd w:val="0"/>
        <w:snapToGrid w:val="0"/>
        <w:spacing w:line="560" w:lineRule="exact"/>
        <w:jc w:val="center"/>
        <w:rPr>
          <w:rFonts w:hint="eastAsia"/>
        </w:rPr>
      </w:pPr>
      <w:r>
        <w:rPr>
          <w:rFonts w:hint="eastAsia" w:ascii="方正小标宋_GBK" w:hAnsi="Times New Roman" w:eastAsia="方正小标宋_GBK" w:cs="Times New Roman"/>
          <w:sz w:val="44"/>
          <w:szCs w:val="44"/>
        </w:rPr>
        <w:t>潼南区集中式饮用水水源地保护区划分方案</w:t>
      </w:r>
    </w:p>
    <w:tbl>
      <w:tblPr>
        <w:tblStyle w:val="9"/>
        <w:tblpPr w:leftFromText="180" w:rightFromText="180" w:vertAnchor="text" w:horzAnchor="page" w:tblpX="1309" w:tblpY="168"/>
        <w:tblOverlap w:val="never"/>
        <w:tblW w:w="14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9"/>
        <w:gridCol w:w="570"/>
        <w:gridCol w:w="1050"/>
        <w:gridCol w:w="1185"/>
        <w:gridCol w:w="735"/>
        <w:gridCol w:w="1305"/>
        <w:gridCol w:w="2040"/>
        <w:gridCol w:w="2194"/>
        <w:gridCol w:w="1939"/>
        <w:gridCol w:w="1891"/>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39" w:type="dxa"/>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Cs w:val="21"/>
              </w:rPr>
              <w:t>序号</w:t>
            </w:r>
          </w:p>
        </w:tc>
        <w:tc>
          <w:tcPr>
            <w:tcW w:w="570" w:type="dxa"/>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w:t>
            </w:r>
          </w:p>
          <w:p>
            <w:pPr>
              <w:spacing w:line="24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Cs w:val="21"/>
              </w:rPr>
              <w:t>级别</w:t>
            </w:r>
          </w:p>
        </w:tc>
        <w:tc>
          <w:tcPr>
            <w:tcW w:w="1050" w:type="dxa"/>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水厂</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名称</w:t>
            </w:r>
          </w:p>
        </w:tc>
        <w:tc>
          <w:tcPr>
            <w:tcW w:w="1185" w:type="dxa"/>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名称</w:t>
            </w:r>
          </w:p>
        </w:tc>
        <w:tc>
          <w:tcPr>
            <w:tcW w:w="735" w:type="dxa"/>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类型</w:t>
            </w:r>
          </w:p>
        </w:tc>
        <w:tc>
          <w:tcPr>
            <w:tcW w:w="1305" w:type="dxa"/>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水源所在乡镇</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（街道）</w:t>
            </w:r>
          </w:p>
        </w:tc>
        <w:tc>
          <w:tcPr>
            <w:tcW w:w="8064" w:type="dxa"/>
            <w:gridSpan w:val="4"/>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保护区范围划分</w:t>
            </w:r>
          </w:p>
        </w:tc>
        <w:tc>
          <w:tcPr>
            <w:tcW w:w="1097" w:type="dxa"/>
            <w:vMerge w:val="restart"/>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使用</w:t>
            </w:r>
          </w:p>
          <w:p>
            <w:pPr>
              <w:spacing w:line="240" w:lineRule="exact"/>
              <w:jc w:val="center"/>
              <w:textAlignment w:val="center"/>
              <w:rPr>
                <w:b/>
                <w:bCs/>
                <w:color w:val="000000"/>
                <w:kern w:val="0"/>
                <w:szCs w:val="21"/>
              </w:rPr>
            </w:pPr>
            <w:r>
              <w:rPr>
                <w:rFonts w:hint="eastAsia" w:ascii="方正黑体_GBK" w:hAnsi="方正黑体_GBK" w:eastAsia="方正黑体_GBK" w:cs="方正黑体_GBK"/>
                <w:color w:val="000000"/>
                <w:kern w:val="0"/>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39" w:type="dxa"/>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570" w:type="dxa"/>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1050"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1185"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735"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1305"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4234" w:type="dxa"/>
            <w:gridSpan w:val="2"/>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一级保护区</w:t>
            </w:r>
          </w:p>
        </w:tc>
        <w:tc>
          <w:tcPr>
            <w:tcW w:w="3830" w:type="dxa"/>
            <w:gridSpan w:val="2"/>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二级保护区</w:t>
            </w:r>
          </w:p>
        </w:tc>
        <w:tc>
          <w:tcPr>
            <w:tcW w:w="1097" w:type="dxa"/>
            <w:vMerge w:val="continue"/>
            <w:noWrap w:val="0"/>
            <w:vAlign w:val="center"/>
          </w:tcPr>
          <w:p>
            <w:pPr>
              <w:spacing w:line="240" w:lineRule="exact"/>
              <w:jc w:val="center"/>
              <w:textAlignment w:val="center"/>
              <w:rPr>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39" w:type="dxa"/>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570" w:type="dxa"/>
            <w:vMerge w:val="continue"/>
            <w:noWrap w:val="0"/>
            <w:vAlign w:val="center"/>
          </w:tcPr>
          <w:p>
            <w:pPr>
              <w:spacing w:line="240" w:lineRule="exact"/>
              <w:jc w:val="center"/>
              <w:rPr>
                <w:rFonts w:ascii="方正黑体_GBK" w:hAnsi="方正黑体_GBK" w:eastAsia="方正黑体_GBK" w:cs="方正黑体_GBK"/>
                <w:color w:val="000000"/>
                <w:sz w:val="24"/>
              </w:rPr>
            </w:pPr>
          </w:p>
        </w:tc>
        <w:tc>
          <w:tcPr>
            <w:tcW w:w="1050"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1185"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735"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1305" w:type="dxa"/>
            <w:vMerge w:val="continue"/>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p>
        </w:tc>
        <w:tc>
          <w:tcPr>
            <w:tcW w:w="2040" w:type="dxa"/>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水域范围</w:t>
            </w:r>
          </w:p>
        </w:tc>
        <w:tc>
          <w:tcPr>
            <w:tcW w:w="2194" w:type="dxa"/>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陆域范围</w:t>
            </w:r>
          </w:p>
        </w:tc>
        <w:tc>
          <w:tcPr>
            <w:tcW w:w="1939" w:type="dxa"/>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水域</w:t>
            </w:r>
          </w:p>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范围</w:t>
            </w:r>
          </w:p>
        </w:tc>
        <w:tc>
          <w:tcPr>
            <w:tcW w:w="1891" w:type="dxa"/>
            <w:noWrap w:val="0"/>
            <w:vAlign w:val="center"/>
          </w:tcPr>
          <w:p>
            <w:pPr>
              <w:spacing w:line="240" w:lineRule="exact"/>
              <w:jc w:val="center"/>
              <w:textAlignment w:val="center"/>
              <w:rPr>
                <w:rFonts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陆域范围</w:t>
            </w:r>
          </w:p>
        </w:tc>
        <w:tc>
          <w:tcPr>
            <w:tcW w:w="1097" w:type="dxa"/>
            <w:vMerge w:val="continue"/>
            <w:noWrap w:val="0"/>
            <w:vAlign w:val="center"/>
          </w:tcPr>
          <w:p>
            <w:pPr>
              <w:spacing w:line="240" w:lineRule="exact"/>
              <w:jc w:val="center"/>
              <w:textAlignment w:val="center"/>
              <w:rPr>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39" w:type="dxa"/>
            <w:noWrap w:val="0"/>
            <w:vAlign w:val="center"/>
          </w:tcPr>
          <w:p>
            <w:pPr>
              <w:spacing w:line="22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1</w:t>
            </w:r>
          </w:p>
        </w:tc>
        <w:tc>
          <w:tcPr>
            <w:tcW w:w="570" w:type="dxa"/>
            <w:noWrap w:val="0"/>
            <w:vAlign w:val="center"/>
          </w:tcPr>
          <w:p>
            <w:pPr>
              <w:spacing w:line="220" w:lineRule="exact"/>
              <w:jc w:val="center"/>
              <w:rPr>
                <w:rFonts w:eastAsia="方正仿宋_GBK"/>
                <w:kern w:val="0"/>
                <w:szCs w:val="18"/>
              </w:rPr>
            </w:pPr>
            <w:r>
              <w:rPr>
                <w:rFonts w:hint="eastAsia" w:eastAsia="方正仿宋_GBK"/>
                <w:kern w:val="0"/>
                <w:szCs w:val="18"/>
              </w:rPr>
              <w:t>镇级</w:t>
            </w:r>
          </w:p>
        </w:tc>
        <w:tc>
          <w:tcPr>
            <w:tcW w:w="1050" w:type="dxa"/>
            <w:noWrap w:val="0"/>
            <w:vAlign w:val="center"/>
          </w:tcPr>
          <w:p>
            <w:pPr>
              <w:spacing w:line="220" w:lineRule="exact"/>
              <w:jc w:val="center"/>
              <w:rPr>
                <w:rFonts w:eastAsia="方正仿宋_GBK"/>
                <w:kern w:val="0"/>
                <w:szCs w:val="18"/>
              </w:rPr>
            </w:pPr>
            <w:r>
              <w:rPr>
                <w:rFonts w:hint="eastAsia" w:eastAsia="方正仿宋_GBK"/>
                <w:kern w:val="0"/>
                <w:szCs w:val="18"/>
              </w:rPr>
              <w:t>桂林水厂</w:t>
            </w:r>
          </w:p>
        </w:tc>
        <w:tc>
          <w:tcPr>
            <w:tcW w:w="1185" w:type="dxa"/>
            <w:noWrap w:val="0"/>
            <w:vAlign w:val="center"/>
          </w:tcPr>
          <w:p>
            <w:pPr>
              <w:spacing w:line="220" w:lineRule="exact"/>
              <w:jc w:val="center"/>
              <w:rPr>
                <w:rFonts w:eastAsia="方正仿宋_GBK"/>
                <w:kern w:val="0"/>
                <w:szCs w:val="18"/>
              </w:rPr>
            </w:pPr>
            <w:r>
              <w:rPr>
                <w:rFonts w:hint="eastAsia" w:eastAsia="方正仿宋_GBK"/>
                <w:kern w:val="0"/>
                <w:szCs w:val="18"/>
              </w:rPr>
              <w:t>人工运河</w:t>
            </w:r>
          </w:p>
        </w:tc>
        <w:tc>
          <w:tcPr>
            <w:tcW w:w="735" w:type="dxa"/>
            <w:noWrap w:val="0"/>
            <w:vAlign w:val="center"/>
          </w:tcPr>
          <w:p>
            <w:pPr>
              <w:spacing w:line="220" w:lineRule="exact"/>
              <w:jc w:val="center"/>
              <w:rPr>
                <w:rFonts w:eastAsia="方正仿宋_GBK"/>
                <w:kern w:val="0"/>
                <w:szCs w:val="18"/>
              </w:rPr>
            </w:pPr>
            <w:r>
              <w:rPr>
                <w:rFonts w:hint="eastAsia" w:eastAsia="方正仿宋_GBK"/>
                <w:kern w:val="0"/>
                <w:szCs w:val="18"/>
              </w:rPr>
              <w:t>河流型</w:t>
            </w:r>
          </w:p>
        </w:tc>
        <w:tc>
          <w:tcPr>
            <w:tcW w:w="1305" w:type="dxa"/>
            <w:noWrap w:val="0"/>
            <w:vAlign w:val="center"/>
          </w:tcPr>
          <w:p>
            <w:pPr>
              <w:spacing w:line="220" w:lineRule="exact"/>
              <w:jc w:val="center"/>
              <w:rPr>
                <w:rFonts w:eastAsia="方正仿宋_GBK"/>
                <w:kern w:val="0"/>
                <w:szCs w:val="18"/>
              </w:rPr>
            </w:pPr>
            <w:r>
              <w:rPr>
                <w:rFonts w:hint="eastAsia" w:eastAsia="方正仿宋_GBK"/>
                <w:kern w:val="0"/>
                <w:szCs w:val="18"/>
              </w:rPr>
              <w:t>桂林街道</w:t>
            </w:r>
          </w:p>
        </w:tc>
        <w:tc>
          <w:tcPr>
            <w:tcW w:w="2040" w:type="dxa"/>
            <w:noWrap w:val="0"/>
            <w:vAlign w:val="center"/>
          </w:tcPr>
          <w:p>
            <w:pPr>
              <w:spacing w:line="220" w:lineRule="exact"/>
              <w:jc w:val="left"/>
              <w:rPr>
                <w:rFonts w:eastAsia="方正仿宋_GBK"/>
                <w:kern w:val="0"/>
                <w:szCs w:val="18"/>
              </w:rPr>
            </w:pPr>
            <w:r>
              <w:rPr>
                <w:rFonts w:hint="eastAsia" w:eastAsia="方正仿宋_GBK"/>
                <w:kern w:val="0"/>
                <w:szCs w:val="18"/>
              </w:rPr>
              <w:t>取水口上游</w:t>
            </w:r>
            <w:r>
              <w:rPr>
                <w:rFonts w:eastAsia="方正仿宋_GBK"/>
                <w:kern w:val="0"/>
                <w:szCs w:val="18"/>
              </w:rPr>
              <w:t xml:space="preserve"> 1000 </w:t>
            </w:r>
            <w:r>
              <w:rPr>
                <w:rFonts w:hint="eastAsia" w:eastAsia="方正仿宋_GBK"/>
                <w:kern w:val="0"/>
                <w:szCs w:val="18"/>
              </w:rPr>
              <w:t>米至下游</w:t>
            </w:r>
            <w:r>
              <w:rPr>
                <w:rFonts w:eastAsia="方正仿宋_GBK"/>
                <w:kern w:val="0"/>
                <w:szCs w:val="18"/>
              </w:rPr>
              <w:t xml:space="preserve"> 100 </w:t>
            </w:r>
            <w:r>
              <w:rPr>
                <w:rFonts w:hint="eastAsia" w:eastAsia="方正仿宋_GBK"/>
                <w:kern w:val="0"/>
                <w:szCs w:val="18"/>
              </w:rPr>
              <w:t>米，多年平均水位（</w:t>
            </w:r>
            <w:r>
              <w:rPr>
                <w:rFonts w:eastAsia="方正仿宋_GBK"/>
                <w:kern w:val="0"/>
                <w:szCs w:val="18"/>
              </w:rPr>
              <w:t>236.5 m</w:t>
            </w:r>
            <w:r>
              <w:rPr>
                <w:rFonts w:hint="eastAsia" w:eastAsia="方正仿宋_GBK"/>
                <w:kern w:val="0"/>
                <w:szCs w:val="18"/>
              </w:rPr>
              <w:t>）对应的高程线以下的全部水域。</w:t>
            </w:r>
            <w:r>
              <w:rPr>
                <w:rFonts w:eastAsia="方正仿宋_GBK"/>
                <w:kern w:val="0"/>
                <w:szCs w:val="18"/>
              </w:rPr>
              <w:t xml:space="preserve"> </w:t>
            </w:r>
          </w:p>
        </w:tc>
        <w:tc>
          <w:tcPr>
            <w:tcW w:w="2194" w:type="dxa"/>
            <w:noWrap w:val="0"/>
            <w:vAlign w:val="center"/>
          </w:tcPr>
          <w:p>
            <w:pPr>
              <w:spacing w:line="220" w:lineRule="exact"/>
              <w:jc w:val="left"/>
              <w:rPr>
                <w:rFonts w:eastAsia="方正仿宋_GBK"/>
                <w:kern w:val="0"/>
                <w:szCs w:val="18"/>
              </w:rPr>
            </w:pPr>
            <w:r>
              <w:rPr>
                <w:rFonts w:ascii="Times New Roman" w:hAnsi="Times New Roman" w:eastAsia="方正仿宋_GBK" w:cs="Times New Roman"/>
                <w:kern w:val="0"/>
                <w:szCs w:val="21"/>
              </w:rPr>
              <w:t>多年平均水位河道两侧边缘纵深50米范围内的陆域，但不超过流域分水岭范围，陆域沿岸长度与一级保护区水域长度相同。</w:t>
            </w:r>
            <w:r>
              <w:rPr>
                <w:rFonts w:eastAsia="方正仿宋_GBK"/>
                <w:kern w:val="0"/>
                <w:szCs w:val="18"/>
              </w:rPr>
              <w:t xml:space="preserve"> </w:t>
            </w:r>
          </w:p>
        </w:tc>
        <w:tc>
          <w:tcPr>
            <w:tcW w:w="1939" w:type="dxa"/>
            <w:noWrap w:val="0"/>
            <w:vAlign w:val="center"/>
          </w:tcPr>
          <w:p>
            <w:pPr>
              <w:spacing w:line="220" w:lineRule="exact"/>
              <w:jc w:val="left"/>
              <w:rPr>
                <w:rFonts w:eastAsia="方正仿宋_GBK"/>
                <w:kern w:val="0"/>
                <w:szCs w:val="18"/>
              </w:rPr>
            </w:pPr>
            <w:r>
              <w:rPr>
                <w:rFonts w:hint="eastAsia" w:eastAsia="方正仿宋_GBK"/>
                <w:kern w:val="0"/>
                <w:szCs w:val="18"/>
              </w:rPr>
              <w:t>取水口上游</w:t>
            </w:r>
            <w:r>
              <w:rPr>
                <w:rFonts w:eastAsia="方正仿宋_GBK"/>
                <w:kern w:val="0"/>
                <w:szCs w:val="18"/>
              </w:rPr>
              <w:t xml:space="preserve"> 1000 </w:t>
            </w:r>
            <w:r>
              <w:rPr>
                <w:rFonts w:hint="eastAsia" w:eastAsia="方正仿宋_GBK"/>
                <w:kern w:val="0"/>
                <w:szCs w:val="18"/>
              </w:rPr>
              <w:t>米至</w:t>
            </w:r>
            <w:r>
              <w:rPr>
                <w:rFonts w:eastAsia="方正仿宋_GBK"/>
                <w:kern w:val="0"/>
                <w:szCs w:val="18"/>
              </w:rPr>
              <w:t xml:space="preserve"> 3000</w:t>
            </w:r>
            <w:r>
              <w:rPr>
                <w:rFonts w:hint="eastAsia" w:eastAsia="方正仿宋_GBK"/>
                <w:kern w:val="0"/>
                <w:szCs w:val="18"/>
              </w:rPr>
              <w:t>米，下游</w:t>
            </w:r>
            <w:r>
              <w:rPr>
                <w:rFonts w:eastAsia="方正仿宋_GBK"/>
                <w:kern w:val="0"/>
                <w:szCs w:val="18"/>
              </w:rPr>
              <w:t xml:space="preserve">100 </w:t>
            </w:r>
            <w:r>
              <w:rPr>
                <w:rFonts w:hint="eastAsia" w:eastAsia="方正仿宋_GBK"/>
                <w:kern w:val="0"/>
                <w:szCs w:val="18"/>
              </w:rPr>
              <w:t>米至</w:t>
            </w:r>
            <w:r>
              <w:rPr>
                <w:rFonts w:eastAsia="方正仿宋_GBK"/>
                <w:kern w:val="0"/>
                <w:szCs w:val="18"/>
              </w:rPr>
              <w:t xml:space="preserve"> 300</w:t>
            </w:r>
            <w:r>
              <w:rPr>
                <w:rFonts w:hint="eastAsia" w:eastAsia="方正仿宋_GBK"/>
                <w:kern w:val="0"/>
                <w:szCs w:val="18"/>
              </w:rPr>
              <w:t>米，多年平均水位（</w:t>
            </w:r>
            <w:r>
              <w:rPr>
                <w:rFonts w:eastAsia="方正仿宋_GBK"/>
                <w:kern w:val="0"/>
                <w:szCs w:val="18"/>
              </w:rPr>
              <w:t>236.5m</w:t>
            </w:r>
            <w:r>
              <w:rPr>
                <w:rFonts w:hint="eastAsia" w:eastAsia="方正仿宋_GBK"/>
                <w:kern w:val="0"/>
                <w:szCs w:val="18"/>
              </w:rPr>
              <w:t>）对应的高程线以下的全</w:t>
            </w:r>
            <w:r>
              <w:rPr>
                <w:rFonts w:eastAsia="方正仿宋_GBK"/>
                <w:kern w:val="0"/>
                <w:szCs w:val="18"/>
              </w:rPr>
              <w:t xml:space="preserve"> </w:t>
            </w:r>
          </w:p>
          <w:p>
            <w:pPr>
              <w:spacing w:line="220" w:lineRule="exact"/>
              <w:jc w:val="left"/>
              <w:rPr>
                <w:rFonts w:eastAsia="方正仿宋_GBK"/>
                <w:kern w:val="0"/>
                <w:szCs w:val="18"/>
              </w:rPr>
            </w:pPr>
            <w:r>
              <w:rPr>
                <w:rFonts w:hint="eastAsia" w:eastAsia="方正仿宋_GBK"/>
                <w:kern w:val="0"/>
                <w:szCs w:val="18"/>
              </w:rPr>
              <w:t>部水域。</w:t>
            </w:r>
            <w:r>
              <w:rPr>
                <w:rFonts w:eastAsia="方正仿宋_GBK"/>
                <w:kern w:val="0"/>
                <w:szCs w:val="18"/>
              </w:rPr>
              <w:t xml:space="preserve"> </w:t>
            </w:r>
          </w:p>
        </w:tc>
        <w:tc>
          <w:tcPr>
            <w:tcW w:w="1891" w:type="dxa"/>
            <w:noWrap w:val="0"/>
            <w:vAlign w:val="center"/>
          </w:tcPr>
          <w:p>
            <w:pPr>
              <w:spacing w:line="220" w:lineRule="exact"/>
              <w:jc w:val="left"/>
              <w:rPr>
                <w:rFonts w:eastAsia="方正仿宋_GBK"/>
                <w:kern w:val="0"/>
                <w:szCs w:val="18"/>
              </w:rPr>
            </w:pPr>
            <w:r>
              <w:rPr>
                <w:rFonts w:hint="eastAsia" w:ascii="Times New Roman" w:hAnsi="Times New Roman" w:eastAsia="方正仿宋_GBK" w:cs="Times New Roman"/>
                <w:kern w:val="0"/>
                <w:szCs w:val="21"/>
              </w:rPr>
              <w:t>一级保护区外，</w:t>
            </w:r>
            <w:r>
              <w:rPr>
                <w:rFonts w:ascii="Times New Roman" w:hAnsi="Times New Roman" w:eastAsia="方正仿宋_GBK" w:cs="Times New Roman"/>
                <w:kern w:val="0"/>
                <w:szCs w:val="21"/>
              </w:rPr>
              <w:t>多年平均水位河道两侧边缘至</w:t>
            </w:r>
            <w:r>
              <w:rPr>
                <w:rFonts w:hint="eastAsia" w:ascii="Times New Roman" w:hAnsi="Times New Roman" w:eastAsia="方正仿宋_GBK" w:cs="Times New Roman"/>
                <w:kern w:val="0"/>
                <w:szCs w:val="21"/>
              </w:rPr>
              <w:t>分水岭</w:t>
            </w:r>
            <w:r>
              <w:rPr>
                <w:rFonts w:ascii="Times New Roman" w:hAnsi="Times New Roman" w:eastAsia="方正仿宋_GBK" w:cs="Times New Roman"/>
                <w:kern w:val="0"/>
                <w:szCs w:val="21"/>
              </w:rPr>
              <w:t>范围内的陆域，陆域沿岸长度不小于二级保护区水域长度</w:t>
            </w:r>
            <w:r>
              <w:rPr>
                <w:rFonts w:hint="eastAsia" w:ascii="Times New Roman" w:hAnsi="Times New Roman" w:eastAsia="方正仿宋_GBK" w:cs="Times New Roman"/>
                <w:kern w:val="0"/>
                <w:szCs w:val="21"/>
                <w:lang w:eastAsia="zh-CN"/>
              </w:rPr>
              <w:t>。</w:t>
            </w:r>
            <w:r>
              <w:rPr>
                <w:rFonts w:eastAsia="方正仿宋_GBK"/>
                <w:kern w:val="0"/>
                <w:szCs w:val="18"/>
              </w:rPr>
              <w:t xml:space="preserve"> </w:t>
            </w:r>
          </w:p>
        </w:tc>
        <w:tc>
          <w:tcPr>
            <w:tcW w:w="1097" w:type="dxa"/>
            <w:noWrap w:val="0"/>
            <w:vAlign w:val="center"/>
          </w:tcPr>
          <w:p>
            <w:pPr>
              <w:spacing w:line="220" w:lineRule="exact"/>
              <w:jc w:val="center"/>
              <w:rPr>
                <w:rFonts w:eastAsia="方正仿宋_GBK"/>
                <w:kern w:val="0"/>
                <w:szCs w:val="18"/>
              </w:rPr>
            </w:pPr>
            <w:r>
              <w:rPr>
                <w:rFonts w:hint="eastAsia" w:eastAsia="方正仿宋_GBK"/>
                <w:kern w:val="0"/>
                <w:szCs w:val="18"/>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2" w:hRule="atLeast"/>
        </w:trPr>
        <w:tc>
          <w:tcPr>
            <w:tcW w:w="339" w:type="dxa"/>
            <w:noWrap w:val="0"/>
            <w:vAlign w:val="center"/>
          </w:tcPr>
          <w:p>
            <w:pPr>
              <w:spacing w:line="22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2</w:t>
            </w:r>
          </w:p>
        </w:tc>
        <w:tc>
          <w:tcPr>
            <w:tcW w:w="570" w:type="dxa"/>
            <w:noWrap w:val="0"/>
            <w:vAlign w:val="center"/>
          </w:tcPr>
          <w:p>
            <w:pPr>
              <w:spacing w:line="220" w:lineRule="exact"/>
              <w:jc w:val="center"/>
              <w:rPr>
                <w:rFonts w:eastAsia="方正仿宋_GBK"/>
                <w:kern w:val="0"/>
                <w:szCs w:val="18"/>
              </w:rPr>
            </w:pPr>
            <w:r>
              <w:rPr>
                <w:rFonts w:hint="eastAsia" w:eastAsia="方正仿宋_GBK"/>
                <w:kern w:val="0"/>
                <w:szCs w:val="18"/>
              </w:rPr>
              <w:t>镇级</w:t>
            </w:r>
          </w:p>
        </w:tc>
        <w:tc>
          <w:tcPr>
            <w:tcW w:w="1050" w:type="dxa"/>
            <w:noWrap w:val="0"/>
            <w:vAlign w:val="center"/>
          </w:tcPr>
          <w:p>
            <w:pPr>
              <w:spacing w:line="220" w:lineRule="exact"/>
              <w:jc w:val="center"/>
              <w:rPr>
                <w:rFonts w:eastAsia="方正仿宋_GBK"/>
                <w:kern w:val="0"/>
                <w:szCs w:val="18"/>
              </w:rPr>
            </w:pPr>
            <w:r>
              <w:rPr>
                <w:rFonts w:hint="eastAsia" w:eastAsia="方正仿宋_GBK"/>
                <w:kern w:val="0"/>
                <w:szCs w:val="18"/>
              </w:rPr>
              <w:t>红花水厂</w:t>
            </w:r>
          </w:p>
        </w:tc>
        <w:tc>
          <w:tcPr>
            <w:tcW w:w="1185" w:type="dxa"/>
            <w:noWrap w:val="0"/>
            <w:vAlign w:val="center"/>
          </w:tcPr>
          <w:p>
            <w:pPr>
              <w:spacing w:line="220" w:lineRule="exact"/>
              <w:jc w:val="center"/>
              <w:rPr>
                <w:rFonts w:eastAsia="方正仿宋_GBK"/>
                <w:kern w:val="0"/>
                <w:szCs w:val="18"/>
              </w:rPr>
            </w:pPr>
            <w:r>
              <w:rPr>
                <w:rFonts w:hint="eastAsia" w:eastAsia="方正仿宋_GBK"/>
                <w:kern w:val="0"/>
                <w:szCs w:val="18"/>
              </w:rPr>
              <w:t>曹家沟水库</w:t>
            </w:r>
          </w:p>
        </w:tc>
        <w:tc>
          <w:tcPr>
            <w:tcW w:w="735" w:type="dxa"/>
            <w:noWrap w:val="0"/>
            <w:vAlign w:val="center"/>
          </w:tcPr>
          <w:p>
            <w:pPr>
              <w:spacing w:line="220" w:lineRule="exact"/>
              <w:jc w:val="center"/>
              <w:rPr>
                <w:rFonts w:eastAsia="方正仿宋_GBK"/>
                <w:kern w:val="0"/>
                <w:szCs w:val="18"/>
              </w:rPr>
            </w:pPr>
            <w:r>
              <w:rPr>
                <w:rFonts w:hint="eastAsia" w:eastAsia="方正仿宋_GBK"/>
                <w:kern w:val="0"/>
                <w:szCs w:val="18"/>
              </w:rPr>
              <w:t>水库型</w:t>
            </w:r>
          </w:p>
        </w:tc>
        <w:tc>
          <w:tcPr>
            <w:tcW w:w="1305" w:type="dxa"/>
            <w:noWrap w:val="0"/>
            <w:vAlign w:val="center"/>
          </w:tcPr>
          <w:p>
            <w:pPr>
              <w:spacing w:line="220" w:lineRule="exact"/>
              <w:jc w:val="center"/>
              <w:rPr>
                <w:rFonts w:eastAsia="方正仿宋_GBK"/>
                <w:kern w:val="0"/>
                <w:szCs w:val="18"/>
              </w:rPr>
            </w:pPr>
            <w:r>
              <w:rPr>
                <w:rFonts w:hint="eastAsia" w:eastAsia="方正仿宋_GBK"/>
                <w:kern w:val="0"/>
                <w:szCs w:val="18"/>
              </w:rPr>
              <w:t>古溪镇</w:t>
            </w:r>
          </w:p>
        </w:tc>
        <w:tc>
          <w:tcPr>
            <w:tcW w:w="2040"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多年平均水位高程</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293.16m</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以下的全部水域。</w:t>
            </w:r>
          </w:p>
        </w:tc>
        <w:tc>
          <w:tcPr>
            <w:tcW w:w="2194"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一级保护区水域外200米范围内的陆域，但不超过流域分水岭范围。</w:t>
            </w:r>
          </w:p>
        </w:tc>
        <w:tc>
          <w:tcPr>
            <w:tcW w:w="1939"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一级保护区以外的整个水库的水域。</w:t>
            </w:r>
          </w:p>
        </w:tc>
        <w:tc>
          <w:tcPr>
            <w:tcW w:w="1891"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一级保护区外</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整个汇水区域，但不超过流域分水岭范围。</w:t>
            </w:r>
          </w:p>
        </w:tc>
        <w:tc>
          <w:tcPr>
            <w:tcW w:w="1097" w:type="dxa"/>
            <w:noWrap w:val="0"/>
            <w:vAlign w:val="center"/>
          </w:tcPr>
          <w:p>
            <w:pPr>
              <w:spacing w:line="220" w:lineRule="exact"/>
              <w:jc w:val="center"/>
              <w:rPr>
                <w:rFonts w:eastAsia="方正仿宋_GBK"/>
                <w:kern w:val="0"/>
                <w:szCs w:val="18"/>
              </w:rPr>
            </w:pPr>
            <w:r>
              <w:rPr>
                <w:rFonts w:hint="eastAsia" w:eastAsia="方正仿宋_GBK"/>
                <w:kern w:val="0"/>
                <w:szCs w:val="18"/>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5" w:hRule="atLeast"/>
        </w:trPr>
        <w:tc>
          <w:tcPr>
            <w:tcW w:w="339" w:type="dxa"/>
            <w:noWrap w:val="0"/>
            <w:vAlign w:val="center"/>
          </w:tcPr>
          <w:p>
            <w:pPr>
              <w:spacing w:line="22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3</w:t>
            </w:r>
          </w:p>
        </w:tc>
        <w:tc>
          <w:tcPr>
            <w:tcW w:w="570" w:type="dxa"/>
            <w:noWrap w:val="0"/>
            <w:vAlign w:val="center"/>
          </w:tcPr>
          <w:p>
            <w:pPr>
              <w:spacing w:line="220" w:lineRule="exact"/>
              <w:jc w:val="center"/>
              <w:rPr>
                <w:rFonts w:eastAsia="方正仿宋_GBK"/>
                <w:kern w:val="0"/>
                <w:szCs w:val="18"/>
              </w:rPr>
            </w:pPr>
            <w:r>
              <w:rPr>
                <w:rFonts w:hint="eastAsia" w:eastAsia="方正仿宋_GBK"/>
                <w:kern w:val="0"/>
                <w:szCs w:val="18"/>
              </w:rPr>
              <w:t>镇级</w:t>
            </w:r>
          </w:p>
        </w:tc>
        <w:tc>
          <w:tcPr>
            <w:tcW w:w="1050" w:type="dxa"/>
            <w:noWrap w:val="0"/>
            <w:vAlign w:val="center"/>
          </w:tcPr>
          <w:p>
            <w:pPr>
              <w:spacing w:line="220" w:lineRule="exact"/>
              <w:jc w:val="center"/>
              <w:rPr>
                <w:rFonts w:eastAsia="方正仿宋_GBK"/>
                <w:kern w:val="0"/>
                <w:szCs w:val="18"/>
              </w:rPr>
            </w:pPr>
            <w:r>
              <w:rPr>
                <w:rFonts w:hint="eastAsia" w:eastAsia="方正仿宋_GBK"/>
                <w:kern w:val="0"/>
                <w:szCs w:val="18"/>
              </w:rPr>
              <w:t>飞跃水厂</w:t>
            </w:r>
          </w:p>
        </w:tc>
        <w:tc>
          <w:tcPr>
            <w:tcW w:w="1185" w:type="dxa"/>
            <w:noWrap w:val="0"/>
            <w:vAlign w:val="center"/>
          </w:tcPr>
          <w:p>
            <w:pPr>
              <w:spacing w:line="220" w:lineRule="exact"/>
              <w:jc w:val="center"/>
              <w:rPr>
                <w:rFonts w:eastAsia="方正仿宋_GBK"/>
                <w:kern w:val="0"/>
                <w:szCs w:val="18"/>
              </w:rPr>
            </w:pPr>
            <w:r>
              <w:rPr>
                <w:rFonts w:hint="eastAsia" w:eastAsia="方正仿宋_GBK"/>
                <w:kern w:val="0"/>
                <w:szCs w:val="18"/>
              </w:rPr>
              <w:t>关门寺水库</w:t>
            </w:r>
          </w:p>
        </w:tc>
        <w:tc>
          <w:tcPr>
            <w:tcW w:w="735" w:type="dxa"/>
            <w:noWrap w:val="0"/>
            <w:vAlign w:val="center"/>
          </w:tcPr>
          <w:p>
            <w:pPr>
              <w:spacing w:line="220" w:lineRule="exact"/>
              <w:jc w:val="center"/>
              <w:rPr>
                <w:rFonts w:eastAsia="方正仿宋_GBK"/>
                <w:kern w:val="0"/>
                <w:szCs w:val="18"/>
              </w:rPr>
            </w:pPr>
            <w:r>
              <w:rPr>
                <w:rFonts w:hint="eastAsia" w:eastAsia="方正仿宋_GBK"/>
                <w:kern w:val="0"/>
                <w:szCs w:val="18"/>
              </w:rPr>
              <w:t>水库型</w:t>
            </w:r>
          </w:p>
        </w:tc>
        <w:tc>
          <w:tcPr>
            <w:tcW w:w="1305" w:type="dxa"/>
            <w:noWrap w:val="0"/>
            <w:vAlign w:val="center"/>
          </w:tcPr>
          <w:p>
            <w:pPr>
              <w:spacing w:line="220" w:lineRule="exact"/>
              <w:jc w:val="center"/>
              <w:rPr>
                <w:rFonts w:eastAsia="方正仿宋_GBK"/>
                <w:kern w:val="0"/>
                <w:szCs w:val="18"/>
              </w:rPr>
            </w:pPr>
            <w:r>
              <w:rPr>
                <w:rFonts w:hint="eastAsia" w:eastAsia="方正仿宋_GBK"/>
                <w:kern w:val="0"/>
                <w:szCs w:val="18"/>
              </w:rPr>
              <w:t>古溪镇</w:t>
            </w:r>
          </w:p>
        </w:tc>
        <w:tc>
          <w:tcPr>
            <w:tcW w:w="2040"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多年平均水位高程</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302.05m</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以下的全部水域。</w:t>
            </w:r>
          </w:p>
        </w:tc>
        <w:tc>
          <w:tcPr>
            <w:tcW w:w="2194"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一级保护区水域外200米范围内的陆域，但不超过流域分水岭范围。</w:t>
            </w:r>
          </w:p>
        </w:tc>
        <w:tc>
          <w:tcPr>
            <w:tcW w:w="1939"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一级保护区以外的整个水库的水域。</w:t>
            </w:r>
          </w:p>
        </w:tc>
        <w:tc>
          <w:tcPr>
            <w:tcW w:w="1891"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一级保护区外</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整个汇水区域，但不超过流域分水岭范围。</w:t>
            </w:r>
          </w:p>
        </w:tc>
        <w:tc>
          <w:tcPr>
            <w:tcW w:w="1097" w:type="dxa"/>
            <w:noWrap w:val="0"/>
            <w:vAlign w:val="center"/>
          </w:tcPr>
          <w:p>
            <w:pPr>
              <w:spacing w:line="220" w:lineRule="exact"/>
              <w:jc w:val="center"/>
              <w:rPr>
                <w:rFonts w:eastAsia="方正仿宋_GBK"/>
                <w:kern w:val="0"/>
                <w:szCs w:val="18"/>
              </w:rPr>
            </w:pPr>
            <w:r>
              <w:rPr>
                <w:rFonts w:hint="eastAsia" w:eastAsia="方正仿宋_GBK"/>
                <w:kern w:val="0"/>
                <w:szCs w:val="18"/>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339" w:type="dxa"/>
            <w:noWrap w:val="0"/>
            <w:vAlign w:val="center"/>
          </w:tcPr>
          <w:p>
            <w:pPr>
              <w:spacing w:line="220" w:lineRule="exact"/>
              <w:jc w:val="center"/>
              <w:rPr>
                <w:rFonts w:hint="default" w:ascii="Times New Roman" w:hAnsi="Times New Roman" w:eastAsia="方正仿宋_GBK" w:cs="Times New Roman"/>
                <w:kern w:val="0"/>
                <w:szCs w:val="18"/>
              </w:rPr>
            </w:pPr>
            <w:r>
              <w:rPr>
                <w:rFonts w:hint="default" w:ascii="Times New Roman" w:hAnsi="Times New Roman" w:eastAsia="方正仿宋_GBK" w:cs="Times New Roman"/>
                <w:kern w:val="0"/>
                <w:szCs w:val="18"/>
              </w:rPr>
              <w:t>4</w:t>
            </w:r>
          </w:p>
        </w:tc>
        <w:tc>
          <w:tcPr>
            <w:tcW w:w="570" w:type="dxa"/>
            <w:noWrap w:val="0"/>
            <w:vAlign w:val="center"/>
          </w:tcPr>
          <w:p>
            <w:pPr>
              <w:spacing w:line="220" w:lineRule="exact"/>
              <w:jc w:val="center"/>
              <w:rPr>
                <w:rFonts w:eastAsia="方正仿宋_GBK"/>
                <w:kern w:val="0"/>
                <w:szCs w:val="18"/>
              </w:rPr>
            </w:pPr>
            <w:r>
              <w:rPr>
                <w:rFonts w:hint="eastAsia" w:eastAsia="方正仿宋_GBK"/>
                <w:kern w:val="0"/>
                <w:szCs w:val="18"/>
              </w:rPr>
              <w:t>镇级</w:t>
            </w:r>
          </w:p>
        </w:tc>
        <w:tc>
          <w:tcPr>
            <w:tcW w:w="1050" w:type="dxa"/>
            <w:noWrap w:val="0"/>
            <w:vAlign w:val="center"/>
          </w:tcPr>
          <w:p>
            <w:pPr>
              <w:spacing w:line="220" w:lineRule="exact"/>
              <w:jc w:val="center"/>
              <w:rPr>
                <w:rFonts w:hint="eastAsia" w:eastAsia="方正仿宋_GBK"/>
                <w:kern w:val="0"/>
                <w:szCs w:val="18"/>
              </w:rPr>
            </w:pPr>
            <w:r>
              <w:rPr>
                <w:rFonts w:hint="eastAsia" w:eastAsia="方正仿宋_GBK"/>
                <w:kern w:val="0"/>
                <w:szCs w:val="18"/>
              </w:rPr>
              <w:t>双江镇</w:t>
            </w:r>
          </w:p>
          <w:p>
            <w:pPr>
              <w:spacing w:line="220" w:lineRule="exact"/>
              <w:jc w:val="center"/>
              <w:rPr>
                <w:rFonts w:eastAsia="方正仿宋_GBK"/>
                <w:kern w:val="0"/>
                <w:szCs w:val="18"/>
              </w:rPr>
            </w:pPr>
            <w:r>
              <w:rPr>
                <w:rFonts w:hint="eastAsia" w:eastAsia="方正仿宋_GBK"/>
                <w:kern w:val="0"/>
                <w:szCs w:val="18"/>
              </w:rPr>
              <w:t>水厂</w:t>
            </w:r>
          </w:p>
        </w:tc>
        <w:tc>
          <w:tcPr>
            <w:tcW w:w="1185" w:type="dxa"/>
            <w:noWrap w:val="0"/>
            <w:vAlign w:val="center"/>
          </w:tcPr>
          <w:p>
            <w:pPr>
              <w:spacing w:line="220" w:lineRule="exact"/>
              <w:jc w:val="center"/>
              <w:rPr>
                <w:rFonts w:eastAsia="方正仿宋_GBK"/>
                <w:kern w:val="0"/>
                <w:szCs w:val="18"/>
              </w:rPr>
            </w:pPr>
            <w:r>
              <w:rPr>
                <w:rFonts w:hint="eastAsia" w:eastAsia="方正仿宋_GBK"/>
                <w:kern w:val="0"/>
                <w:szCs w:val="18"/>
              </w:rPr>
              <w:t>涪江</w:t>
            </w:r>
          </w:p>
        </w:tc>
        <w:tc>
          <w:tcPr>
            <w:tcW w:w="735" w:type="dxa"/>
            <w:noWrap w:val="0"/>
            <w:vAlign w:val="center"/>
          </w:tcPr>
          <w:p>
            <w:pPr>
              <w:spacing w:line="220" w:lineRule="exact"/>
              <w:jc w:val="center"/>
              <w:rPr>
                <w:rFonts w:eastAsia="方正仿宋_GBK"/>
                <w:kern w:val="0"/>
                <w:szCs w:val="18"/>
              </w:rPr>
            </w:pPr>
            <w:r>
              <w:rPr>
                <w:rFonts w:hint="eastAsia" w:eastAsia="方正仿宋_GBK"/>
                <w:kern w:val="0"/>
                <w:szCs w:val="18"/>
              </w:rPr>
              <w:t>河流型</w:t>
            </w:r>
          </w:p>
        </w:tc>
        <w:tc>
          <w:tcPr>
            <w:tcW w:w="1305" w:type="dxa"/>
            <w:noWrap w:val="0"/>
            <w:vAlign w:val="center"/>
          </w:tcPr>
          <w:p>
            <w:pPr>
              <w:spacing w:line="220" w:lineRule="exact"/>
              <w:jc w:val="center"/>
              <w:rPr>
                <w:rFonts w:eastAsia="方正仿宋_GBK"/>
                <w:kern w:val="0"/>
                <w:szCs w:val="18"/>
              </w:rPr>
            </w:pPr>
            <w:r>
              <w:rPr>
                <w:rFonts w:hint="eastAsia" w:eastAsia="方正仿宋_GBK"/>
                <w:kern w:val="0"/>
                <w:szCs w:val="18"/>
              </w:rPr>
              <w:t>双江镇</w:t>
            </w:r>
          </w:p>
        </w:tc>
        <w:tc>
          <w:tcPr>
            <w:tcW w:w="2040"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spacing w:val="-6"/>
                <w:kern w:val="0"/>
                <w:szCs w:val="21"/>
              </w:rPr>
              <w:t>取水口上游1000</w:t>
            </w:r>
            <w:r>
              <w:rPr>
                <w:rFonts w:ascii="Times New Roman" w:hAnsi="Times New Roman" w:eastAsia="方正仿宋_GBK" w:cs="Times New Roman"/>
                <w:kern w:val="0"/>
                <w:szCs w:val="21"/>
              </w:rPr>
              <w:t>米至下游100米，多年平均水位</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248m</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对应的高程线以下的水域。</w:t>
            </w:r>
          </w:p>
        </w:tc>
        <w:tc>
          <w:tcPr>
            <w:tcW w:w="2194"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多年平均水位河道两侧边缘纵深50米范围内的陆域，但不超过流域分水岭范围，陆域沿岸长度与一级保护区水域长度相同。</w:t>
            </w:r>
          </w:p>
        </w:tc>
        <w:tc>
          <w:tcPr>
            <w:tcW w:w="1939" w:type="dxa"/>
            <w:noWrap w:val="0"/>
            <w:vAlign w:val="center"/>
          </w:tcPr>
          <w:p>
            <w:pPr>
              <w:widowControl/>
              <w:snapToGrid w:val="0"/>
              <w:spacing w:line="220" w:lineRule="exact"/>
              <w:textAlignment w:val="center"/>
              <w:rPr>
                <w:rFonts w:eastAsia="方正仿宋_GBK"/>
                <w:kern w:val="0"/>
                <w:szCs w:val="18"/>
              </w:rPr>
            </w:pPr>
            <w:r>
              <w:rPr>
                <w:rFonts w:ascii="Times New Roman" w:hAnsi="Times New Roman" w:eastAsia="方正仿宋_GBK" w:cs="Times New Roman"/>
                <w:kern w:val="0"/>
                <w:szCs w:val="21"/>
              </w:rPr>
              <w:t>取水口上游1000米至3000米，下游100米至300米，多年平均水位</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248m</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对应的高程线以下的全部水域。</w:t>
            </w:r>
          </w:p>
        </w:tc>
        <w:tc>
          <w:tcPr>
            <w:tcW w:w="1891" w:type="dxa"/>
            <w:noWrap w:val="0"/>
            <w:vAlign w:val="center"/>
          </w:tcPr>
          <w:p>
            <w:pPr>
              <w:widowControl/>
              <w:snapToGrid w:val="0"/>
              <w:spacing w:line="220" w:lineRule="exact"/>
              <w:textAlignment w:val="center"/>
              <w:rPr>
                <w:rFonts w:eastAsia="方正仿宋_GBK"/>
                <w:kern w:val="0"/>
                <w:szCs w:val="18"/>
              </w:rPr>
            </w:pPr>
            <w:r>
              <w:rPr>
                <w:rFonts w:hint="eastAsia" w:ascii="Times New Roman" w:hAnsi="Times New Roman" w:eastAsia="方正仿宋_GBK" w:cs="Times New Roman"/>
                <w:kern w:val="0"/>
                <w:szCs w:val="21"/>
              </w:rPr>
              <w:t>一级保护区外，</w:t>
            </w:r>
            <w:r>
              <w:rPr>
                <w:rFonts w:ascii="Times New Roman" w:hAnsi="Times New Roman" w:eastAsia="方正仿宋_GBK" w:cs="Times New Roman"/>
                <w:kern w:val="0"/>
                <w:szCs w:val="21"/>
              </w:rPr>
              <w:t>多年平均水位河道两侧边缘至</w:t>
            </w:r>
            <w:r>
              <w:rPr>
                <w:rFonts w:hint="eastAsia" w:ascii="Times New Roman" w:hAnsi="Times New Roman" w:eastAsia="方正仿宋_GBK" w:cs="Times New Roman"/>
                <w:kern w:val="0"/>
                <w:szCs w:val="21"/>
              </w:rPr>
              <w:t>分水岭</w:t>
            </w:r>
            <w:r>
              <w:rPr>
                <w:rFonts w:ascii="Times New Roman" w:hAnsi="Times New Roman" w:eastAsia="方正仿宋_GBK" w:cs="Times New Roman"/>
                <w:kern w:val="0"/>
                <w:szCs w:val="21"/>
              </w:rPr>
              <w:t>范围内的陆域，陆域沿岸长度不小于二级保护区水域长度。</w:t>
            </w:r>
          </w:p>
        </w:tc>
        <w:tc>
          <w:tcPr>
            <w:tcW w:w="1097" w:type="dxa"/>
            <w:noWrap w:val="0"/>
            <w:vAlign w:val="center"/>
          </w:tcPr>
          <w:p>
            <w:pPr>
              <w:spacing w:line="220" w:lineRule="exact"/>
              <w:jc w:val="center"/>
              <w:rPr>
                <w:rFonts w:eastAsia="方正仿宋_GBK"/>
                <w:kern w:val="0"/>
                <w:szCs w:val="18"/>
              </w:rPr>
            </w:pPr>
            <w:r>
              <w:rPr>
                <w:rFonts w:hint="eastAsia" w:eastAsia="方正仿宋_GBK"/>
                <w:kern w:val="0"/>
                <w:szCs w:val="18"/>
              </w:rPr>
              <w:t>在用</w:t>
            </w:r>
          </w:p>
        </w:tc>
      </w:tr>
    </w:tbl>
    <w:p>
      <w:pPr>
        <w:bidi w:val="0"/>
        <w:jc w:val="left"/>
        <w:rPr>
          <w:rFonts w:hint="eastAsia"/>
          <w:lang w:val="en-US" w:eastAsia="zh-CN"/>
        </w:rPr>
      </w:pPr>
    </w:p>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rFonts w:hint="eastAsia" w:eastAsia="仿宋"/>
        <w:sz w:val="32"/>
        <w:szCs w:val="48"/>
        <w:lang w:val="en-US" w:eastAsia="zh-CN"/>
      </w:rPr>
    </w:pPr>
  </w:p>
  <w:p>
    <w:pPr>
      <w:pStyle w:val="7"/>
      <w:ind w:firstLine="8995" w:firstLineChars="3200"/>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page">
                <wp:posOffset>1013460</wp:posOffset>
              </wp:positionH>
              <wp:positionV relativeFrom="page">
                <wp:posOffset>6386830</wp:posOffset>
              </wp:positionV>
              <wp:extent cx="8780780" cy="1270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8780780"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9.8pt;margin-top:502.9pt;height:1pt;width:691.4pt;mso-position-horizontal-relative:page;mso-position-vertical-relative:page;z-index:251664384;mso-width-relative:page;mso-height-relative:page;" filled="f" stroked="t" coordsize="21600,21600" o:gfxdata="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nrxi3QAAAA4BAAAPAAAAAAAAAAEAIAAAACIAAABkcnMvZG93bnJldi54bWxQ&#10;SwECFAAUAAAACACHTuJAi989hfIBAADAAwAADgAAAAAAAAABACAAAAAsAQAAZHJzL2Uyb0RvYy54&#10;bWxQSwUGAAAAAAYABgBZAQAAkAUAAAAA&#10;">
              <v:fill on="f" focussize="0,0"/>
              <v:stroke weight="1.75pt" color="#005192 [3204]"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684530</wp:posOffset>
              </wp:positionV>
              <wp:extent cx="8735695" cy="5715"/>
              <wp:effectExtent l="0" t="10795" r="8255" b="12065"/>
              <wp:wrapNone/>
              <wp:docPr id="1" name="直接连接符 1"/>
              <wp:cNvGraphicFramePr/>
              <a:graphic xmlns:a="http://schemas.openxmlformats.org/drawingml/2006/main">
                <a:graphicData uri="http://schemas.microsoft.com/office/word/2010/wordprocessingShape">
                  <wps:wsp>
                    <wps:cNvCnPr/>
                    <wps:spPr>
                      <a:xfrm flipV="1">
                        <a:off x="4133850" y="864870"/>
                        <a:ext cx="8735695"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9pt;height:0.45pt;width:687.85pt;z-index:251662336;mso-width-relative:page;mso-height-relative:page;" filled="f" stroked="t" coordsize="21600,21600" o:gfxdata="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g7nXdgAAAAJAQAADwAAAAAAAAABACAAAAAiAAAAZHJzL2Rvd25y&#10;ZXYueG1sUEsBAhQAFAAAAAgAh07iQLxGZb7+AQAAygMAAA4AAAAAAAAAAQAgAAAAJwEAAGRycy9l&#10;Mm9Eb2MueG1sUEsFBgAAAAAGAAYAWQEAAJc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1B665D"/>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14312BB"/>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776799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sz w:val="24"/>
    </w:rPr>
  </w:style>
  <w:style w:type="paragraph" w:styleId="4">
    <w:name w:val="annotation text"/>
    <w:basedOn w:val="1"/>
    <w:qFormat/>
    <w:uiPriority w:val="0"/>
    <w:pPr>
      <w:jc w:val="left"/>
    </w:pPr>
  </w:style>
  <w:style w:type="paragraph" w:styleId="5">
    <w:name w:val="Body Text"/>
    <w:basedOn w:val="1"/>
    <w:unhideWhenUsed/>
    <w:qFormat/>
    <w:uiPriority w:val="99"/>
    <w:pPr>
      <w:spacing w:before="100" w:beforeLines="0" w:beforeAutospacing="1" w:after="120" w:afterLines="0"/>
    </w:pPr>
    <w:rPr>
      <w:rFonts w:ascii="Times New Roman" w:hAnsi="Times New Roman" w:eastAsia="宋体" w:cs="Times New Roman"/>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2023-07-04T07:22:37Z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