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sz w:val="32"/>
          <w:szCs w:val="32"/>
        </w:rPr>
      </w:pPr>
    </w:p>
    <w:p>
      <w:pPr>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关于印发《重庆市潼南区国有土地上房屋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征收与补偿实施办法》的通知</w:t>
      </w:r>
    </w:p>
    <w:p>
      <w:pPr>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潼南府发〔</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6</w:t>
      </w:r>
      <w:r>
        <w:rPr>
          <w:rFonts w:hint="eastAsia" w:ascii="Times New Roman" w:hAnsi="Times New Roman" w:eastAsia="方正仿宋_GBK"/>
          <w:sz w:val="32"/>
          <w:szCs w:val="32"/>
        </w:rPr>
        <w:t>号</w:t>
      </w:r>
    </w:p>
    <w:p>
      <w:pPr>
        <w:pStyle w:val="2"/>
        <w:spacing w:line="560" w:lineRule="exact"/>
      </w:pPr>
    </w:p>
    <w:p>
      <w:pPr>
        <w:spacing w:line="560" w:lineRule="exact"/>
        <w:rPr>
          <w:rFonts w:ascii="Times New Roman" w:hAnsi="Times New Roman" w:eastAsia="方正仿宋_GBK"/>
          <w:sz w:val="32"/>
          <w:szCs w:val="32"/>
        </w:rPr>
      </w:pPr>
      <w:r>
        <w:rPr>
          <w:rFonts w:hint="eastAsia" w:ascii="Times New Roman" w:hAnsi="Times New Roman" w:eastAsia="方正仿宋_GBK"/>
          <w:sz w:val="32"/>
          <w:szCs w:val="32"/>
        </w:rPr>
        <w:t>各镇人民政府、街道办事处，区政府各部门，有关单位：</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rPr>
        <w:t>《</w:t>
      </w:r>
      <w:r>
        <w:rPr>
          <w:rFonts w:hint="eastAsia" w:ascii="Times New Roman" w:hAnsi="方正仿宋_GBK" w:eastAsia="方正仿宋_GBK"/>
          <w:sz w:val="32"/>
          <w:szCs w:val="32"/>
        </w:rPr>
        <w:t>重庆市潼南区国有土地上房屋征收与补偿实施办法</w:t>
      </w:r>
      <w:r>
        <w:rPr>
          <w:rFonts w:hint="eastAsia" w:ascii="Times New Roman" w:hAnsi="Times New Roman" w:eastAsia="方正仿宋_GBK"/>
          <w:sz w:val="32"/>
        </w:rPr>
        <w:t>》</w:t>
      </w:r>
      <w:r>
        <w:rPr>
          <w:rFonts w:hint="eastAsia" w:ascii="Times New Roman" w:hAnsi="Times New Roman" w:eastAsia="方正仿宋_GBK"/>
          <w:sz w:val="32"/>
          <w:szCs w:val="32"/>
        </w:rPr>
        <w:t>已经区第十八届人民政府第</w:t>
      </w:r>
      <w:r>
        <w:rPr>
          <w:rFonts w:ascii="Times New Roman" w:hAnsi="Times New Roman" w:eastAsia="方正仿宋_GBK"/>
          <w:sz w:val="32"/>
          <w:szCs w:val="32"/>
        </w:rPr>
        <w:t>33</w:t>
      </w:r>
      <w:r>
        <w:rPr>
          <w:rFonts w:hint="eastAsia" w:ascii="Times New Roman" w:hAnsi="Times New Roman" w:eastAsia="方正仿宋_GBK"/>
          <w:sz w:val="32"/>
          <w:szCs w:val="32"/>
        </w:rPr>
        <w:t>次常务会议审议通过，现印发给你们，请遵照执行。</w:t>
      </w:r>
    </w:p>
    <w:p>
      <w:pPr>
        <w:spacing w:line="560" w:lineRule="exact"/>
        <w:ind w:firstLine="3840" w:firstLineChars="1200"/>
        <w:rPr>
          <w:rFonts w:ascii="Times New Roman" w:hAnsi="Times New Roman" w:eastAsia="方正仿宋_GBK"/>
          <w:sz w:val="32"/>
          <w:szCs w:val="32"/>
        </w:rPr>
      </w:pPr>
    </w:p>
    <w:p>
      <w:pPr>
        <w:spacing w:line="560" w:lineRule="exact"/>
        <w:ind w:right="640"/>
        <w:jc w:val="right"/>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重庆市潼南区人民政府</w:t>
      </w:r>
    </w:p>
    <w:p>
      <w:pPr>
        <w:spacing w:line="560" w:lineRule="exact"/>
        <w:ind w:right="640" w:firstLine="5440" w:firstLineChars="1700"/>
        <w:rPr>
          <w:rFonts w:ascii="Times New Roman" w:hAnsi="Times New Roman" w:eastAsia="方正仿宋_GBK"/>
          <w:sz w:val="32"/>
          <w:szCs w:val="32"/>
        </w:rPr>
      </w:pPr>
      <w:r>
        <w:rPr>
          <w:rFonts w:ascii="Times New Roman" w:hAnsi="Times New Roman" w:eastAsia="方正仿宋_GBK"/>
          <w:sz w:val="32"/>
          <w:szCs w:val="32"/>
        </w:rPr>
        <w:t>2023</w:t>
      </w:r>
      <w:r>
        <w:rPr>
          <w:rFonts w:hint="eastAsia" w:ascii="Times New Roman" w:hAnsi="Times New Roman" w:eastAsia="方正仿宋_GBK"/>
          <w:sz w:val="32"/>
          <w:szCs w:val="32"/>
        </w:rPr>
        <w:t>年</w:t>
      </w:r>
      <w:r>
        <w:rPr>
          <w:rFonts w:ascii="Times New Roman" w:hAnsi="Times New Roman" w:eastAsia="方正仿宋_GBK"/>
          <w:sz w:val="32"/>
          <w:szCs w:val="32"/>
        </w:rPr>
        <w:t>5</w:t>
      </w:r>
      <w:r>
        <w:rPr>
          <w:rFonts w:hint="eastAsia" w:ascii="Times New Roman" w:hAnsi="Times New Roman" w:eastAsia="方正仿宋_GBK"/>
          <w:sz w:val="32"/>
          <w:szCs w:val="32"/>
        </w:rPr>
        <w:t>月</w:t>
      </w:r>
      <w:r>
        <w:rPr>
          <w:rFonts w:ascii="Times New Roman" w:hAnsi="Times New Roman" w:eastAsia="方正仿宋_GBK"/>
          <w:sz w:val="32"/>
          <w:szCs w:val="32"/>
        </w:rPr>
        <w:t>16</w:t>
      </w:r>
      <w:r>
        <w:rPr>
          <w:rFonts w:hint="eastAsia" w:ascii="Times New Roman" w:hAnsi="Times New Roman" w:eastAsia="方正仿宋_GBK"/>
          <w:sz w:val="32"/>
          <w:szCs w:val="32"/>
        </w:rPr>
        <w:t>日</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（此件公开发布）</w:t>
      </w: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重庆市潼南区国有土地上房屋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征收与补偿实施办法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第一条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为了规范本区国有土地上房屋征收与补偿活动，维护公共利益，细化国有土地上房屋征收与补偿工作规定，保障被征收房屋所有权人（以下简称被征收人）的合法权益，根据《中华人民共和国民法典》、《国有土地上房屋征收与补偿条例》和《重庆市国有土地上房屋征收与补偿条例》等有关法律、法规，结合本区实际，制定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第二条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因公共利益的需要，在潼南区范围内国有土地上实</w:t>
      </w:r>
      <w:r>
        <w:rPr>
          <w:rFonts w:hint="eastAsia" w:ascii="Times New Roman" w:hAnsi="Times New Roman" w:eastAsia="方正仿宋_GBK"/>
          <w:spacing w:val="-6"/>
          <w:sz w:val="32"/>
          <w:szCs w:val="32"/>
        </w:rPr>
        <w:t>施房屋征收与补偿（以下简称房屋征收与补偿），适用本实施办法。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仿宋_GBK"/>
          <w:sz w:val="32"/>
          <w:szCs w:val="32"/>
        </w:rPr>
        <w:t>　区政府负责本行政区域的房屋征收与补偿工作，区住房城乡建委为征收部门（以下简称区房屋征收部门），组织实施本行政区域的房屋征收与补偿工作；区征地和房屋征收中心为实施单位，根据区房屋征收部门委托承担房屋征收与补偿的具体工作；镇人民政府、街道办事处配合做好辖区内房屋征收与补偿的相关工作；区发展改革、财政、教育、公安、民政、人力社保、规划自然资源、城市管理、卫生健康、市场监管、税务等有关部门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第五条</w:t>
      </w:r>
      <w:r>
        <w:rPr>
          <w:rFonts w:hint="eastAsia" w:ascii="Times New Roman" w:hAnsi="Times New Roman" w:eastAsia="方正仿宋_GBK"/>
          <w:sz w:val="32"/>
          <w:szCs w:val="32"/>
        </w:rPr>
        <w:t>　区政府保障房屋征收工作经费。征收工作经费标准由区住房城乡建委会同区财政局负责另行制定。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第六条</w:t>
      </w:r>
      <w:r>
        <w:rPr>
          <w:rFonts w:hint="eastAsia" w:ascii="Times New Roman" w:hAnsi="Times New Roman" w:eastAsia="方正仿宋_GBK"/>
          <w:sz w:val="32"/>
          <w:szCs w:val="32"/>
        </w:rPr>
        <w:t>　区房屋征收部门应当组织开展业务培训工作，提升</w:t>
      </w:r>
      <w:r>
        <w:rPr>
          <w:rFonts w:hint="eastAsia" w:ascii="Times New Roman" w:hAnsi="Times New Roman" w:eastAsia="方正仿宋_GBK"/>
          <w:spacing w:val="-6"/>
          <w:sz w:val="32"/>
          <w:szCs w:val="32"/>
        </w:rPr>
        <w:t>工作人员的法律和业务素质，确保房屋征收与补偿工作依法实施</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第七条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区房屋征收部门负责房屋征收与补偿方面的档案管理，按政府信息公开要求向社会公开有关信息，并按规定向有关部门提供信息查询服务。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房屋征收实施单位在完成征收项目后</w:t>
      </w:r>
      <w:r>
        <w:rPr>
          <w:rFonts w:ascii="Times New Roman" w:hAnsi="Times New Roman" w:eastAsia="方正仿宋_GBK"/>
          <w:sz w:val="32"/>
          <w:szCs w:val="32"/>
        </w:rPr>
        <w:t>3</w:t>
      </w:r>
      <w:r>
        <w:rPr>
          <w:rFonts w:hint="eastAsia" w:ascii="Times New Roman" w:hAnsi="Times New Roman" w:eastAsia="方正仿宋_GBK"/>
          <w:sz w:val="32"/>
          <w:szCs w:val="32"/>
        </w:rPr>
        <w:t>个月内，将房屋征收与补偿方面的档案资料交由区房屋征收部门验收、存档。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第八条</w:t>
      </w:r>
      <w:r>
        <w:rPr>
          <w:rFonts w:hint="eastAsia" w:ascii="Times New Roman" w:hAnsi="Times New Roman" w:eastAsia="方正仿宋_GBK"/>
          <w:sz w:val="32"/>
          <w:szCs w:val="32"/>
        </w:rPr>
        <w:t>　任何单位和个人不得采取暴力、威胁或者中断供水、供气、供电、道路通行等方式，迫使被征收人签订补偿协议和搬迁。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未经区房屋征收部门组织、委托，任何单位和个人不得开展房屋征收与补偿的活动。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第九条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对违反本实施办法规定的行为，任何组织和个人有权向市、区政府及其住房城乡建设主管部门、区房屋征收部门和其他相关部门举报。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审计机关应当加强对征收工作经费、征收补偿费用等管理和使用情况的监督。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征收决定</w:t>
      </w:r>
    </w:p>
    <w:p>
      <w:pPr>
        <w:pStyle w:val="2"/>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为了保障国家安全、促进国民经济和社会发展等公共利益的需要，有下列情形之一，确需征收房屋的，由区政府作出房屋征收决定：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（一）国防和外交的需要；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（三）由政府组织实施的科技、教育、文化、卫生健康、体育、环境和资源保护、防灾减灾、文物保护、社会福利、市政公用等公共事业的需要；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（六）法律、行政法规规定的其他公共利益的需要。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第十一条</w:t>
      </w:r>
      <w:r>
        <w:rPr>
          <w:rFonts w:hint="eastAsia" w:ascii="Times New Roman" w:hAnsi="Times New Roman" w:eastAsia="方正仿宋_GBK"/>
          <w:sz w:val="32"/>
          <w:szCs w:val="32"/>
        </w:rPr>
        <w:t>　区政府根据国民经济和社会发展规划、国土空间规划、专项规划，结合本地区经济社会发展需要，统筹资金、房源等情况，合理制定房屋征收项目年度计划，报市住房城乡建设主管部门备案。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在房屋征收项目年度计划实施中，确需调整年度计划项目的，由区政府决定，报市住房城乡建设主管部门备案后调整实施。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第十二条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符合本实施办法第十条规定的公共利益情形，确需征收房屋的，由区政府确定的建设项目组织实施单位向区房屋征收部门提出启动房屋征收程序，说明拟征收范围和符合公共利益的具体情形，并提交发展改革、规划自然资源等部门关于建设项目符合国民经济和社会发展规划、国土空间规划、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第十三条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收到启动房屋征收程序申请后，区房屋征收部门应当对征收项目和拟征收范围内的房屋情况进行摸底调查，并会同有关部门提出初步审查意见，报区政府审批。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因旧城区改建需要征收房屋的，区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并启动房屋征收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第十四条</w:t>
      </w:r>
      <w:r>
        <w:rPr>
          <w:rFonts w:hint="eastAsia" w:ascii="Times New Roman" w:hAnsi="Times New Roman" w:eastAsia="方正仿宋_GBK"/>
          <w:sz w:val="32"/>
          <w:szCs w:val="32"/>
        </w:rPr>
        <w:t>　区政府根据区房屋征收部门的初步审查意见，认为符合公共利益需要的，合理确定房屋征收项目和征收范围后，予以公布。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区房屋征收部门根据区政府确定的房屋征收项目和征收范围，将房屋所有权人确定为被征收人。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第十五条</w:t>
      </w:r>
      <w:r>
        <w:rPr>
          <w:rFonts w:hint="eastAsia" w:ascii="Times New Roman" w:hAnsi="Times New Roman" w:eastAsia="方正仿宋_GBK"/>
          <w:sz w:val="32"/>
          <w:szCs w:val="32"/>
        </w:rPr>
        <w:t>　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（三）其他不当增加补偿费用的行为。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w:t>
      </w:r>
      <w:r>
        <w:rPr>
          <w:rFonts w:ascii="Times New Roman" w:hAnsi="Times New Roman" w:eastAsia="方正仿宋_GBK"/>
          <w:sz w:val="32"/>
          <w:szCs w:val="32"/>
        </w:rPr>
        <w:t>1</w:t>
      </w:r>
      <w:r>
        <w:rPr>
          <w:rFonts w:hint="eastAsia" w:ascii="Times New Roman" w:hAnsi="Times New Roman" w:eastAsia="方正仿宋_GBK"/>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第十六条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房屋征收项目和征收范围公布后，区房屋征收部门按照本实施办法规定确定并委托的房地产价格评估机构（以下</w:t>
      </w:r>
      <w:r>
        <w:rPr>
          <w:rFonts w:hint="eastAsia" w:ascii="Times New Roman" w:hAnsi="Times New Roman" w:eastAsia="方正仿宋_GBK"/>
          <w:spacing w:val="-6"/>
          <w:sz w:val="32"/>
          <w:szCs w:val="32"/>
        </w:rPr>
        <w:t>简称评估机构），可以参与调查登记和开展预评估等前期服务工作。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第十七条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区房屋征收部门应当在房屋征收范围内发布入户调查通知后组织开展调查工作，登记被征收房屋的权属、区位、用途、建筑面积等情况，被征收人应当配合调查登记。被征收人不予配合的，按照不动产登记簿进行登记。调查登记结果应当在房屋征收范围内向被征收人公布，被征收人对调查登记结果有异议的，区房屋征收部门应当依法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第十八条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区政府组织住房城乡建设、规划自然资源、城市管理、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未经登记建筑的具体认定标准，由区政府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第十九条</w:t>
      </w:r>
      <w:r>
        <w:rPr>
          <w:rFonts w:hint="eastAsia" w:ascii="Times New Roman" w:hAnsi="Times New Roman" w:eastAsia="方正仿宋_GBK"/>
          <w:sz w:val="32"/>
          <w:szCs w:val="32"/>
        </w:rPr>
        <w:t>　区房屋征收部门拟定的征收补偿方案报区政府审批。区政府组织论证、审查后公布并征求意见，征求意见期限不得少于</w:t>
      </w:r>
      <w:r>
        <w:rPr>
          <w:rFonts w:ascii="Times New Roman" w:hAnsi="Times New Roman" w:eastAsia="方正仿宋_GBK"/>
          <w:sz w:val="32"/>
          <w:szCs w:val="32"/>
        </w:rPr>
        <w:t>30</w:t>
      </w:r>
      <w:r>
        <w:rPr>
          <w:rFonts w:hint="eastAsia"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征收补偿方案应当包括下列内容：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房屋征收补偿的法律、法规依据；</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（二）房屋征收目的和征收范围；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（三）房屋征收实施单位；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（四）房屋征收补偿方式和补偿标准；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（六）产权调换房屋的地点、面积、价格等情况；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（七）签约时间及期限；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（八）征收补偿方案制定单位联系方式；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（九）其他事项。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区政府及时将征收补偿方案征求意见情况和根据公众意见修改的情况予以公布。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第二十条</w:t>
      </w:r>
      <w:r>
        <w:rPr>
          <w:rFonts w:hint="eastAsia" w:ascii="Times New Roman" w:hAnsi="Times New Roman" w:eastAsia="方正仿宋_GBK"/>
          <w:sz w:val="32"/>
          <w:szCs w:val="32"/>
        </w:rPr>
        <w:t>　因旧城区改建需要征收房屋的，在征收补偿方案征求意见期限内，有过半户数被征收人对征收补偿方案提出异议的，区政府应当组织召开由被征收人代表和公众代表参加的听证会，并根据听证会情况修改完善征收补偿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被征收人报名参加听证会的人数为</w:t>
      </w:r>
      <w:r>
        <w:rPr>
          <w:rFonts w:ascii="Times New Roman" w:hAnsi="Times New Roman" w:eastAsia="方正仿宋_GBK"/>
          <w:sz w:val="32"/>
          <w:szCs w:val="32"/>
        </w:rPr>
        <w:t>10</w:t>
      </w:r>
      <w:r>
        <w:rPr>
          <w:rFonts w:hint="eastAsia" w:ascii="Times New Roman" w:hAnsi="Times New Roman" w:eastAsia="方正仿宋_GBK"/>
          <w:sz w:val="32"/>
          <w:szCs w:val="32"/>
        </w:rPr>
        <w:t>人以上的，应由其通过推举或者抽签的方式确定代表参会，确定的被征收人代表不少于</w:t>
      </w:r>
      <w:r>
        <w:rPr>
          <w:rFonts w:ascii="Times New Roman" w:hAnsi="Times New Roman" w:eastAsia="方正仿宋_GBK"/>
          <w:sz w:val="32"/>
          <w:szCs w:val="32"/>
        </w:rPr>
        <w:t>10</w:t>
      </w:r>
      <w:r>
        <w:rPr>
          <w:rFonts w:hint="eastAsia" w:ascii="Times New Roman" w:hAnsi="Times New Roman" w:eastAsia="方正仿宋_GBK"/>
          <w:sz w:val="32"/>
          <w:szCs w:val="32"/>
        </w:rPr>
        <w:t>人；被征收人报名参加听证会的人数少于</w:t>
      </w:r>
      <w:r>
        <w:rPr>
          <w:rFonts w:ascii="Times New Roman" w:hAnsi="Times New Roman" w:eastAsia="方正仿宋_GBK"/>
          <w:sz w:val="32"/>
          <w:szCs w:val="32"/>
        </w:rPr>
        <w:t>10</w:t>
      </w:r>
      <w:r>
        <w:rPr>
          <w:rFonts w:hint="eastAsia" w:ascii="Times New Roman" w:hAnsi="Times New Roman" w:eastAsia="方正仿宋_GBK"/>
          <w:sz w:val="32"/>
          <w:szCs w:val="32"/>
        </w:rPr>
        <w:t>人的，均作为被征收人代表。公众代表应由人大代表、政协委员和有关专家等担任。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听证会应当依法公开举行。区房屋征收部门应当提前</w:t>
      </w:r>
      <w:r>
        <w:rPr>
          <w:rFonts w:ascii="Times New Roman" w:hAnsi="Times New Roman" w:eastAsia="方正仿宋_GBK"/>
          <w:sz w:val="32"/>
          <w:szCs w:val="32"/>
        </w:rPr>
        <w:t>7</w:t>
      </w:r>
      <w:r>
        <w:rPr>
          <w:rFonts w:hint="eastAsia" w:ascii="Times New Roman" w:hAnsi="Times New Roman" w:eastAsia="方正仿宋_GBK"/>
          <w:sz w:val="32"/>
          <w:szCs w:val="32"/>
        </w:rPr>
        <w:t>个工作日，将听证会召开的时间、地点通知参加听证会的被征收人代表和公众代表，并予以公告。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区政府应当及时将征求意见和听证情况，以及根据听证会意见修改情况予以公布。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第二十一条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区政府作出房屋征收决定前，应当按照有关规定进行社会稳定风险评估。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区政府决定实施房屋征收的，应根据社会稳定风险评估结论制定相应的风险防范、化解、处置应急预案。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第二十二条</w:t>
      </w:r>
      <w:r>
        <w:rPr>
          <w:rFonts w:hint="eastAsia" w:ascii="Times New Roman" w:hAnsi="Times New Roman" w:eastAsia="方正仿宋_GBK"/>
          <w:sz w:val="32"/>
          <w:szCs w:val="32"/>
        </w:rPr>
        <w:t>　区政府作出房屋征收决定前，应当落实征收补偿费用和产权调换房屋。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补偿费用应当足额到位、专户存储、专款使用。区政府可以通过将补偿费用纳入当年财政预算、列入年度发债计划等方式确保补偿费用足额到位。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交付的产权调换房屋应当产权明晰、符合房屋质量安全标准。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房屋征收决定作出前，区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区房屋征收部门和产权调换房屋所有权人应在期限届满前书面通知不动产登记机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第二十三条</w:t>
      </w:r>
      <w:r>
        <w:rPr>
          <w:rFonts w:hint="eastAsia" w:ascii="Times New Roman" w:hAnsi="Times New Roman" w:eastAsia="方正仿宋_GBK"/>
          <w:sz w:val="32"/>
          <w:szCs w:val="32"/>
        </w:rPr>
        <w:t>　因旧城区改建需要征收房屋的，在房屋征收决定作出之前，区房屋征收部门应当与被征收人预先签订附有生效条件的补偿协议（以下简称预签协议）。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在签约期限内，签订预签协议的户数占比达到规定比例的，区政府作出房屋征收决定，预签协议生效；未达到规定比例的，区政府终止房屋征收程序，预签协议不生效。预签协议中应当注明被征收房屋价值以正式的分户评估报告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签订预签协议的户数占比不得低于</w:t>
      </w:r>
      <w:r>
        <w:rPr>
          <w:rFonts w:ascii="Times New Roman" w:hAnsi="Times New Roman" w:eastAsia="方正仿宋_GBK"/>
          <w:sz w:val="32"/>
          <w:szCs w:val="32"/>
        </w:rPr>
        <w:t>80%</w:t>
      </w:r>
      <w:r>
        <w:rPr>
          <w:rFonts w:hint="eastAsia" w:ascii="Times New Roman" w:hAnsi="Times New Roman" w:eastAsia="方正仿宋_GBK"/>
          <w:sz w:val="32"/>
          <w:szCs w:val="32"/>
        </w:rPr>
        <w:t>，根据房屋征收项目实际情况在征收补偿方案中予以明确。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第二十四条</w:t>
      </w:r>
      <w:r>
        <w:rPr>
          <w:rFonts w:hint="eastAsia" w:ascii="Times New Roman" w:hAnsi="Times New Roman" w:eastAsia="方正仿宋_GBK"/>
          <w:sz w:val="32"/>
          <w:szCs w:val="32"/>
        </w:rPr>
        <w:t>　区政府应当根据相关规划和计划、房屋调查登记、征收补偿方案征求意见和社会稳定风险评估等情况，作出房屋征收决定。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被征收人户数在</w:t>
      </w:r>
      <w:r>
        <w:rPr>
          <w:rFonts w:ascii="Times New Roman" w:hAnsi="Times New Roman" w:eastAsia="方正仿宋_GBK"/>
          <w:sz w:val="32"/>
          <w:szCs w:val="32"/>
        </w:rPr>
        <w:t>100</w:t>
      </w:r>
      <w:r>
        <w:rPr>
          <w:rFonts w:hint="eastAsia" w:ascii="Times New Roman" w:hAnsi="Times New Roman" w:eastAsia="方正仿宋_GBK"/>
          <w:sz w:val="32"/>
          <w:szCs w:val="32"/>
        </w:rPr>
        <w:t>户以上或者被征收房屋建筑面积在</w:t>
      </w:r>
      <w:r>
        <w:rPr>
          <w:rFonts w:ascii="Times New Roman" w:hAnsi="Times New Roman" w:eastAsia="方正仿宋_GBK"/>
          <w:sz w:val="32"/>
          <w:szCs w:val="32"/>
        </w:rPr>
        <w:t>1</w:t>
      </w:r>
      <w:r>
        <w:rPr>
          <w:rFonts w:hint="eastAsia" w:ascii="Times New Roman" w:hAnsi="Times New Roman" w:eastAsia="方正仿宋_GBK"/>
          <w:sz w:val="32"/>
          <w:szCs w:val="32"/>
        </w:rPr>
        <w:t>万平方米以上的，应当经区政府常务会议讨论决定。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第二十五条</w:t>
      </w:r>
      <w:r>
        <w:rPr>
          <w:rFonts w:hint="eastAsia" w:ascii="Times New Roman" w:hAnsi="Times New Roman" w:eastAsia="方正仿宋_GBK"/>
          <w:sz w:val="32"/>
          <w:szCs w:val="32"/>
        </w:rPr>
        <w:t>　房屋征收决定作出后，区政府应当于</w:t>
      </w:r>
      <w:r>
        <w:rPr>
          <w:rFonts w:ascii="Times New Roman" w:hAnsi="Times New Roman" w:eastAsia="方正仿宋_GBK"/>
          <w:sz w:val="32"/>
          <w:szCs w:val="32"/>
        </w:rPr>
        <w:t>7</w:t>
      </w:r>
      <w:r>
        <w:rPr>
          <w:rFonts w:hint="eastAsia" w:ascii="Times New Roman" w:hAnsi="Times New Roman" w:eastAsia="方正仿宋_GBK"/>
          <w:sz w:val="32"/>
          <w:szCs w:val="32"/>
        </w:rPr>
        <w:t>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区政府及房屋征收部门应当做好房屋征收和补偿政策的宣传、解释工作。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房屋被依法征收的，其国有土地使用权同时收回。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补偿程序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黑体_GBK" w:hAnsi="方正黑体_GBK" w:eastAsia="方正黑体_GBK" w:cs="方正黑体_GBK"/>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第二十六条</w:t>
      </w:r>
      <w:r>
        <w:rPr>
          <w:rFonts w:hint="eastAsia" w:ascii="Times New Roman" w:hAnsi="Times New Roman" w:eastAsia="方正仿宋_GBK"/>
          <w:sz w:val="32"/>
          <w:szCs w:val="32"/>
        </w:rPr>
        <w:t>　潼南区国有土地上房屋征收补偿及奖励补助标准，按照依法、公开、公平、合理原则，另行制定。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第二十七条</w:t>
      </w:r>
      <w:r>
        <w:rPr>
          <w:rFonts w:hint="eastAsia" w:ascii="Times New Roman" w:hAnsi="Times New Roman" w:eastAsia="方正仿宋_GBK"/>
          <w:sz w:val="32"/>
          <w:szCs w:val="32"/>
        </w:rPr>
        <w:t>　对被征收人给予的补偿包括：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（一）被征收房屋价值的补偿；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（二）因征收房屋造成的搬迁、临时安置、装饰装修以及相关设施设备损失等的补偿；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第二十八条</w:t>
      </w:r>
      <w:r>
        <w:rPr>
          <w:rFonts w:hint="eastAsia" w:ascii="Times New Roman" w:hAnsi="Times New Roman" w:eastAsia="方正仿宋_GBK"/>
          <w:sz w:val="32"/>
          <w:szCs w:val="32"/>
        </w:rPr>
        <w:t>　对被征收房屋价值的补偿价格不得低于房屋征收决定公告之日与被征收房屋类似房地产的市场价格。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被征收房屋的价值由本实施办法规定确定的评估机构按照相关规定评估确定。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经区房屋征收部门申请，房地产市场交易管理部门或机构应当提供指定区域和时段，与被征收房屋类似的新建商品房交易平均价格方面的查询服务，出具查询结果。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第二十九条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被征收人选择房屋产权调换的，区政府应当提供用于产权调换的房屋，并按照房屋价值相等原则，与被征收人计算、结清被征收房屋价值与用于产权调换房屋价值的差价。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第三十条</w:t>
      </w:r>
      <w:r>
        <w:rPr>
          <w:rFonts w:hint="eastAsia" w:ascii="Times New Roman" w:hAnsi="Times New Roman" w:eastAsia="方正仿宋_GBK"/>
          <w:sz w:val="32"/>
          <w:szCs w:val="32"/>
        </w:rPr>
        <w:t>　在房屋征收补偿方案规定的签约期限内，区房屋征收部门与被征收人签订补偿协议；已签订预签协议的，按照本实施办法第二十八条规定修正房屋价值后，预签协议自动转为补偿协议。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补偿协议应当明确的主要事项有：补偿方式、补偿金额和支付期限、用于产权调换房屋的地点和面积、搬迁费、临时安置费或者周转房、停产停业损失、设施设备损失、搬迁期限、过渡方式和过渡期限等事项。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分户补偿情况应在房屋征收范围内向被征收人公布。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第三十一条</w:t>
      </w:r>
      <w:r>
        <w:rPr>
          <w:rFonts w:hint="eastAsia" w:ascii="Times New Roman" w:hAnsi="Times New Roman" w:eastAsia="方正仿宋_GBK"/>
          <w:sz w:val="32"/>
          <w:szCs w:val="32"/>
        </w:rPr>
        <w:t>　征收补偿协议订立后，区房屋征收部门、被征收人应当按照补偿协议约定，履行各自义务。被征收房屋有其他实际使用人的，被征收人应当告知并督促实际使用人按期搬迁。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补偿协议约定的履行义务期限届满之时，区房屋征收部门不履行补偿协议约定义务的，被征收人可以依法提起行政诉讼。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被征收人不履行约定义务，经区房屋征收部门催告仍不履行的，区房屋征收部门可以向被征收人作出履行补偿协议的决定，明确履行期限，告知行政复议、行政诉讼权利等事项，并在房屋征收范围内予以公告。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被征收人在法定期限内未申请行政复议或者提起行政诉讼，且经催告仍不履行补偿协议决定的，区房屋征收部门可以依法申请人民法院强制执行。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第三十二条</w:t>
      </w:r>
      <w:r>
        <w:rPr>
          <w:rFonts w:hint="eastAsia" w:ascii="Times New Roman" w:hAnsi="Times New Roman" w:eastAsia="方正仿宋_GBK"/>
          <w:sz w:val="32"/>
          <w:szCs w:val="32"/>
        </w:rPr>
        <w:t>　在征收补偿方案规定的签约期限内达不成补偿协议，或者被征收房屋所有权人不明确的，经区房屋征收部门申请，区政府可以依照征收补偿方案作出补偿决定，并在房屋征收范围内予以公告。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补偿决定应当包括本实施办法第三十条第二款规定的有关补偿协议的事项，并告知被征收人有申请行政复议和提起行政诉讼的权利。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被征收人在法定期限内不申请行政复议或者不提起行政诉讼，且在补偿决定规定期限内不搬迁的，区政府应当发出催告书。被征收人自催告书送达之日起，</w:t>
      </w:r>
      <w:r>
        <w:rPr>
          <w:rFonts w:ascii="Times New Roman" w:hAnsi="Times New Roman" w:eastAsia="方正仿宋_GBK"/>
          <w:sz w:val="32"/>
          <w:szCs w:val="32"/>
        </w:rPr>
        <w:t>10</w:t>
      </w:r>
      <w:r>
        <w:rPr>
          <w:rFonts w:hint="eastAsia" w:ascii="Times New Roman" w:hAnsi="Times New Roman" w:eastAsia="方正仿宋_GBK"/>
          <w:sz w:val="32"/>
          <w:szCs w:val="32"/>
        </w:rPr>
        <w:t>个工作日内仍不搬迁的，区政府可以依法申请人民法院强制执行。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第三十三条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签订房屋征收补偿协议，或者预签协议转为房屋征收补偿协议时，被征收人应当将被征收房屋的土地房屋权属证书等权属证明一并交回区房屋征收部门，区房屋征收部门应当及时向不动产登记机构依法申请办理相关权属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补偿决定或者履行补偿协议决定被依法强制执行的，区房屋征收部门应当通知不动产登记机构依据人民法院生效的法律文书，及时办理相应土地房屋的权属登记。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补偿政策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黑体_GBK" w:hAnsi="方正黑体_GBK" w:eastAsia="方正黑体_GBK" w:cs="方正黑体_GBK"/>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第三十四条</w:t>
      </w:r>
      <w:r>
        <w:rPr>
          <w:rFonts w:hint="eastAsia" w:ascii="Times New Roman" w:hAnsi="Times New Roman" w:eastAsia="方正仿宋_GBK"/>
          <w:sz w:val="32"/>
          <w:szCs w:val="32"/>
        </w:rPr>
        <w:t>　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区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经前款认定后，被征收人因被征收房屋用途变更而应依法补缴相关税费、土地价款等情况的，区房屋征收部门可以根据房屋用途变更前后的评估价值差，从该被征收房屋补偿款中扣除相当价值的款项。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第三十五条</w:t>
      </w:r>
      <w:r>
        <w:rPr>
          <w:rFonts w:hint="eastAsia" w:ascii="Times New Roman" w:hAnsi="Times New Roman" w:eastAsia="方正仿宋_GBK"/>
          <w:sz w:val="32"/>
          <w:szCs w:val="32"/>
        </w:rPr>
        <w:t>　征收直管公房和自管公房的，区房屋征收部门应当与产权单位签订补偿协议，并告知公房承租人。产权单位应当督促公房承租人按期搬迁。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征收自管公房，产权单位应当书面明确被征收房屋的处置意见，区房屋征收部门按照处置意见签订补偿协议。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第三十六条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房屋征收范围内，以产权户为单位，被征收房屋建筑面积总和与土地使用权面积比值（以下称容积比值）小于</w:t>
      </w:r>
      <w:r>
        <w:rPr>
          <w:rFonts w:ascii="Times New Roman" w:hAnsi="Times New Roman" w:eastAsia="方正仿宋_GBK"/>
          <w:sz w:val="32"/>
          <w:szCs w:val="32"/>
        </w:rPr>
        <w:t>1</w:t>
      </w:r>
      <w:r>
        <w:rPr>
          <w:rFonts w:hint="eastAsia" w:ascii="Times New Roman" w:hAnsi="Times New Roman" w:eastAsia="方正仿宋_GBK"/>
          <w:sz w:val="32"/>
          <w:szCs w:val="32"/>
        </w:rPr>
        <w:t>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第三十七条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被征收住宅的公摊系数低于或等于</w:t>
      </w:r>
      <w:r>
        <w:rPr>
          <w:rFonts w:ascii="Times New Roman" w:hAnsi="Times New Roman" w:eastAsia="方正仿宋_GBK"/>
          <w:sz w:val="32"/>
          <w:szCs w:val="32"/>
        </w:rPr>
        <w:t>15%</w:t>
      </w:r>
      <w:r>
        <w:rPr>
          <w:rFonts w:hint="eastAsia" w:ascii="Times New Roman" w:hAnsi="Times New Roman" w:eastAsia="方正仿宋_GBK"/>
          <w:sz w:val="32"/>
          <w:szCs w:val="32"/>
        </w:rPr>
        <w:t>的，按照</w:t>
      </w:r>
      <w:r>
        <w:rPr>
          <w:rFonts w:ascii="Times New Roman" w:hAnsi="Times New Roman" w:eastAsia="方正仿宋_GBK"/>
          <w:sz w:val="32"/>
          <w:szCs w:val="32"/>
        </w:rPr>
        <w:t>15%</w:t>
      </w:r>
      <w:r>
        <w:rPr>
          <w:rFonts w:hint="eastAsia" w:ascii="Times New Roman" w:hAnsi="Times New Roman" w:eastAsia="方正仿宋_GBK"/>
          <w:sz w:val="32"/>
          <w:szCs w:val="32"/>
        </w:rPr>
        <w:t>的公摊系数计算应补偿面积；被征收住宅的公摊系数高于</w:t>
      </w:r>
      <w:r>
        <w:rPr>
          <w:rFonts w:ascii="Times New Roman" w:hAnsi="Times New Roman" w:eastAsia="方正仿宋_GBK"/>
          <w:sz w:val="32"/>
          <w:szCs w:val="32"/>
        </w:rPr>
        <w:t>15%</w:t>
      </w:r>
      <w:r>
        <w:rPr>
          <w:rFonts w:hint="eastAsia" w:ascii="Times New Roman" w:hAnsi="Times New Roman" w:eastAsia="方正仿宋_GBK"/>
          <w:sz w:val="32"/>
          <w:szCs w:val="32"/>
        </w:rPr>
        <w:t>的，按实际面积计算应补偿面积。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用于产权调换住宅的公摊系数低于或等于</w:t>
      </w:r>
      <w:r>
        <w:rPr>
          <w:rFonts w:ascii="Times New Roman" w:hAnsi="Times New Roman" w:eastAsia="方正仿宋_GBK"/>
          <w:sz w:val="32"/>
          <w:szCs w:val="32"/>
        </w:rPr>
        <w:t>15%</w:t>
      </w:r>
      <w:r>
        <w:rPr>
          <w:rFonts w:hint="eastAsia" w:ascii="Times New Roman" w:hAnsi="Times New Roman" w:eastAsia="方正仿宋_GBK"/>
          <w:sz w:val="32"/>
          <w:szCs w:val="32"/>
        </w:rPr>
        <w:t>的，其对应的公摊面积费用由被征收人承担；用于产权调换住宅的公摊系数高于</w:t>
      </w:r>
      <w:r>
        <w:rPr>
          <w:rFonts w:ascii="Times New Roman" w:hAnsi="Times New Roman" w:eastAsia="方正仿宋_GBK"/>
          <w:sz w:val="32"/>
          <w:szCs w:val="32"/>
        </w:rPr>
        <w:t>15%</w:t>
      </w:r>
      <w:r>
        <w:rPr>
          <w:rFonts w:hint="eastAsia" w:ascii="Times New Roman" w:hAnsi="Times New Roman" w:eastAsia="方正仿宋_GBK"/>
          <w:sz w:val="32"/>
          <w:szCs w:val="32"/>
        </w:rPr>
        <w:t>的，其高于部分对应的公摊面积费用由区房屋征收部门承担，未高于部分对应的公摊面积费用由被征收人承担。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第三十八条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实行最低住房保障制度。被征收房屋为住宅，且按照本实施办法第三十七条第一款计算后的应补偿面积小于</w:t>
      </w:r>
      <w:r>
        <w:rPr>
          <w:rFonts w:ascii="Times New Roman" w:hAnsi="Times New Roman" w:eastAsia="方正仿宋_GBK"/>
          <w:sz w:val="32"/>
          <w:szCs w:val="32"/>
        </w:rPr>
        <w:t>45</w:t>
      </w:r>
      <w:r>
        <w:rPr>
          <w:rFonts w:hint="eastAsia" w:ascii="Times New Roman" w:hAnsi="Times New Roman" w:eastAsia="方正仿宋_GBK"/>
          <w:sz w:val="32"/>
          <w:szCs w:val="32"/>
        </w:rPr>
        <w:t>平方米的，在征收项目公布前，被征收人及其配偶在本区没有其他国有土地上产权住宅的，按照</w:t>
      </w:r>
      <w:r>
        <w:rPr>
          <w:rFonts w:ascii="Times New Roman" w:hAnsi="Times New Roman" w:eastAsia="方正仿宋_GBK"/>
          <w:sz w:val="32"/>
          <w:szCs w:val="32"/>
        </w:rPr>
        <w:t>45</w:t>
      </w:r>
      <w:r>
        <w:rPr>
          <w:rFonts w:hint="eastAsia" w:ascii="Times New Roman" w:hAnsi="Times New Roman" w:eastAsia="方正仿宋_GBK"/>
          <w:sz w:val="32"/>
          <w:szCs w:val="32"/>
        </w:rPr>
        <w:t>平方米进行补偿。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区政府在分配廉租房、公租房等保障性住房时，应当优先满足符合住房保障条件的被征收人的住房需要。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第三十九条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产权调换房屋建筑面积小于或等于被征收房屋建筑面积的，其首次物业专项维修资金由区房屋征收部门交纳；产权调换房屋建筑面积大于被征收房屋建筑面积的，与被征收房屋相等建筑面积部分的首次物业专项维修资金，由区房屋征收部门交纳，超出面积部分由被征收人交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按照本实施办法第三十九条规定实施产权调换多套住宅的，前款规定的产权调换房屋建筑面积按多套住宅总建筑面积计算。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第四十一条</w:t>
      </w:r>
      <w:r>
        <w:rPr>
          <w:rFonts w:hint="eastAsia" w:ascii="Times New Roman" w:hAnsi="Times New Roman" w:eastAsia="方正仿宋_GBK"/>
          <w:sz w:val="32"/>
          <w:szCs w:val="32"/>
        </w:rPr>
        <w:t>　被征收房屋为住宅，而实际改为非住宅使用的，应当按照住宅进行评估、补偿；被征收房屋产权人、房屋坐落与市场主体注册登记、税务登记证明一致，且在征收项目公布前连续合法经营</w:t>
      </w:r>
      <w:r>
        <w:rPr>
          <w:rFonts w:ascii="Times New Roman" w:hAnsi="Times New Roman" w:eastAsia="方正仿宋_GBK"/>
          <w:sz w:val="32"/>
          <w:szCs w:val="32"/>
        </w:rPr>
        <w:t>2</w:t>
      </w:r>
      <w:r>
        <w:rPr>
          <w:rFonts w:hint="eastAsia" w:ascii="Times New Roman" w:hAnsi="Times New Roman" w:eastAsia="方正仿宋_GBK"/>
          <w:sz w:val="32"/>
          <w:szCs w:val="32"/>
        </w:rPr>
        <w:t>年以上并能够提供相应完税凭证的，可以结合实际用途给予停产停业损失补偿。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第四十二条</w:t>
      </w:r>
      <w:r>
        <w:rPr>
          <w:rFonts w:hint="eastAsia" w:ascii="Times New Roman" w:hAnsi="Times New Roman" w:eastAsia="方正仿宋_GBK"/>
          <w:sz w:val="32"/>
          <w:szCs w:val="32"/>
        </w:rPr>
        <w:t>　征收非住宅房屋，且被征收人选择房屋产权调换的，区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征收企事业单位或其他组织非住宅房屋的，一般以货币补偿为主；在符合规划控制、节约集约用地、产业发展导向的前提下，结合被征收人现状和发展需要，在征收双方协商一致且可操作的情况下，区房屋征收部门可按照房屋价值相等原则，提供商业用房或者工业用房等供被征收人选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第四十三条</w:t>
      </w:r>
      <w:r>
        <w:rPr>
          <w:rFonts w:hint="eastAsia" w:ascii="Times New Roman" w:hAnsi="Times New Roman" w:eastAsia="方正仿宋_GBK"/>
          <w:sz w:val="32"/>
          <w:szCs w:val="32"/>
        </w:rPr>
        <w:t>　征收非住宅房屋，且在征收项目公布前</w:t>
      </w:r>
      <w:r>
        <w:rPr>
          <w:rFonts w:ascii="Times New Roman" w:hAnsi="Times New Roman" w:eastAsia="方正仿宋_GBK"/>
          <w:sz w:val="32"/>
          <w:szCs w:val="32"/>
        </w:rPr>
        <w:t>2</w:t>
      </w:r>
      <w:r>
        <w:rPr>
          <w:rFonts w:hint="eastAsia" w:ascii="Times New Roman" w:hAnsi="Times New Roman" w:eastAsia="方正仿宋_GBK"/>
          <w:sz w:val="32"/>
          <w:szCs w:val="32"/>
        </w:rPr>
        <w:t>年内</w:t>
      </w:r>
      <w:r>
        <w:rPr>
          <w:rFonts w:hint="eastAsia" w:ascii="Times New Roman" w:hAnsi="Times New Roman" w:eastAsia="方正仿宋_GBK"/>
          <w:spacing w:val="-6"/>
          <w:sz w:val="32"/>
          <w:szCs w:val="32"/>
        </w:rPr>
        <w:t>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被征收人选择货币补偿的，按照房屋评估价值的</w:t>
      </w:r>
      <w:r>
        <w:rPr>
          <w:rFonts w:ascii="Times New Roman" w:hAnsi="Times New Roman" w:eastAsia="方正仿宋_GBK"/>
          <w:sz w:val="32"/>
          <w:szCs w:val="32"/>
        </w:rPr>
        <w:t>6%</w:t>
      </w:r>
      <w:r>
        <w:rPr>
          <w:rFonts w:hint="eastAsia" w:ascii="Times New Roman" w:hAnsi="Times New Roman" w:eastAsia="方正仿宋_GBK"/>
          <w:sz w:val="32"/>
          <w:szCs w:val="32"/>
        </w:rPr>
        <w:t>一次性支付停产停业损失补偿费；被征收人选择产权调换的，停产停业期间每月按照房屋评估价值的</w:t>
      </w:r>
      <w:r>
        <w:rPr>
          <w:rFonts w:ascii="Times New Roman" w:hAnsi="Times New Roman" w:eastAsia="方正仿宋_GBK"/>
          <w:sz w:val="32"/>
          <w:szCs w:val="32"/>
        </w:rPr>
        <w:t>5‰</w:t>
      </w:r>
      <w:r>
        <w:rPr>
          <w:rFonts w:hint="eastAsia" w:ascii="Times New Roman" w:hAnsi="Times New Roman" w:eastAsia="方正仿宋_GBK"/>
          <w:sz w:val="32"/>
          <w:szCs w:val="32"/>
        </w:rPr>
        <w:t>支付停产停业损失补偿费，停产停业期限按照协议约定计算。已提供临时周转房的，不支付停产停业损失补偿费。区房屋征收部门未按协议约定日期交付产权调换房屋，导致过渡期限延长的，自逾期之月起每月按照房屋评估价值的</w:t>
      </w:r>
      <w:r>
        <w:rPr>
          <w:rFonts w:ascii="Times New Roman" w:hAnsi="Times New Roman" w:eastAsia="方正仿宋_GBK"/>
          <w:sz w:val="32"/>
          <w:szCs w:val="32"/>
        </w:rPr>
        <w:t>5‰</w:t>
      </w:r>
      <w:r>
        <w:rPr>
          <w:rFonts w:hint="eastAsia" w:ascii="Times New Roman" w:hAnsi="Times New Roman" w:eastAsia="方正仿宋_GBK"/>
          <w:sz w:val="32"/>
          <w:szCs w:val="32"/>
        </w:rPr>
        <w:t>加付停产停业损失补偿费。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被征收房屋符合前款规定，且用于生产制造的，停产停业损失的补偿标准可以适当提高，提高的幅度不超过前款规定补偿标准的</w:t>
      </w:r>
      <w:r>
        <w:rPr>
          <w:rFonts w:ascii="Times New Roman" w:hAnsi="Times New Roman" w:eastAsia="方正仿宋_GBK"/>
          <w:sz w:val="32"/>
          <w:szCs w:val="32"/>
        </w:rPr>
        <w:t>50%</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pacing w:val="-6"/>
          <w:sz w:val="32"/>
          <w:szCs w:val="32"/>
        </w:rPr>
      </w:pPr>
      <w:r>
        <w:rPr>
          <w:rFonts w:hint="eastAsia" w:ascii="方正黑体_GBK" w:hAnsi="方正黑体_GBK" w:eastAsia="方正黑体_GBK" w:cs="方正黑体_GBK"/>
          <w:b/>
          <w:bCs/>
          <w:sz w:val="32"/>
          <w:szCs w:val="32"/>
        </w:rPr>
        <w:t>第四十四条</w:t>
      </w:r>
      <w:r>
        <w:rPr>
          <w:rFonts w:hint="eastAsia" w:ascii="Times New Roman" w:hAnsi="Times New Roman" w:eastAsia="方正仿宋_GBK"/>
          <w:sz w:val="32"/>
          <w:szCs w:val="32"/>
        </w:rPr>
        <w:t>　因房屋征收造成企业等市场主体设施设备价值损失的，应当给予补偿。搬迁后不丧失使用价值的，搬迁补助费按照所搬迁设施设备折旧后净值的</w:t>
      </w:r>
      <w:r>
        <w:rPr>
          <w:rFonts w:ascii="Times New Roman" w:hAnsi="Times New Roman" w:eastAsia="方正仿宋_GBK"/>
          <w:sz w:val="32"/>
          <w:szCs w:val="32"/>
        </w:rPr>
        <w:t>10%</w:t>
      </w:r>
      <w:r>
        <w:rPr>
          <w:rFonts w:hint="eastAsia" w:ascii="Times New Roman" w:hAnsi="Times New Roman" w:eastAsia="方正仿宋_GBK"/>
          <w:sz w:val="32"/>
          <w:szCs w:val="32"/>
        </w:rPr>
        <w:t>以上</w:t>
      </w:r>
      <w:r>
        <w:rPr>
          <w:rFonts w:ascii="Times New Roman" w:hAnsi="Times New Roman" w:eastAsia="方正仿宋_GBK"/>
          <w:sz w:val="32"/>
          <w:szCs w:val="32"/>
        </w:rPr>
        <w:t>20%</w:t>
      </w:r>
      <w:r>
        <w:rPr>
          <w:rFonts w:hint="eastAsia" w:ascii="Times New Roman" w:hAnsi="Times New Roman" w:eastAsia="方正仿宋_GBK"/>
          <w:sz w:val="32"/>
          <w:szCs w:val="32"/>
        </w:rPr>
        <w:t>以下计算；搬迁后丧失使用价值的，参照评估价值予以补偿。除区房屋征收部门</w:t>
      </w:r>
      <w:r>
        <w:rPr>
          <w:rFonts w:hint="eastAsia" w:ascii="Times New Roman" w:hAnsi="Times New Roman" w:eastAsia="方正仿宋_GBK"/>
          <w:spacing w:val="-6"/>
          <w:sz w:val="32"/>
          <w:szCs w:val="32"/>
        </w:rPr>
        <w:t>有专门要求外，补偿后的设施设备由被征收人自行拆除、搬离。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第四十五条</w:t>
      </w:r>
      <w:r>
        <w:rPr>
          <w:rFonts w:hint="eastAsia" w:ascii="Times New Roman" w:hAnsi="Times New Roman" w:eastAsia="方正仿宋_GBK"/>
          <w:sz w:val="32"/>
          <w:szCs w:val="32"/>
        </w:rPr>
        <w:t>　产权调换房屋达到交付标准的，区房屋征收部门应当及时通知被征收人接房，并告知接房期限以及停发临时安置、停产停业损失补偿的时间。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第四十六条</w:t>
      </w:r>
      <w:r>
        <w:rPr>
          <w:rFonts w:hint="eastAsia" w:ascii="Times New Roman" w:hAnsi="Times New Roman" w:eastAsia="方正仿宋_GBK"/>
          <w:sz w:val="32"/>
          <w:szCs w:val="32"/>
        </w:rPr>
        <w:t>　被征收居民的子女迁出原户籍后需要义务教育入学的，在征收时可一次性选择</w:t>
      </w:r>
      <w:r>
        <w:rPr>
          <w:rFonts w:ascii="Times New Roman" w:hAnsi="Times New Roman" w:eastAsia="方正仿宋_GBK"/>
          <w:sz w:val="32"/>
          <w:szCs w:val="32"/>
        </w:rPr>
        <w:t>6</w:t>
      </w:r>
      <w:r>
        <w:rPr>
          <w:rFonts w:hint="eastAsia" w:ascii="Times New Roman" w:hAnsi="Times New Roman" w:eastAsia="方正仿宋_GBK"/>
          <w:sz w:val="32"/>
          <w:szCs w:val="32"/>
        </w:rPr>
        <w:t>年内继续在原户籍所在地按照原招生办法入学，或者在迁入产权调换房屋的户籍所在地按照当地教育部门划片招生办法入学。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第四十七条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产权调换房屋转移登记实行并案办理，并按照相关规定减免契税。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评估、复核和鉴定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黑体_GBK" w:hAnsi="方正黑体_GBK" w:eastAsia="方正黑体_GBK" w:cs="方正黑体_GBK"/>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第四十八条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在征收项目和征收范围公布后，区房屋征收部门应在区政府官方网站上，公告征集评估机构，明确报名条件、</w:t>
      </w:r>
      <w:r>
        <w:rPr>
          <w:rFonts w:hint="eastAsia" w:ascii="Times New Roman" w:hAnsi="Times New Roman" w:eastAsia="方正仿宋_GBK"/>
          <w:spacing w:val="-8"/>
          <w:sz w:val="32"/>
          <w:szCs w:val="32"/>
        </w:rPr>
        <w:t>评估费标准等事项。符合条件的评估机构可向区房屋征收部门报名。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区房屋征收部门根据报名情况，遴选不少于</w:t>
      </w:r>
      <w:r>
        <w:rPr>
          <w:rFonts w:ascii="Times New Roman" w:hAnsi="Times New Roman" w:eastAsia="方正仿宋_GBK"/>
          <w:sz w:val="32"/>
          <w:szCs w:val="32"/>
        </w:rPr>
        <w:t>3</w:t>
      </w:r>
      <w:r>
        <w:rPr>
          <w:rFonts w:hint="eastAsia" w:ascii="Times New Roman" w:hAnsi="Times New Roman" w:eastAsia="方正仿宋_GBK"/>
          <w:sz w:val="32"/>
          <w:szCs w:val="32"/>
        </w:rPr>
        <w:t>家近</w:t>
      </w:r>
      <w:r>
        <w:rPr>
          <w:rFonts w:ascii="Times New Roman" w:hAnsi="Times New Roman" w:eastAsia="方正仿宋_GBK"/>
          <w:sz w:val="32"/>
          <w:szCs w:val="32"/>
        </w:rPr>
        <w:t>3</w:t>
      </w:r>
      <w:r>
        <w:rPr>
          <w:rFonts w:hint="eastAsia" w:ascii="Times New Roman" w:hAnsi="Times New Roman" w:eastAsia="方正仿宋_GBK"/>
          <w:sz w:val="32"/>
          <w:szCs w:val="32"/>
        </w:rPr>
        <w:t>年内未出现评估重大差错和违法违规行为的评估机构，作为候选的评估机构并向被征收人公示。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第四十九条</w:t>
      </w:r>
      <w:r>
        <w:rPr>
          <w:rFonts w:hint="eastAsia" w:ascii="Times New Roman" w:hAnsi="Times New Roman" w:eastAsia="方正仿宋_GBK"/>
          <w:sz w:val="32"/>
          <w:szCs w:val="32"/>
        </w:rPr>
        <w:t>　被征收人应当在候选的评估机构名单公示后</w:t>
      </w:r>
      <w:r>
        <w:rPr>
          <w:rFonts w:ascii="Times New Roman" w:hAnsi="Times New Roman" w:eastAsia="方正仿宋_GBK"/>
          <w:sz w:val="32"/>
          <w:szCs w:val="32"/>
        </w:rPr>
        <w:t>5</w:t>
      </w:r>
      <w:r>
        <w:rPr>
          <w:rFonts w:hint="eastAsia" w:ascii="Times New Roman" w:hAnsi="Times New Roman" w:eastAsia="方正仿宋_GBK"/>
          <w:sz w:val="32"/>
          <w:szCs w:val="32"/>
        </w:rPr>
        <w:t>个工作日内，协商确定本征收项目的评估机构；协商不成的，区房屋征收部门应当在公证机关现场公证下，根据实际情况，决定采取投票方式或通过摇号、抽签等随机方式确定评估机构。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采取投票方式确定的，区房屋征收部门应当提前</w:t>
      </w:r>
      <w:r>
        <w:rPr>
          <w:rFonts w:ascii="Times New Roman" w:hAnsi="Times New Roman" w:eastAsia="方正仿宋_GBK"/>
          <w:sz w:val="32"/>
          <w:szCs w:val="32"/>
        </w:rPr>
        <w:t>5</w:t>
      </w:r>
      <w:r>
        <w:rPr>
          <w:rFonts w:hint="eastAsia" w:ascii="Times New Roman" w:hAnsi="Times New Roman" w:eastAsia="方正仿宋_GBK"/>
          <w:sz w:val="32"/>
          <w:szCs w:val="32"/>
        </w:rPr>
        <w:t>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同一征收项目的评估工作应由</w:t>
      </w:r>
      <w:r>
        <w:rPr>
          <w:rFonts w:ascii="Times New Roman" w:hAnsi="Times New Roman" w:eastAsia="方正仿宋_GBK"/>
          <w:sz w:val="32"/>
          <w:szCs w:val="32"/>
        </w:rPr>
        <w:t>1</w:t>
      </w:r>
      <w:r>
        <w:rPr>
          <w:rFonts w:hint="eastAsia" w:ascii="Times New Roman" w:hAnsi="Times New Roman" w:eastAsia="方正仿宋_GBK"/>
          <w:sz w:val="32"/>
          <w:szCs w:val="32"/>
        </w:rPr>
        <w:t>家评估机构承担。房屋征收范围较大的，可以确定</w:t>
      </w:r>
      <w:r>
        <w:rPr>
          <w:rFonts w:ascii="Times New Roman" w:hAnsi="Times New Roman" w:eastAsia="方正仿宋_GBK"/>
          <w:sz w:val="32"/>
          <w:szCs w:val="32"/>
        </w:rPr>
        <w:t>2</w:t>
      </w:r>
      <w:r>
        <w:rPr>
          <w:rFonts w:hint="eastAsia" w:ascii="Times New Roman" w:hAnsi="Times New Roman" w:eastAsia="方正仿宋_GBK"/>
          <w:sz w:val="32"/>
          <w:szCs w:val="32"/>
        </w:rPr>
        <w:t>家及以上的评估机构，并由其共同协商确定</w:t>
      </w:r>
      <w:r>
        <w:rPr>
          <w:rFonts w:ascii="Times New Roman" w:hAnsi="Times New Roman" w:eastAsia="方正仿宋_GBK"/>
          <w:sz w:val="32"/>
          <w:szCs w:val="32"/>
        </w:rPr>
        <w:t>1</w:t>
      </w:r>
      <w:r>
        <w:rPr>
          <w:rFonts w:hint="eastAsia" w:ascii="Times New Roman" w:hAnsi="Times New Roman" w:eastAsia="方正仿宋_GBK"/>
          <w:sz w:val="32"/>
          <w:szCs w:val="32"/>
        </w:rPr>
        <w:t>家评估机构为牵头单位，协商不成的，由区房屋征收部门指定。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区房屋征收部门应当及时在房屋征收范围内公布确定的评估机构名单，并向确定的评估机构出具房屋征收评估委托书，签订房屋征收评估委托合同。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征收评估费用由区房屋征收部门承担，评估费用应当根据房屋征收项目规模、服务内容分档次确定，一般不超过被征收房屋评估价值的</w:t>
      </w:r>
      <w:r>
        <w:rPr>
          <w:rFonts w:ascii="Times New Roman" w:hAnsi="Times New Roman" w:eastAsia="方正仿宋_GBK"/>
          <w:sz w:val="32"/>
          <w:szCs w:val="32"/>
        </w:rPr>
        <w:t>5‰</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第五十一条</w:t>
      </w:r>
      <w:r>
        <w:rPr>
          <w:rFonts w:hint="eastAsia" w:ascii="Times New Roman" w:hAnsi="Times New Roman" w:eastAsia="方正仿宋_GBK"/>
          <w:sz w:val="32"/>
          <w:szCs w:val="32"/>
        </w:rPr>
        <w:t>　评估机构应当依法独立、客观、公正地开展征收评估工作，不得有以下行为：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（一）利用开展业务之便，谋取不正当利益；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（二）允许其他评估机构以本机构名义开展业务，或者冒用其他评估机构名义开展业务；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（四）受理与自身有利害关系的业务；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（五）出具有重大遗漏的评估报告；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（六）出具虚假评估报告；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（七）法律、法规和规章禁止的其他行为。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任何组织或者个人不得违法干预征收评估活动和评估结果。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第五十二条</w:t>
      </w:r>
      <w:r>
        <w:rPr>
          <w:rFonts w:hint="eastAsia" w:ascii="Times New Roman" w:hAnsi="Times New Roman" w:eastAsia="方正仿宋_GBK"/>
          <w:sz w:val="32"/>
          <w:szCs w:val="32"/>
        </w:rPr>
        <w:t>　因房屋征收评估、复核评估、鉴定工作，需要查询被征收房屋和用于产权调换房屋有关信息资料的，公安、民政、市场监管、税务、不动产登记等部门和机构应当向区房屋征收部门提供查询服务。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区房屋征收部门应向评估机构提供被征收房屋调查结果、未经不动产登记建筑合法性认定结论、被征收房屋用途认定结论和产权调换房屋信息等有关资料，为房屋价值评估提供依据和便利条件。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评估机构应当对被征收房屋进行实地查勘，被征收人应当提供便利，并协助收集被征收房屋价值和有关设施设备价值评估所需的信息资料。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因被征收人单方面原因而造成不能实地查勘被征收房屋内部状况的，经区房屋征收部门、评估机构和无利害关系的第三人见证，可以参照与被征收房屋位置相近、户型结构相似、建筑面积相近的同类房屋进行评估，并在评估报告中注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第五十三条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房屋征收决定公告后，区房屋征收部门应当将分户的初步评估结果在房屋征收范围内向被征收人公示</w:t>
      </w:r>
      <w:r>
        <w:rPr>
          <w:rFonts w:ascii="Times New Roman" w:hAnsi="Times New Roman" w:eastAsia="方正仿宋_GBK"/>
          <w:sz w:val="32"/>
          <w:szCs w:val="32"/>
        </w:rPr>
        <w:t>7</w:t>
      </w:r>
      <w:r>
        <w:rPr>
          <w:rFonts w:hint="eastAsia" w:ascii="Times New Roman" w:hAnsi="Times New Roman" w:eastAsia="方正仿宋_GBK"/>
          <w:sz w:val="32"/>
          <w:szCs w:val="32"/>
        </w:rPr>
        <w:t>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第五十四条</w:t>
      </w:r>
      <w:r>
        <w:rPr>
          <w:rFonts w:hint="eastAsia" w:ascii="Times New Roman" w:hAnsi="Times New Roman" w:eastAsia="方正仿宋_GBK"/>
          <w:sz w:val="32"/>
          <w:szCs w:val="32"/>
        </w:rPr>
        <w:t>　在分户初步评估结果公示期届满后，评估机构应当向区房屋征收部门提交房屋征收范围内的整体评估报告和分户评估报告。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区房屋征收部门应当将分户评估报告送达被征收人，并告知被征收人有申请复核评估的权利。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第五十五条</w:t>
      </w:r>
      <w:r>
        <w:rPr>
          <w:rFonts w:hint="eastAsia" w:ascii="Times New Roman" w:hAnsi="Times New Roman" w:eastAsia="方正仿宋_GBK"/>
          <w:sz w:val="32"/>
          <w:szCs w:val="32"/>
        </w:rPr>
        <w:t>　被征收人或者区房屋征收部门对评估结果有异议的，应当自收到评估报告之日起</w:t>
      </w:r>
      <w:r>
        <w:rPr>
          <w:rFonts w:ascii="Times New Roman" w:hAnsi="Times New Roman" w:eastAsia="方正仿宋_GBK"/>
          <w:sz w:val="32"/>
          <w:szCs w:val="32"/>
        </w:rPr>
        <w:t>10</w:t>
      </w:r>
      <w:r>
        <w:rPr>
          <w:rFonts w:hint="eastAsia" w:ascii="Times New Roman" w:hAnsi="Times New Roman" w:eastAsia="方正仿宋_GBK"/>
          <w:sz w:val="32"/>
          <w:szCs w:val="32"/>
        </w:rPr>
        <w:t>日内，以书面方式向出具评估报告的评估机构申请复核评估。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出具评估报告的评估机构应当自收到复核评估申请之日起</w:t>
      </w:r>
      <w:r>
        <w:rPr>
          <w:rFonts w:ascii="Times New Roman" w:hAnsi="Times New Roman" w:eastAsia="方正仿宋_GBK"/>
          <w:sz w:val="32"/>
          <w:szCs w:val="32"/>
        </w:rPr>
        <w:t>10</w:t>
      </w:r>
      <w:r>
        <w:rPr>
          <w:rFonts w:hint="eastAsia" w:ascii="Times New Roman" w:hAnsi="Times New Roman" w:eastAsia="方正仿宋_GBK"/>
          <w:sz w:val="32"/>
          <w:szCs w:val="32"/>
        </w:rPr>
        <w:t>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评估机构不得以复核评估为由，收取申请人的任何费用。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第五十六条</w:t>
      </w:r>
      <w:r>
        <w:rPr>
          <w:rFonts w:hint="eastAsia" w:ascii="Times New Roman" w:hAnsi="Times New Roman" w:eastAsia="方正仿宋_GBK"/>
          <w:sz w:val="32"/>
          <w:szCs w:val="32"/>
        </w:rPr>
        <w:t>　被征收人或者区房屋征收部门对评估机构的复核评估结果有异议的，应当自收到复核评估结果之日起</w:t>
      </w:r>
      <w:r>
        <w:rPr>
          <w:rFonts w:ascii="Times New Roman" w:hAnsi="Times New Roman" w:eastAsia="方正仿宋_GBK"/>
          <w:sz w:val="32"/>
          <w:szCs w:val="32"/>
        </w:rPr>
        <w:t>10</w:t>
      </w:r>
      <w:r>
        <w:rPr>
          <w:rFonts w:hint="eastAsia" w:ascii="Times New Roman" w:hAnsi="Times New Roman" w:eastAsia="方正仿宋_GBK"/>
          <w:sz w:val="32"/>
          <w:szCs w:val="32"/>
        </w:rPr>
        <w:t>日内，以书面方式向市评估专家委员会申请鉴定。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在鉴定过程中，出具复核评估结果的评估机构应当积极配合复核评估的鉴定工作，如实提供评估资料信息，并对提供的资料信息的真实性负责。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第五十七条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鉴定意见书认定复核评估结果有错误的，出具复核评估结果的评估机构应当在</w:t>
      </w:r>
      <w:r>
        <w:rPr>
          <w:rFonts w:ascii="Times New Roman" w:hAnsi="Times New Roman" w:eastAsia="方正仿宋_GBK"/>
          <w:sz w:val="32"/>
          <w:szCs w:val="32"/>
        </w:rPr>
        <w:t>10</w:t>
      </w:r>
      <w:r>
        <w:rPr>
          <w:rFonts w:hint="eastAsia" w:ascii="Times New Roman" w:hAnsi="Times New Roman" w:eastAsia="方正仿宋_GBK"/>
          <w:sz w:val="32"/>
          <w:szCs w:val="32"/>
        </w:rPr>
        <w:t>日内按鉴定意见要求修改评估报告，并送达区房屋征收部门和被征收人。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第五十八条</w:t>
      </w:r>
      <w:r>
        <w:rPr>
          <w:rFonts w:hint="eastAsia" w:ascii="Times New Roman" w:hAnsi="Times New Roman" w:eastAsia="方正仿宋_GBK"/>
          <w:sz w:val="32"/>
          <w:szCs w:val="32"/>
        </w:rPr>
        <w:t>　市评估专家委员会的鉴定费用由鉴定申请人预先缴纳。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黑体_GBK" w:hAnsi="方正黑体_GBK" w:eastAsia="方正黑体_GBK" w:cs="方正黑体_GBK"/>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第五十九条</w:t>
      </w:r>
      <w:r>
        <w:rPr>
          <w:rFonts w:hint="eastAsia" w:ascii="Times New Roman" w:hAnsi="Times New Roman" w:eastAsia="方正仿宋_GBK"/>
          <w:sz w:val="32"/>
          <w:szCs w:val="32"/>
        </w:rPr>
        <w:t>　本实施细则中下列用语的含义：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（一）被征收房屋类似房地产，是指与被征收房屋的权利性质、区位、用途</w:t>
      </w:r>
      <w:bookmarkStart w:id="0" w:name="_GoBack"/>
      <w:bookmarkEnd w:id="0"/>
      <w:r>
        <w:rPr>
          <w:rFonts w:hint="eastAsia" w:ascii="Times New Roman" w:hAnsi="Times New Roman" w:eastAsia="方正仿宋_GBK"/>
          <w:sz w:val="32"/>
          <w:szCs w:val="32"/>
        </w:rPr>
        <w:t>、品质、新旧程度、规模、建筑结构等相同或者相似的房地产。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（二）直管公房，是指由政府公房管理部门或者政府授权的管理单位依法直接管理的国有房屋。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（三）自管公房，是指国有企事业单位、社会团体投资建设且自行管理的房屋。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第六十条</w:t>
      </w:r>
      <w:r>
        <w:rPr>
          <w:rFonts w:hint="eastAsia" w:ascii="Times New Roman" w:hAnsi="Times New Roman" w:eastAsia="方正仿宋_GBK"/>
          <w:sz w:val="32"/>
          <w:szCs w:val="32"/>
        </w:rPr>
        <w:t>　本实施办法涉及的</w:t>
      </w:r>
      <w:r>
        <w:rPr>
          <w:rFonts w:ascii="Times New Roman" w:hAnsi="Times New Roman" w:eastAsia="方正仿宋_GBK"/>
          <w:sz w:val="32"/>
          <w:szCs w:val="32"/>
        </w:rPr>
        <w:t>“</w:t>
      </w:r>
      <w:r>
        <w:rPr>
          <w:rFonts w:hint="eastAsia" w:ascii="Times New Roman" w:hAnsi="Times New Roman" w:eastAsia="方正仿宋_GBK"/>
          <w:sz w:val="32"/>
          <w:szCs w:val="32"/>
        </w:rPr>
        <w:t>户</w:t>
      </w:r>
      <w:r>
        <w:rPr>
          <w:rFonts w:ascii="Times New Roman" w:hAnsi="Times New Roman" w:eastAsia="方正仿宋_GBK"/>
          <w:sz w:val="32"/>
          <w:szCs w:val="32"/>
        </w:rPr>
        <w:t>”</w:t>
      </w:r>
      <w:r>
        <w:rPr>
          <w:rFonts w:hint="eastAsia" w:ascii="Times New Roman" w:hAnsi="Times New Roman" w:eastAsia="方正仿宋_GBK"/>
          <w:sz w:val="32"/>
          <w:szCs w:val="32"/>
        </w:rPr>
        <w:t>，以合法有效的房屋产权证书计算。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房屋所有权专有部分面积，按照被征收房屋不动产权证记载的建筑面积进行计算。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方正仿宋_GBK"/>
          <w:sz w:val="32"/>
          <w:szCs w:val="32"/>
        </w:rPr>
      </w:pPr>
      <w:r>
        <w:rPr>
          <w:rFonts w:hint="eastAsia" w:ascii="方正黑体_GBK" w:hAnsi="方正黑体_GBK" w:eastAsia="方正黑体_GBK" w:cs="方正黑体_GBK"/>
          <w:b/>
          <w:bCs/>
          <w:sz w:val="32"/>
          <w:szCs w:val="32"/>
        </w:rPr>
        <w:t>第六十一条</w:t>
      </w:r>
      <w:r>
        <w:rPr>
          <w:rFonts w:hint="eastAsia" w:ascii="Times New Roman" w:hAnsi="Times New Roman" w:eastAsia="方正仿宋_GBK"/>
          <w:b/>
          <w:bCs/>
          <w:sz w:val="32"/>
          <w:szCs w:val="32"/>
        </w:rPr>
        <w:t>　</w:t>
      </w:r>
      <w:r>
        <w:rPr>
          <w:rFonts w:hint="eastAsia" w:ascii="Times New Roman" w:hAnsi="Times New Roman" w:eastAsia="方正仿宋_GBK"/>
          <w:sz w:val="32"/>
          <w:szCs w:val="32"/>
        </w:rPr>
        <w:t>本实施办法自印发之日起施行。</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rPr>
          <w:rFonts w:ascii="方正黑体_GBK" w:hAnsi="方正黑体_GBK" w:eastAsia="方正黑体_GBK" w:cs="方正黑体_GBK"/>
          <w:sz w:val="32"/>
          <w:szCs w:val="32"/>
        </w:rPr>
      </w:pPr>
    </w:p>
    <w:p>
      <w:pPr>
        <w:pStyle w:val="2"/>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F7E67"/>
    <w:multiLevelType w:val="singleLevel"/>
    <w:tmpl w:val="885F7E67"/>
    <w:lvl w:ilvl="0" w:tentative="0">
      <w:start w:val="1"/>
      <w:numFmt w:val="chineseCounting"/>
      <w:suff w:val="nothing"/>
      <w:lvlText w:val="（%1）"/>
      <w:lvlJc w:val="left"/>
      <w:rPr>
        <w:rFonts w:hint="eastAsia"/>
      </w:rPr>
    </w:lvl>
  </w:abstractNum>
  <w:abstractNum w:abstractNumId="1">
    <w:nsid w:val="5CE3684A"/>
    <w:multiLevelType w:val="singleLevel"/>
    <w:tmpl w:val="5CE3684A"/>
    <w:lvl w:ilvl="0" w:tentative="0">
      <w:start w:val="2"/>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F9C7453"/>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CA44379"/>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99"/>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uiPriority w:val="99"/>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99"/>
    <w:rPr>
      <w:rFonts w:cs="Times New Roman"/>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2023-05-18T12:16:37Z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