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重庆市潼南区人民政府办公室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关于健全重特大疾病医疗保险和救助制度的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cs="Times New Roman"/>
          <w:kern w:val="0"/>
          <w:sz w:val="44"/>
          <w:szCs w:val="44"/>
        </w:rPr>
      </w:pPr>
      <w:r>
        <w:rPr>
          <w:rFonts w:hint="default" w:ascii="Times New Roman" w:hAnsi="Times New Roman" w:eastAsia="方正小标宋_GBK" w:cs="Times New Roman"/>
          <w:kern w:val="0"/>
          <w:sz w:val="44"/>
          <w:szCs w:val="44"/>
        </w:rPr>
        <w:t>实施意见</w:t>
      </w:r>
    </w:p>
    <w:p>
      <w:pPr>
        <w:spacing w:line="600" w:lineRule="exact"/>
        <w:jc w:val="center"/>
        <w:rPr>
          <w:rFonts w:hint="default" w:ascii="Times New Roman" w:hAnsi="Times New Roman" w:cs="Times New Roman"/>
          <w:sz w:val="32"/>
          <w:szCs w:val="32"/>
        </w:rPr>
      </w:pPr>
      <w:bookmarkStart w:id="0" w:name="doc_mark"/>
      <w:r>
        <w:rPr>
          <w:rFonts w:hint="default" w:ascii="Times New Roman" w:hAnsi="Times New Roman" w:cs="Times New Roman"/>
          <w:sz w:val="32"/>
          <w:szCs w:val="32"/>
        </w:rPr>
        <w:t>潼南府办发〔2023〕7号</w:t>
      </w:r>
      <w:bookmarkEnd w:id="0"/>
    </w:p>
    <w:p>
      <w:pPr>
        <w:spacing w:line="600" w:lineRule="exact"/>
        <w:jc w:val="both"/>
        <w:rPr>
          <w:rFonts w:hint="default" w:ascii="Times New Roman" w:hAnsi="Times New Roman" w:cs="Times New Roman"/>
          <w:sz w:val="32"/>
          <w:szCs w:val="32"/>
        </w:rPr>
      </w:pPr>
    </w:p>
    <w:p>
      <w:pPr>
        <w:spacing w:line="600"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各镇人民政府、街道办事处，区政府各部门，有关单位</w:t>
      </w:r>
      <w:bookmarkStart w:id="1" w:name="_GoBack"/>
      <w:bookmarkEnd w:id="1"/>
      <w:r>
        <w:rPr>
          <w:rFonts w:hint="default" w:ascii="Times New Roman" w:hAnsi="Times New Roman" w:eastAsia="方正仿宋_GBK" w:cs="Times New Roman"/>
          <w:color w:val="000000"/>
          <w:sz w:val="32"/>
          <w:szCs w:val="32"/>
        </w:rPr>
        <w:t>：</w:t>
      </w:r>
    </w:p>
    <w:p>
      <w:pPr>
        <w:adjustRightInd w:val="0"/>
        <w:spacing w:line="600" w:lineRule="exact"/>
        <w:ind w:firstLine="640" w:firstLineChars="200"/>
        <w:textAlignment w:val="baseline"/>
        <w:rPr>
          <w:rFonts w:hint="default" w:ascii="Times New Roman" w:hAnsi="Times New Roman"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为贯彻落实《重庆市人民政府办公厅关于健全重特大疾病医疗保险和救助制度的实施意见》（渝府办发〔</w:t>
      </w:r>
      <w:r>
        <w:rPr>
          <w:rFonts w:hint="default" w:ascii="Times New Roman" w:hAnsi="Times New Roman" w:eastAsia="方正仿宋_GBK" w:cs="Times New Roman"/>
          <w:color w:val="000000"/>
          <w:kern w:val="0"/>
          <w:sz w:val="32"/>
          <w:szCs w:val="32"/>
          <w:lang w:bidi="ar"/>
        </w:rPr>
        <w:t>2022</w:t>
      </w:r>
      <w:r>
        <w:rPr>
          <w:rFonts w:hint="default" w:ascii="Times New Roman" w:hAnsi="Times New Roman" w:eastAsia="方正仿宋_GBK" w:cs="Times New Roman"/>
          <w:color w:val="000000"/>
          <w:kern w:val="0"/>
          <w:sz w:val="32"/>
          <w:szCs w:val="32"/>
          <w:lang w:bidi="ar"/>
        </w:rPr>
        <w:t>〕</w:t>
      </w:r>
      <w:r>
        <w:rPr>
          <w:rFonts w:hint="default" w:ascii="Times New Roman" w:hAnsi="Times New Roman" w:eastAsia="方正仿宋_GBK" w:cs="Times New Roman"/>
          <w:color w:val="000000"/>
          <w:kern w:val="0"/>
          <w:sz w:val="32"/>
          <w:szCs w:val="32"/>
          <w:lang w:bidi="ar"/>
        </w:rPr>
        <w:t>116</w:t>
      </w:r>
      <w:r>
        <w:rPr>
          <w:rFonts w:hint="default" w:ascii="Times New Roman" w:hAnsi="Times New Roman" w:eastAsia="方正仿宋_GBK" w:cs="Times New Roman"/>
          <w:color w:val="000000"/>
          <w:kern w:val="0"/>
          <w:sz w:val="32"/>
          <w:szCs w:val="32"/>
          <w:lang w:bidi="ar"/>
        </w:rPr>
        <w:t>号），巩固拓展医疗保障脱贫攻坚成果，进一步减轻困难群众和大病患者医疗费用负担，经区政府同意，结合我区实际，现提出如下实施意见。</w:t>
      </w:r>
    </w:p>
    <w:p>
      <w:pPr>
        <w:adjustRightInd w:val="0"/>
        <w:spacing w:line="600" w:lineRule="exact"/>
        <w:ind w:firstLine="739" w:firstLineChars="231"/>
        <w:textAlignment w:val="baseline"/>
        <w:rPr>
          <w:rFonts w:hint="default" w:ascii="Times New Roman" w:hAnsi="Times New Roman" w:cs="Times New Roman"/>
          <w:color w:val="000000"/>
          <w:kern w:val="0"/>
          <w:sz w:val="32"/>
          <w:szCs w:val="32"/>
          <w:lang w:bidi="ar"/>
        </w:rPr>
      </w:pPr>
      <w:r>
        <w:rPr>
          <w:rFonts w:hint="default" w:ascii="Times New Roman" w:hAnsi="Times New Roman" w:eastAsia="方正黑体_GBK" w:cs="Times New Roman"/>
          <w:color w:val="000000"/>
          <w:kern w:val="0"/>
          <w:sz w:val="32"/>
          <w:szCs w:val="32"/>
          <w:lang w:bidi="ar"/>
        </w:rPr>
        <w:t>一、总体要求</w:t>
      </w:r>
    </w:p>
    <w:p>
      <w:pPr>
        <w:adjustRightInd w:val="0"/>
        <w:spacing w:line="600" w:lineRule="exact"/>
        <w:ind w:firstLine="739" w:firstLineChars="231"/>
        <w:textAlignment w:val="baseline"/>
        <w:rPr>
          <w:rFonts w:hint="default" w:ascii="Times New Roman" w:hAnsi="Times New Roman"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以习近平新时代中国特色社会主义思想为指导，深入学习贯彻党的二十大精神，全面落实习近平总书记对重庆提出的重要指示要求，认真落实市第六次党代会精神，坚持以人民为中心，坚持共同富裕方向，坚持应保尽保、保障基本，尽力而为、量力而行，推动民生改善更可持续。建立健全防范和化解因病致贫返贫长效机制，强化基本医保、大病保险、医疗救助（以下统称三重制度）综合保障，实事求是确定困难群众医疗保障待遇标准。促进三重制度综合保障与慈善救助、商业健康保险等协同发展、有效衔接，构建政府主导、多方参与的多层次医疗保障体系。</w:t>
      </w:r>
    </w:p>
    <w:p>
      <w:pPr>
        <w:adjustRightInd w:val="0"/>
        <w:spacing w:line="600" w:lineRule="exact"/>
        <w:ind w:firstLine="739" w:firstLineChars="231"/>
        <w:textAlignment w:val="baseline"/>
        <w:rPr>
          <w:rFonts w:hint="default" w:ascii="Times New Roman" w:hAnsi="Times New Roman" w:eastAsia="方正黑体_GBK" w:cs="Times New Roman"/>
          <w:color w:val="000000"/>
          <w:kern w:val="0"/>
          <w:sz w:val="32"/>
          <w:szCs w:val="32"/>
          <w:lang w:bidi="ar"/>
        </w:rPr>
      </w:pPr>
      <w:r>
        <w:rPr>
          <w:rFonts w:hint="default" w:ascii="Times New Roman" w:hAnsi="Times New Roman" w:eastAsia="方正黑体_GBK" w:cs="Times New Roman"/>
          <w:color w:val="000000"/>
          <w:kern w:val="0"/>
          <w:sz w:val="32"/>
          <w:szCs w:val="32"/>
          <w:lang w:bidi="ar"/>
        </w:rPr>
        <w:t>二、重点任务</w:t>
      </w:r>
    </w:p>
    <w:p>
      <w:pPr>
        <w:adjustRightInd w:val="0"/>
        <w:spacing w:line="600" w:lineRule="exact"/>
        <w:ind w:firstLine="739" w:firstLineChars="231"/>
        <w:textAlignment w:val="baseline"/>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（一）科学确定医疗救助对象范围。</w:t>
      </w:r>
    </w:p>
    <w:p>
      <w:pPr>
        <w:adjustRightInd w:val="0"/>
        <w:spacing w:line="600" w:lineRule="exact"/>
        <w:ind w:firstLine="739" w:firstLineChars="231"/>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医疗救助公平覆盖医疗费用负担较重的困难职工和城乡居民，根据救助对象类别实施分类救助。低保对象、特困人员、低保边缘家庭成员和纳入监测范围的农村易返贫致贫人口，按规定给予救助。不符合低保、特困人员救助供养或低保边缘家庭条件，但因高额医疗费用支出导致家庭基本生活出现严重困难的大病患者（以下称因病致贫重病患者），根据实际给予一定救助。具体由区民政局会同区医保局等相关部门按有关政策规定做好因病致贫重病患者的认定工作。</w:t>
      </w:r>
    </w:p>
    <w:p>
      <w:pPr>
        <w:adjustRightInd w:val="0"/>
        <w:spacing w:line="600" w:lineRule="exact"/>
        <w:ind w:firstLine="640" w:firstLineChars="200"/>
        <w:textAlignment w:val="baseline"/>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对于孤儿、事实无人抚养儿童等其他医疗救助对象，按照本区既往政策规定继续实施救助。</w:t>
      </w:r>
    </w:p>
    <w:p>
      <w:pPr>
        <w:adjustRightInd w:val="0"/>
        <w:spacing w:line="600" w:lineRule="exact"/>
        <w:ind w:firstLine="640" w:firstLineChars="200"/>
        <w:textAlignment w:val="baseline"/>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（二）强化三重制度综合保障。</w:t>
      </w:r>
    </w:p>
    <w:p>
      <w:pPr>
        <w:adjustRightInd w:val="0"/>
        <w:spacing w:line="600" w:lineRule="exact"/>
        <w:ind w:firstLine="640" w:firstLineChars="200"/>
        <w:textAlignment w:val="baseline"/>
        <w:rPr>
          <w:rFonts w:hint="default" w:ascii="Times New Roman" w:hAnsi="Times New Roman"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1.</w:t>
      </w:r>
      <w:r>
        <w:rPr>
          <w:rFonts w:hint="default" w:ascii="Times New Roman" w:hAnsi="Times New Roman" w:eastAsia="方正仿宋_GBK" w:cs="Times New Roman"/>
          <w:color w:val="000000"/>
          <w:kern w:val="0"/>
          <w:sz w:val="32"/>
          <w:szCs w:val="32"/>
          <w:lang w:bidi="ar"/>
        </w:rPr>
        <w:t>确保困难群众应保尽保。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照</w:t>
      </w:r>
      <w:r>
        <w:rPr>
          <w:rFonts w:hint="default" w:ascii="Times New Roman" w:hAnsi="Times New Roman" w:eastAsia="方正仿宋_GBK" w:cs="Times New Roman"/>
          <w:color w:val="000000"/>
          <w:kern w:val="0"/>
          <w:sz w:val="32"/>
          <w:szCs w:val="32"/>
          <w:lang w:bidi="ar"/>
        </w:rPr>
        <w:t>90%</w:t>
      </w:r>
      <w:r>
        <w:rPr>
          <w:rFonts w:hint="default" w:ascii="Times New Roman" w:hAnsi="Times New Roman" w:eastAsia="方正仿宋_GBK" w:cs="Times New Roman"/>
          <w:color w:val="000000"/>
          <w:kern w:val="0"/>
          <w:sz w:val="32"/>
          <w:szCs w:val="32"/>
          <w:lang w:bidi="ar"/>
        </w:rPr>
        <w:t>给予定额资助，对返贫致贫人口、纳入监测范围的农村易返贫致贫人口和低保边缘家庭成员按照</w:t>
      </w:r>
      <w:r>
        <w:rPr>
          <w:rFonts w:hint="default" w:ascii="Times New Roman" w:hAnsi="Times New Roman" w:eastAsia="方正仿宋_GBK" w:cs="Times New Roman"/>
          <w:color w:val="000000"/>
          <w:kern w:val="0"/>
          <w:sz w:val="32"/>
          <w:szCs w:val="32"/>
          <w:lang w:bidi="ar"/>
        </w:rPr>
        <w:t>70%</w:t>
      </w:r>
      <w:r>
        <w:rPr>
          <w:rFonts w:hint="default" w:ascii="Times New Roman" w:hAnsi="Times New Roman" w:eastAsia="方正仿宋_GBK" w:cs="Times New Roman"/>
          <w:color w:val="000000"/>
          <w:kern w:val="0"/>
          <w:sz w:val="32"/>
          <w:szCs w:val="32"/>
          <w:lang w:bidi="ar"/>
        </w:rPr>
        <w:t>给予定额资助；救助对象自愿参加城乡居民基本医保二档的，统一按照参加城乡居民基本医保一档个人缴费标准的</w:t>
      </w:r>
      <w:r>
        <w:rPr>
          <w:rFonts w:hint="default" w:ascii="Times New Roman" w:hAnsi="Times New Roman" w:eastAsia="方正仿宋_GBK" w:cs="Times New Roman"/>
          <w:color w:val="000000"/>
          <w:kern w:val="0"/>
          <w:sz w:val="32"/>
          <w:szCs w:val="32"/>
          <w:lang w:bidi="ar"/>
        </w:rPr>
        <w:t>100%</w:t>
      </w:r>
      <w:r>
        <w:rPr>
          <w:rFonts w:hint="default" w:ascii="Times New Roman" w:hAnsi="Times New Roman" w:eastAsia="方正仿宋_GBK" w:cs="Times New Roman"/>
          <w:color w:val="000000"/>
          <w:kern w:val="0"/>
          <w:sz w:val="32"/>
          <w:szCs w:val="32"/>
          <w:lang w:bidi="ar"/>
        </w:rPr>
        <w:t>给予资助。适应人口流动和参保需求变化，按照救助对象认定地资助参保原则，为救助对象提供多元化参保缴费方式，确保其及时参保、应保尽保。</w:t>
      </w:r>
    </w:p>
    <w:p>
      <w:pPr>
        <w:adjustRightInd w:val="0"/>
        <w:spacing w:line="600" w:lineRule="exact"/>
        <w:ind w:firstLine="640" w:firstLineChars="200"/>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2.</w:t>
      </w:r>
      <w:r>
        <w:rPr>
          <w:rFonts w:hint="default" w:ascii="Times New Roman" w:hAnsi="Times New Roman" w:eastAsia="方正仿宋_GBK" w:cs="Times New Roman"/>
          <w:color w:val="000000"/>
          <w:kern w:val="0"/>
          <w:sz w:val="32"/>
          <w:szCs w:val="32"/>
          <w:lang w:bidi="ar"/>
        </w:rPr>
        <w:t>促进三重制度互补衔接。发挥基本医保主体保障功能，严格执行基本医保支付范围和标准，实施公平适度保障；增强大病保险减负功能，特困人员、低保对象和返贫致贫人口大病保险起付线降低</w:t>
      </w:r>
      <w:r>
        <w:rPr>
          <w:rFonts w:hint="default" w:ascii="Times New Roman" w:hAnsi="Times New Roman" w:eastAsia="方正仿宋_GBK" w:cs="Times New Roman"/>
          <w:color w:val="000000"/>
          <w:kern w:val="0"/>
          <w:sz w:val="32"/>
          <w:szCs w:val="32"/>
          <w:lang w:bidi="ar"/>
        </w:rPr>
        <w:t>50%</w:t>
      </w:r>
      <w:r>
        <w:rPr>
          <w:rFonts w:hint="default" w:ascii="Times New Roman" w:hAnsi="Times New Roman" w:eastAsia="方正仿宋_GBK" w:cs="Times New Roman"/>
          <w:color w:val="000000"/>
          <w:kern w:val="0"/>
          <w:sz w:val="32"/>
          <w:szCs w:val="32"/>
          <w:lang w:bidi="ar"/>
        </w:rPr>
        <w:t>，报销比例提高</w:t>
      </w:r>
      <w:r>
        <w:rPr>
          <w:rFonts w:hint="default" w:ascii="Times New Roman" w:hAnsi="Times New Roman" w:eastAsia="方正仿宋_GBK" w:cs="Times New Roman"/>
          <w:color w:val="000000"/>
          <w:kern w:val="0"/>
          <w:sz w:val="32"/>
          <w:szCs w:val="32"/>
          <w:lang w:bidi="ar"/>
        </w:rPr>
        <w:t>5</w:t>
      </w:r>
      <w:r>
        <w:rPr>
          <w:rFonts w:hint="default" w:ascii="Times New Roman" w:hAnsi="Times New Roman" w:eastAsia="方正仿宋_GBK" w:cs="Times New Roman"/>
          <w:color w:val="000000"/>
          <w:kern w:val="0"/>
          <w:sz w:val="32"/>
          <w:szCs w:val="32"/>
          <w:lang w:bidi="ar"/>
        </w:rPr>
        <w:t>个百分点，不设封顶线；夯实医疗救助托底保障功能，按照</w:t>
      </w:r>
      <w:r>
        <w:rPr>
          <w:rFonts w:hint="eastAsia" w:ascii="Times New Roman" w:hAnsi="Times New Roman" w:cs="Times New Roman"/>
          <w:color w:val="000000"/>
          <w:kern w:val="0"/>
          <w:sz w:val="32"/>
          <w:szCs w:val="32"/>
          <w:lang w:eastAsia="zh-CN" w:bidi="ar"/>
        </w:rPr>
        <w:t>“</w:t>
      </w:r>
      <w:r>
        <w:rPr>
          <w:rFonts w:hint="default" w:ascii="Times New Roman" w:hAnsi="Times New Roman" w:eastAsia="方正仿宋_GBK" w:cs="Times New Roman"/>
          <w:color w:val="000000"/>
          <w:kern w:val="0"/>
          <w:sz w:val="32"/>
          <w:szCs w:val="32"/>
          <w:lang w:val="en-US" w:eastAsia="zh-CN" w:bidi="ar"/>
        </w:rPr>
        <w:t>先保险后救助</w:t>
      </w:r>
      <w:r>
        <w:rPr>
          <w:rFonts w:hint="eastAsia" w:ascii="Times New Roman" w:hAnsi="Times New Roman" w:cs="Times New Roman"/>
          <w:color w:val="000000"/>
          <w:kern w:val="0"/>
          <w:sz w:val="32"/>
          <w:szCs w:val="32"/>
          <w:lang w:eastAsia="zh-CN" w:bidi="ar"/>
        </w:rPr>
        <w:t>”</w:t>
      </w:r>
      <w:r>
        <w:rPr>
          <w:rFonts w:hint="default" w:ascii="Times New Roman" w:hAnsi="Times New Roman" w:eastAsia="方正仿宋_GBK" w:cs="Times New Roman"/>
          <w:color w:val="000000"/>
          <w:kern w:val="0"/>
          <w:sz w:val="32"/>
          <w:szCs w:val="32"/>
          <w:lang w:bidi="ar"/>
        </w:rPr>
        <w:t>的原则，对基本医保、大病保险等支付后个人医疗费用负担仍然较重的救助对象按规定实施救助，合力防范因病致贫返贫风险。完善农村易返贫致贫人口医保帮扶措施，推动实现巩固拓展医疗保障脱贫攻坚成果同乡村振兴有效衔接。</w:t>
      </w:r>
    </w:p>
    <w:p>
      <w:pPr>
        <w:adjustRightInd w:val="0"/>
        <w:spacing w:line="600" w:lineRule="exact"/>
        <w:ind w:firstLine="640" w:firstLineChars="200"/>
        <w:textAlignment w:val="baseline"/>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（三）夯实医疗救助托底保障。</w:t>
      </w:r>
    </w:p>
    <w:p>
      <w:pPr>
        <w:adjustRightInd w:val="0"/>
        <w:spacing w:line="600" w:lineRule="exact"/>
        <w:ind w:firstLine="640" w:firstLineChars="200"/>
        <w:textAlignment w:val="baseline"/>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w:t>
      </w:r>
      <w:r>
        <w:rPr>
          <w:rFonts w:hint="default" w:ascii="Times New Roman" w:hAnsi="Times New Roman" w:eastAsia="方正仿宋_GBK" w:cs="Times New Roman"/>
          <w:color w:val="000000"/>
          <w:kern w:val="0"/>
          <w:sz w:val="32"/>
          <w:szCs w:val="32"/>
        </w:rPr>
        <w:t>明确救助费用保障范围。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金支付的药品、医用耗材、诊疗项目原则上应符合基本医保支付范围规定。除国家和市级另有明确规定</w:t>
      </w:r>
      <w:r>
        <w:rPr>
          <w:rFonts w:hint="default" w:ascii="Times New Roman" w:hAnsi="Times New Roman" w:eastAsia="方正仿宋_GBK" w:cs="Times New Roman"/>
          <w:color w:val="000000"/>
          <w:spacing w:val="-8"/>
          <w:kern w:val="0"/>
          <w:sz w:val="32"/>
          <w:szCs w:val="32"/>
        </w:rPr>
        <w:t>外，不得自行制定或用变通的方法擅自扩大医疗救助费用保障范围。</w:t>
      </w:r>
    </w:p>
    <w:p>
      <w:pPr>
        <w:adjustRightInd w:val="0"/>
        <w:spacing w:line="600" w:lineRule="exact"/>
        <w:ind w:firstLine="739" w:firstLineChars="231"/>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rPr>
        <w:t>2.</w:t>
      </w:r>
      <w:r>
        <w:rPr>
          <w:rFonts w:hint="default" w:ascii="Times New Roman" w:hAnsi="Times New Roman" w:eastAsia="方正仿宋_GBK" w:cs="Times New Roman"/>
          <w:color w:val="000000"/>
          <w:kern w:val="0"/>
          <w:sz w:val="32"/>
          <w:szCs w:val="32"/>
        </w:rPr>
        <w:t>合理确定医疗救助水平。</w:t>
      </w:r>
      <w:r>
        <w:rPr>
          <w:rFonts w:hint="default" w:ascii="Times New Roman" w:hAnsi="Times New Roman" w:eastAsia="方正仿宋_GBK" w:cs="Times New Roman"/>
          <w:color w:val="000000"/>
          <w:kern w:val="0"/>
          <w:sz w:val="32"/>
          <w:szCs w:val="32"/>
          <w:lang w:bidi="ar"/>
        </w:rPr>
        <w:t>救助对象患特殊疾病，在定点医药机构发生住院费用或门诊治疗费用的，经基本医保、大病保险报销后的政策范围内费用，按比例给予救助。其中，对低保对象、特困人员、返贫致贫人口按</w:t>
      </w:r>
      <w:r>
        <w:rPr>
          <w:rFonts w:hint="default" w:ascii="Times New Roman" w:hAnsi="Times New Roman" w:eastAsia="方正仿宋_GBK" w:cs="Times New Roman"/>
          <w:color w:val="000000"/>
          <w:kern w:val="0"/>
          <w:sz w:val="32"/>
          <w:szCs w:val="32"/>
          <w:lang w:bidi="ar"/>
        </w:rPr>
        <w:t>70%</w:t>
      </w:r>
      <w:r>
        <w:rPr>
          <w:rFonts w:hint="default" w:ascii="Times New Roman" w:hAnsi="Times New Roman" w:eastAsia="方正仿宋_GBK" w:cs="Times New Roman"/>
          <w:color w:val="000000"/>
          <w:kern w:val="0"/>
          <w:sz w:val="32"/>
          <w:szCs w:val="32"/>
          <w:lang w:bidi="ar"/>
        </w:rPr>
        <w:t>的比例救助，对低保边缘家庭成员、纳入监测范围的农村易返贫致贫人口和因病致贫重病患者按</w:t>
      </w:r>
      <w:r>
        <w:rPr>
          <w:rFonts w:hint="default" w:ascii="Times New Roman" w:hAnsi="Times New Roman" w:eastAsia="方正仿宋_GBK" w:cs="Times New Roman"/>
          <w:color w:val="000000"/>
          <w:kern w:val="0"/>
          <w:sz w:val="32"/>
          <w:szCs w:val="32"/>
          <w:lang w:bidi="ar"/>
        </w:rPr>
        <w:t>60%</w:t>
      </w:r>
      <w:r>
        <w:rPr>
          <w:rFonts w:hint="default" w:ascii="Times New Roman" w:hAnsi="Times New Roman" w:eastAsia="方正仿宋_GBK" w:cs="Times New Roman"/>
          <w:color w:val="000000"/>
          <w:kern w:val="0"/>
          <w:sz w:val="32"/>
          <w:szCs w:val="32"/>
          <w:lang w:bidi="ar"/>
        </w:rPr>
        <w:t>的比例救助。年度救助限额</w:t>
      </w:r>
      <w:r>
        <w:rPr>
          <w:rFonts w:hint="default" w:ascii="Times New Roman" w:hAnsi="Times New Roman" w:eastAsia="方正仿宋_GBK" w:cs="Times New Roman"/>
          <w:color w:val="000000"/>
          <w:kern w:val="0"/>
          <w:sz w:val="32"/>
          <w:szCs w:val="32"/>
          <w:lang w:bidi="ar"/>
        </w:rPr>
        <w:t>10</w:t>
      </w:r>
      <w:r>
        <w:rPr>
          <w:rFonts w:hint="default" w:ascii="Times New Roman" w:hAnsi="Times New Roman" w:eastAsia="方正仿宋_GBK" w:cs="Times New Roman"/>
          <w:color w:val="000000"/>
          <w:kern w:val="0"/>
          <w:sz w:val="32"/>
          <w:szCs w:val="32"/>
          <w:lang w:bidi="ar"/>
        </w:rPr>
        <w:t>万元。</w:t>
      </w:r>
    </w:p>
    <w:p>
      <w:pPr>
        <w:adjustRightInd w:val="0"/>
        <w:spacing w:line="600" w:lineRule="exact"/>
        <w:ind w:firstLine="640" w:firstLineChars="200"/>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救助对象患特殊疾病以外的其他疾病，在二级及以上医疗机构一次性住院发生医保政策范围内费用超过</w:t>
      </w:r>
      <w:r>
        <w:rPr>
          <w:rFonts w:hint="default" w:ascii="Times New Roman" w:hAnsi="Times New Roman" w:eastAsia="方正仿宋_GBK" w:cs="Times New Roman"/>
          <w:color w:val="000000"/>
          <w:kern w:val="0"/>
          <w:sz w:val="32"/>
          <w:szCs w:val="32"/>
          <w:lang w:bidi="ar"/>
        </w:rPr>
        <w:t>3</w:t>
      </w:r>
      <w:r>
        <w:rPr>
          <w:rFonts w:hint="default" w:ascii="Times New Roman" w:hAnsi="Times New Roman" w:eastAsia="方正仿宋_GBK" w:cs="Times New Roman"/>
          <w:color w:val="000000"/>
          <w:kern w:val="0"/>
          <w:sz w:val="32"/>
          <w:szCs w:val="32"/>
          <w:lang w:bidi="ar"/>
        </w:rPr>
        <w:t>万元的，经基本医保、大病保险报销后的政策范围内费用，按特殊疾病的救助比例给予救助。年度救助限额</w:t>
      </w:r>
      <w:r>
        <w:rPr>
          <w:rFonts w:hint="default" w:ascii="Times New Roman" w:hAnsi="Times New Roman" w:eastAsia="方正仿宋_GBK" w:cs="Times New Roman"/>
          <w:color w:val="000000"/>
          <w:kern w:val="0"/>
          <w:sz w:val="32"/>
          <w:szCs w:val="32"/>
          <w:lang w:bidi="ar"/>
        </w:rPr>
        <w:t>6</w:t>
      </w:r>
      <w:r>
        <w:rPr>
          <w:rFonts w:hint="default" w:ascii="Times New Roman" w:hAnsi="Times New Roman" w:eastAsia="方正仿宋_GBK" w:cs="Times New Roman"/>
          <w:color w:val="000000"/>
          <w:kern w:val="0"/>
          <w:sz w:val="32"/>
          <w:szCs w:val="32"/>
          <w:lang w:bidi="ar"/>
        </w:rPr>
        <w:t>万元。</w:t>
      </w:r>
    </w:p>
    <w:p>
      <w:pPr>
        <w:adjustRightInd w:val="0"/>
        <w:spacing w:line="600" w:lineRule="exact"/>
        <w:ind w:firstLine="739" w:firstLineChars="231"/>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rPr>
        <w:t>3.</w:t>
      </w:r>
      <w:r>
        <w:rPr>
          <w:rFonts w:hint="default" w:ascii="Times New Roman" w:hAnsi="Times New Roman" w:eastAsia="方正仿宋_GBK" w:cs="Times New Roman"/>
          <w:color w:val="000000"/>
          <w:kern w:val="0"/>
          <w:sz w:val="32"/>
          <w:szCs w:val="32"/>
        </w:rPr>
        <w:t>统筹完善托底保障措施。</w:t>
      </w:r>
      <w:r>
        <w:rPr>
          <w:rFonts w:hint="default" w:ascii="Times New Roman" w:hAnsi="Times New Roman" w:eastAsia="方正仿宋_GBK" w:cs="Times New Roman"/>
          <w:color w:val="000000"/>
          <w:kern w:val="0"/>
          <w:sz w:val="32"/>
          <w:szCs w:val="32"/>
          <w:lang w:bidi="ar"/>
        </w:rPr>
        <w:t>加强门诊慢性病、特殊疾病救助保障，门诊和住院救助共用年度救助限额，统筹资金使用，着力减轻救助对象门诊慢性病、特殊疾病医疗费用负担。对规范转诊且在市内就医的救助对象，其单次住院或重特大疾病门诊医疗费用，经三重制度综合保障后政策范围内个人自付费用仍然较重的，实行分类倾斜救助。政策范围内个人自付费用，特困人员超过</w:t>
      </w:r>
      <w:r>
        <w:rPr>
          <w:rFonts w:hint="default" w:ascii="Times New Roman" w:hAnsi="Times New Roman" w:eastAsia="方正仿宋_GBK" w:cs="Times New Roman"/>
          <w:color w:val="000000"/>
          <w:kern w:val="0"/>
          <w:sz w:val="32"/>
          <w:szCs w:val="32"/>
          <w:lang w:bidi="ar"/>
        </w:rPr>
        <w:t>2000</w:t>
      </w:r>
      <w:r>
        <w:rPr>
          <w:rFonts w:hint="default" w:ascii="Times New Roman" w:hAnsi="Times New Roman" w:eastAsia="方正仿宋_GBK" w:cs="Times New Roman"/>
          <w:color w:val="000000"/>
          <w:kern w:val="0"/>
          <w:sz w:val="32"/>
          <w:szCs w:val="32"/>
          <w:lang w:bidi="ar"/>
        </w:rPr>
        <w:t>元的，超出部分按</w:t>
      </w:r>
      <w:r>
        <w:rPr>
          <w:rFonts w:hint="default" w:ascii="Times New Roman" w:hAnsi="Times New Roman" w:eastAsia="方正仿宋_GBK" w:cs="Times New Roman"/>
          <w:color w:val="000000"/>
          <w:kern w:val="0"/>
          <w:sz w:val="32"/>
          <w:szCs w:val="32"/>
          <w:lang w:bidi="ar"/>
        </w:rPr>
        <w:t>60%</w:t>
      </w:r>
      <w:r>
        <w:rPr>
          <w:rFonts w:hint="default" w:ascii="Times New Roman" w:hAnsi="Times New Roman" w:eastAsia="方正仿宋_GBK" w:cs="Times New Roman"/>
          <w:color w:val="000000"/>
          <w:kern w:val="0"/>
          <w:sz w:val="32"/>
          <w:szCs w:val="32"/>
          <w:lang w:bidi="ar"/>
        </w:rPr>
        <w:t>的比例救助；低保对象、返贫致贫人口超过</w:t>
      </w:r>
      <w:r>
        <w:rPr>
          <w:rFonts w:hint="default" w:ascii="Times New Roman" w:hAnsi="Times New Roman" w:eastAsia="方正仿宋_GBK" w:cs="Times New Roman"/>
          <w:color w:val="000000"/>
          <w:kern w:val="0"/>
          <w:sz w:val="32"/>
          <w:szCs w:val="32"/>
          <w:lang w:bidi="ar"/>
        </w:rPr>
        <w:t>3000</w:t>
      </w:r>
      <w:r>
        <w:rPr>
          <w:rFonts w:hint="default" w:ascii="Times New Roman" w:hAnsi="Times New Roman" w:eastAsia="方正仿宋_GBK" w:cs="Times New Roman"/>
          <w:color w:val="000000"/>
          <w:kern w:val="0"/>
          <w:sz w:val="32"/>
          <w:szCs w:val="32"/>
          <w:lang w:bidi="ar"/>
        </w:rPr>
        <w:t>元的，超出部分按</w:t>
      </w:r>
      <w:r>
        <w:rPr>
          <w:rFonts w:hint="default" w:ascii="Times New Roman" w:hAnsi="Times New Roman" w:eastAsia="方正仿宋_GBK" w:cs="Times New Roman"/>
          <w:color w:val="000000"/>
          <w:kern w:val="0"/>
          <w:sz w:val="32"/>
          <w:szCs w:val="32"/>
          <w:lang w:bidi="ar"/>
        </w:rPr>
        <w:t>55%</w:t>
      </w:r>
      <w:r>
        <w:rPr>
          <w:rFonts w:hint="default" w:ascii="Times New Roman" w:hAnsi="Times New Roman" w:eastAsia="方正仿宋_GBK" w:cs="Times New Roman"/>
          <w:color w:val="000000"/>
          <w:kern w:val="0"/>
          <w:sz w:val="32"/>
          <w:szCs w:val="32"/>
          <w:lang w:bidi="ar"/>
        </w:rPr>
        <w:t>的比例救助；低保边缘家庭成员、纳入监测范围的农村易返贫致贫人口和因病致贫重病患者超过</w:t>
      </w:r>
      <w:r>
        <w:rPr>
          <w:rFonts w:hint="default" w:ascii="Times New Roman" w:hAnsi="Times New Roman" w:eastAsia="方正仿宋_GBK" w:cs="Times New Roman"/>
          <w:color w:val="000000"/>
          <w:kern w:val="0"/>
          <w:sz w:val="32"/>
          <w:szCs w:val="32"/>
          <w:lang w:bidi="ar"/>
        </w:rPr>
        <w:t>5000</w:t>
      </w:r>
      <w:r>
        <w:rPr>
          <w:rFonts w:hint="default" w:ascii="Times New Roman" w:hAnsi="Times New Roman" w:eastAsia="方正仿宋_GBK" w:cs="Times New Roman"/>
          <w:color w:val="000000"/>
          <w:kern w:val="0"/>
          <w:sz w:val="32"/>
          <w:szCs w:val="32"/>
          <w:lang w:bidi="ar"/>
        </w:rPr>
        <w:t>元的，超出部分按</w:t>
      </w:r>
      <w:r>
        <w:rPr>
          <w:rFonts w:hint="default" w:ascii="Times New Roman" w:hAnsi="Times New Roman" w:eastAsia="方正仿宋_GBK" w:cs="Times New Roman"/>
          <w:color w:val="000000"/>
          <w:kern w:val="0"/>
          <w:sz w:val="32"/>
          <w:szCs w:val="32"/>
          <w:lang w:bidi="ar"/>
        </w:rPr>
        <w:t>50%</w:t>
      </w:r>
      <w:r>
        <w:rPr>
          <w:rFonts w:hint="default" w:ascii="Times New Roman" w:hAnsi="Times New Roman" w:eastAsia="方正仿宋_GBK" w:cs="Times New Roman"/>
          <w:color w:val="000000"/>
          <w:kern w:val="0"/>
          <w:sz w:val="32"/>
          <w:szCs w:val="32"/>
          <w:lang w:bidi="ar"/>
        </w:rPr>
        <w:t>的比例救助。年度救助限额</w:t>
      </w:r>
      <w:r>
        <w:rPr>
          <w:rFonts w:hint="default" w:ascii="Times New Roman" w:hAnsi="Times New Roman" w:eastAsia="方正仿宋_GBK" w:cs="Times New Roman"/>
          <w:color w:val="000000"/>
          <w:kern w:val="0"/>
          <w:sz w:val="32"/>
          <w:szCs w:val="32"/>
          <w:lang w:bidi="ar"/>
        </w:rPr>
        <w:t>2</w:t>
      </w:r>
      <w:r>
        <w:rPr>
          <w:rFonts w:hint="default" w:ascii="Times New Roman" w:hAnsi="Times New Roman" w:eastAsia="方正仿宋_GBK" w:cs="Times New Roman"/>
          <w:color w:val="000000"/>
          <w:kern w:val="0"/>
          <w:sz w:val="32"/>
          <w:szCs w:val="32"/>
          <w:lang w:bidi="ar"/>
        </w:rPr>
        <w:t>万元。</w:t>
      </w:r>
    </w:p>
    <w:p>
      <w:pPr>
        <w:adjustRightInd w:val="0"/>
        <w:spacing w:line="600" w:lineRule="exact"/>
        <w:ind w:firstLine="739" w:firstLineChars="231"/>
        <w:textAlignment w:val="baseline"/>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（四）建立健全防范和化解因病致贫返贫长效机制。</w:t>
      </w:r>
    </w:p>
    <w:p>
      <w:pPr>
        <w:adjustRightInd w:val="0"/>
        <w:spacing w:line="600" w:lineRule="exact"/>
        <w:ind w:firstLine="739" w:firstLineChars="231"/>
        <w:textAlignment w:val="baseline"/>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w:t>
      </w:r>
      <w:r>
        <w:rPr>
          <w:rFonts w:hint="default" w:ascii="Times New Roman" w:hAnsi="Times New Roman" w:eastAsia="方正仿宋_GBK" w:cs="Times New Roman"/>
          <w:color w:val="000000"/>
          <w:kern w:val="0"/>
          <w:sz w:val="32"/>
          <w:szCs w:val="32"/>
        </w:rPr>
        <w:t>强化高额医疗费用支出预警监测。实施医疗救助对象信息动态管理。健全因病致贫返贫预警机制，对照防止返贫监测对象范围，结合实际确定监测标准，做好因病致贫返贫预警风险监测，重点监测经基本医保、大病保险等支付后个人年度医疗费用负担仍然较重的特困人员、低保对象、低保边缘家庭成员和农村易返贫致贫人口，做到及时预警。加强民政、卫生健康、医保、乡村振兴等部门间信息共享和核查比对，协同做好风险研判和处置。加强对监测人群的动态管理，符合条件的及时纳入救助范围，做到精准救助。</w:t>
      </w:r>
    </w:p>
    <w:p>
      <w:pPr>
        <w:adjustRightInd w:val="0"/>
        <w:spacing w:line="600" w:lineRule="exact"/>
        <w:ind w:firstLine="739" w:firstLineChars="231"/>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rPr>
        <w:t>2.</w:t>
      </w:r>
      <w:r>
        <w:rPr>
          <w:rFonts w:hint="default" w:ascii="Times New Roman" w:hAnsi="Times New Roman" w:eastAsia="方正仿宋_GBK" w:cs="Times New Roman"/>
          <w:color w:val="000000"/>
          <w:kern w:val="0"/>
          <w:sz w:val="32"/>
          <w:szCs w:val="32"/>
        </w:rPr>
        <w:t>依申请落实综合保障政策。</w:t>
      </w:r>
      <w:r>
        <w:rPr>
          <w:rFonts w:hint="default" w:ascii="Times New Roman" w:hAnsi="Times New Roman" w:eastAsia="方正仿宋_GBK" w:cs="Times New Roman"/>
          <w:color w:val="000000"/>
          <w:kern w:val="0"/>
          <w:sz w:val="32"/>
          <w:szCs w:val="32"/>
          <w:lang w:bidi="ar"/>
        </w:rPr>
        <w:t>完善依申请救助机制，畅通医疗救助申请渠道，增强救助时效性。已认定为特困人员、低保对象、低保边缘家庭成员、因病致贫重病患者和纳入监测范围的农村易返贫致贫人口直接获得医疗救助。加强部门工作协同，全面对接社会救助经办服务，简化申请、审核、救助金给付流程。救助对象资格认定部门按职责做好申请受理、对象认定、分办转办、信息共享及结果反馈等工作，及时将当月救助对象增减变化最新信息情况传送至区医保局，按规定给予医疗救助。具有多重身份的救助对象，按照就高原则给予医疗救助，不重复享受医疗救助待遇。强化医疗救助、临时救助、慈善救助等综合性保障措施，精准实施分层分类帮扶。综合救助水平要根据家庭经济状况、个人实际费用负担情况合理确定。</w:t>
      </w:r>
    </w:p>
    <w:p>
      <w:pPr>
        <w:adjustRightInd w:val="0"/>
        <w:spacing w:line="600" w:lineRule="exact"/>
        <w:ind w:firstLine="739" w:firstLineChars="231"/>
        <w:textAlignment w:val="baseline"/>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（五）积极引导慈善等社会力量参与救助保障。</w:t>
      </w:r>
    </w:p>
    <w:p>
      <w:pPr>
        <w:adjustRightInd w:val="0"/>
        <w:spacing w:line="600" w:lineRule="exact"/>
        <w:ind w:firstLine="739" w:firstLineChars="231"/>
        <w:textAlignment w:val="baseline"/>
        <w:rPr>
          <w:rFonts w:hint="default" w:ascii="Times New Roman" w:hAnsi="Times New Roman" w:cs="Times New Roman"/>
          <w:color w:val="000000"/>
          <w:kern w:val="0"/>
          <w:sz w:val="32"/>
          <w:szCs w:val="32"/>
          <w:lang w:bidi="ar"/>
        </w:rPr>
      </w:pPr>
      <w:r>
        <w:rPr>
          <w:rFonts w:hint="default" w:ascii="Times New Roman" w:hAnsi="Times New Roman" w:eastAsia="方正仿宋_GBK" w:cs="Times New Roman"/>
          <w:color w:val="000000"/>
          <w:kern w:val="0"/>
          <w:sz w:val="32"/>
          <w:szCs w:val="32"/>
        </w:rPr>
        <w:t>1.</w:t>
      </w:r>
      <w:r>
        <w:rPr>
          <w:rFonts w:hint="default" w:ascii="Times New Roman" w:hAnsi="Times New Roman" w:eastAsia="方正仿宋_GBK" w:cs="Times New Roman"/>
          <w:color w:val="000000"/>
          <w:kern w:val="0"/>
          <w:sz w:val="32"/>
          <w:szCs w:val="32"/>
        </w:rPr>
        <w:t>发展壮大慈善救助。</w:t>
      </w:r>
      <w:r>
        <w:rPr>
          <w:rFonts w:hint="default" w:ascii="Times New Roman" w:hAnsi="Times New Roman" w:eastAsia="方正仿宋_GBK" w:cs="Times New Roman"/>
          <w:color w:val="000000"/>
          <w:kern w:val="0"/>
          <w:sz w:val="32"/>
          <w:szCs w:val="32"/>
          <w:lang w:bidi="ar"/>
        </w:rPr>
        <w:t>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探索建立罕见病用药保障机制，整合医疗保障、社会救助、慈善帮扶等资源，实施综合保障。建立慈善参与激励机制，落实相应税收优惠、费用减免等政策。</w:t>
      </w:r>
    </w:p>
    <w:p>
      <w:pPr>
        <w:adjustRightInd w:val="0"/>
        <w:spacing w:line="600" w:lineRule="exact"/>
        <w:ind w:firstLine="640" w:firstLineChars="200"/>
        <w:textAlignment w:val="baseline"/>
        <w:rPr>
          <w:rFonts w:hint="default" w:ascii="Times New Roman" w:hAnsi="Times New Roman" w:cs="Times New Roman"/>
          <w:color w:val="000000"/>
          <w:kern w:val="0"/>
          <w:sz w:val="32"/>
          <w:szCs w:val="32"/>
          <w:lang w:bidi="ar"/>
        </w:rPr>
      </w:pPr>
      <w:r>
        <w:rPr>
          <w:rFonts w:hint="default" w:ascii="Times New Roman" w:hAnsi="Times New Roman" w:eastAsia="方正仿宋_GBK" w:cs="Times New Roman"/>
          <w:color w:val="000000"/>
          <w:kern w:val="0"/>
          <w:sz w:val="32"/>
          <w:szCs w:val="32"/>
        </w:rPr>
        <w:t>2.</w:t>
      </w:r>
      <w:r>
        <w:rPr>
          <w:rFonts w:hint="default" w:ascii="Times New Roman" w:hAnsi="Times New Roman" w:eastAsia="方正仿宋_GBK" w:cs="Times New Roman"/>
          <w:color w:val="000000"/>
          <w:kern w:val="0"/>
          <w:sz w:val="32"/>
          <w:szCs w:val="32"/>
        </w:rPr>
        <w:t>鼓励医疗互助和商业健康保险发展。</w:t>
      </w:r>
      <w:r>
        <w:rPr>
          <w:rFonts w:hint="default" w:ascii="Times New Roman" w:hAnsi="Times New Roman" w:eastAsia="方正仿宋_GBK" w:cs="Times New Roman"/>
          <w:color w:val="000000"/>
          <w:kern w:val="0"/>
          <w:sz w:val="32"/>
          <w:szCs w:val="32"/>
          <w:lang w:bidi="ar"/>
        </w:rPr>
        <w:t>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adjustRightInd w:val="0"/>
        <w:spacing w:line="600" w:lineRule="exact"/>
        <w:ind w:firstLine="640" w:firstLineChars="200"/>
        <w:textAlignment w:val="baseline"/>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（六）优化经办流程和综合服务管理。</w:t>
      </w:r>
    </w:p>
    <w:p>
      <w:pPr>
        <w:adjustRightInd w:val="0"/>
        <w:spacing w:line="600" w:lineRule="exact"/>
        <w:ind w:firstLine="640" w:firstLineChars="200"/>
        <w:textAlignment w:val="baseline"/>
        <w:rPr>
          <w:rFonts w:hint="default" w:ascii="Times New Roman" w:hAnsi="Times New Roman"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贯彻执行全市统一的救助服务事项清单和医疗救助经办管理服务规程，推进政策优化、经办简化、宣传深化</w:t>
      </w:r>
      <w:r>
        <w:rPr>
          <w:rFonts w:hint="default" w:ascii="Times New Roman" w:hAnsi="Times New Roman" w:eastAsia="方正仿宋_GBK" w:cs="Times New Roman"/>
          <w:color w:val="000000"/>
          <w:kern w:val="0"/>
          <w:sz w:val="32"/>
          <w:szCs w:val="32"/>
          <w:lang w:eastAsia="zh-CN" w:bidi="ar"/>
        </w:rPr>
        <w:t>，</w:t>
      </w:r>
      <w:r>
        <w:rPr>
          <w:rFonts w:hint="default" w:ascii="Times New Roman" w:hAnsi="Times New Roman" w:eastAsia="方正仿宋_GBK" w:cs="Times New Roman"/>
          <w:color w:val="000000"/>
          <w:kern w:val="0"/>
          <w:sz w:val="32"/>
          <w:szCs w:val="32"/>
          <w:lang w:bidi="ar"/>
        </w:rPr>
        <w:t>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经基层首诊转诊的特困人员、低保对象在本区内定点医疗机构住院，实行</w:t>
      </w:r>
      <w:r>
        <w:rPr>
          <w:rFonts w:hint="eastAsia" w:ascii="Times New Roman" w:hAnsi="Times New Roman" w:cs="Times New Roman"/>
          <w:color w:val="000000"/>
          <w:kern w:val="0"/>
          <w:sz w:val="32"/>
          <w:szCs w:val="32"/>
          <w:lang w:eastAsia="zh-CN" w:bidi="ar"/>
        </w:rPr>
        <w:t>“</w:t>
      </w:r>
      <w:r>
        <w:rPr>
          <w:rFonts w:hint="default" w:ascii="Times New Roman" w:hAnsi="Times New Roman" w:eastAsia="方正仿宋_GBK" w:cs="Times New Roman"/>
          <w:color w:val="000000"/>
          <w:kern w:val="0"/>
          <w:sz w:val="32"/>
          <w:szCs w:val="32"/>
          <w:lang w:val="en-US" w:eastAsia="zh-CN" w:bidi="ar"/>
        </w:rPr>
        <w:t>先诊疗后付费</w:t>
      </w:r>
      <w:r>
        <w:rPr>
          <w:rFonts w:hint="eastAsia" w:ascii="Times New Roman" w:hAnsi="Times New Roman" w:cs="Times New Roman"/>
          <w:color w:val="000000"/>
          <w:kern w:val="0"/>
          <w:sz w:val="32"/>
          <w:szCs w:val="32"/>
          <w:lang w:eastAsia="zh-CN" w:bidi="ar"/>
        </w:rPr>
        <w:t>”</w:t>
      </w:r>
      <w:r>
        <w:rPr>
          <w:rFonts w:hint="default" w:ascii="Times New Roman" w:hAnsi="Times New Roman" w:eastAsia="方正仿宋_GBK" w:cs="Times New Roman"/>
          <w:color w:val="000000"/>
          <w:kern w:val="0"/>
          <w:sz w:val="32"/>
          <w:szCs w:val="32"/>
          <w:lang w:bidi="ar"/>
        </w:rPr>
        <w:t>，全面免除其住院押金。做好异地就医、异地安置和异地转诊救助对象登记备案、就医结算，按规定转诊的救助对象，执行救助对象认定地区救助标准。未按规定转诊的救助对象，所发生的医疗费用原则上不纳入医疗救助范围。加强医疗救助基金监管，保持打击欺诈骗保高压态势，确保医疗救助基金安全高效、合理使用。</w:t>
      </w:r>
    </w:p>
    <w:p>
      <w:pPr>
        <w:adjustRightInd w:val="0"/>
        <w:spacing w:line="600" w:lineRule="exact"/>
        <w:ind w:firstLine="640" w:firstLineChars="200"/>
        <w:textAlignment w:val="baseline"/>
        <w:rPr>
          <w:rFonts w:hint="default" w:ascii="Times New Roman" w:hAnsi="Times New Roman" w:eastAsia="方正黑体_GBK" w:cs="Times New Roman"/>
          <w:color w:val="000000"/>
          <w:kern w:val="0"/>
          <w:sz w:val="32"/>
          <w:szCs w:val="32"/>
          <w:lang w:bidi="ar"/>
        </w:rPr>
      </w:pPr>
      <w:r>
        <w:rPr>
          <w:rFonts w:hint="default" w:ascii="Times New Roman" w:hAnsi="Times New Roman" w:eastAsia="方正黑体_GBK" w:cs="Times New Roman"/>
          <w:color w:val="000000"/>
          <w:kern w:val="0"/>
          <w:sz w:val="32"/>
          <w:szCs w:val="32"/>
          <w:lang w:bidi="ar"/>
        </w:rPr>
        <w:t>三、保障措施</w:t>
      </w:r>
    </w:p>
    <w:p>
      <w:pPr>
        <w:adjustRightInd w:val="0"/>
        <w:spacing w:line="600" w:lineRule="exact"/>
        <w:ind w:firstLine="640" w:firstLineChars="200"/>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（一）加强组织领导。</w:t>
      </w:r>
      <w:r>
        <w:rPr>
          <w:rFonts w:hint="default" w:ascii="Times New Roman" w:hAnsi="Times New Roman" w:eastAsia="方正仿宋_GBK" w:cs="Times New Roman"/>
          <w:color w:val="000000"/>
          <w:kern w:val="0"/>
          <w:sz w:val="32"/>
          <w:szCs w:val="32"/>
          <w:lang w:bidi="ar"/>
        </w:rPr>
        <w:t>各镇街、相关部门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adjustRightInd w:val="0"/>
        <w:spacing w:line="600" w:lineRule="exact"/>
        <w:ind w:firstLine="640" w:firstLineChars="200"/>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（二）加强部门协同。</w:t>
      </w:r>
      <w:r>
        <w:rPr>
          <w:rFonts w:hint="default" w:ascii="Times New Roman" w:hAnsi="Times New Roman" w:eastAsia="方正仿宋_GBK" w:cs="Times New Roman"/>
          <w:color w:val="000000"/>
          <w:kern w:val="0"/>
          <w:sz w:val="32"/>
          <w:szCs w:val="32"/>
          <w:lang w:bidi="ar"/>
        </w:rPr>
        <w:t>建立健全部门协同机制，加强医疗保障、社会救助、医疗卫生制度政策及经办服务统筹协调。区医保局要统筹推进医疗保险、医疗救助制度改革和管理工作，落实好医疗保障政策。区民政局要做好低保对象、特困人员、低保边缘家庭成员等救助对象认定工作，会同有关部门做好因病致贫重病患者认定和相关信息共享，支持慈善救助发展。区财政局要按规定做好资金支持。区卫生健康委要强化对医疗机构的行业管理，规范诊疗路径，促进分级诊疗。潼南税务局要做好基本医保保费征缴相关工作。区乡村振兴局要做好农村易返贫致贫人口监测和信息共享。工会要做好职工医疗互助和罹患大病困难职工帮扶。</w:t>
      </w:r>
    </w:p>
    <w:p>
      <w:pPr>
        <w:adjustRightInd w:val="0"/>
        <w:spacing w:line="600" w:lineRule="exact"/>
        <w:ind w:firstLine="640" w:firstLineChars="200"/>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（三）加强基金预算管理。</w:t>
      </w:r>
      <w:r>
        <w:rPr>
          <w:rFonts w:hint="default" w:ascii="Times New Roman" w:hAnsi="Times New Roman" w:eastAsia="方正仿宋_GBK" w:cs="Times New Roman"/>
          <w:color w:val="000000"/>
          <w:kern w:val="0"/>
          <w:sz w:val="32"/>
          <w:szCs w:val="32"/>
          <w:lang w:bidi="ar"/>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adjustRightInd w:val="0"/>
        <w:spacing w:line="600" w:lineRule="exact"/>
        <w:ind w:firstLine="640" w:firstLineChars="200"/>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（四）加强基层能力建设。</w:t>
      </w:r>
      <w:r>
        <w:rPr>
          <w:rFonts w:hint="default" w:ascii="Times New Roman" w:hAnsi="Times New Roman" w:eastAsia="方正仿宋_GBK" w:cs="Times New Roman"/>
          <w:color w:val="000000"/>
          <w:kern w:val="0"/>
          <w:sz w:val="32"/>
          <w:szCs w:val="32"/>
          <w:lang w:bidi="ar"/>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adjustRightInd w:val="0"/>
        <w:spacing w:line="600" w:lineRule="exact"/>
        <w:ind w:firstLine="640" w:firstLineChars="200"/>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本实施意见自公布之日起施行。</w:t>
      </w:r>
    </w:p>
    <w:p>
      <w:pPr>
        <w:adjustRightInd w:val="0"/>
        <w:spacing w:line="600" w:lineRule="exact"/>
        <w:textAlignment w:val="baseline"/>
        <w:rPr>
          <w:rFonts w:hint="default" w:ascii="Times New Roman" w:hAnsi="Times New Roman" w:eastAsia="方正仿宋_GBK" w:cs="Times New Roman"/>
          <w:color w:val="000000"/>
          <w:kern w:val="0"/>
          <w:sz w:val="32"/>
          <w:szCs w:val="32"/>
          <w:lang w:bidi="ar"/>
        </w:rPr>
      </w:pPr>
    </w:p>
    <w:p>
      <w:pPr>
        <w:adjustRightInd w:val="0"/>
        <w:spacing w:line="600" w:lineRule="exact"/>
        <w:textAlignment w:val="baseline"/>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       </w:t>
      </w:r>
    </w:p>
    <w:p>
      <w:pPr>
        <w:adjustRightInd w:val="0"/>
        <w:spacing w:line="600" w:lineRule="exact"/>
        <w:textAlignment w:val="baseline"/>
        <w:rPr>
          <w:rFonts w:hint="default" w:ascii="Times New Roman" w:hAnsi="Times New Roman"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 </w:t>
      </w:r>
      <w:r>
        <w:rPr>
          <w:rFonts w:hint="default" w:ascii="Times New Roman" w:hAnsi="Times New Roman" w:eastAsia="方正仿宋_GBK" w:cs="Times New Roman"/>
          <w:color w:val="000000"/>
          <w:kern w:val="0"/>
          <w:sz w:val="32"/>
          <w:szCs w:val="32"/>
          <w:lang w:bidi="ar"/>
        </w:rPr>
        <w:t xml:space="preserve">                          重庆市潼南区人民政府办公室</w:t>
      </w:r>
    </w:p>
    <w:p>
      <w:pPr>
        <w:adjustRightInd w:val="0"/>
        <w:spacing w:line="600" w:lineRule="exact"/>
        <w:textAlignment w:val="baseline"/>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2023</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rPr>
        <w:t>4</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rPr>
        <w:t>4</w:t>
      </w:r>
      <w:r>
        <w:rPr>
          <w:rFonts w:hint="default" w:ascii="Times New Roman" w:hAnsi="Times New Roman" w:eastAsia="方正仿宋_GBK" w:cs="Times New Roman"/>
          <w:color w:val="000000"/>
          <w:kern w:val="0"/>
          <w:sz w:val="32"/>
          <w:szCs w:val="32"/>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default" w:ascii="Times New Roman" w:hAnsi="Times New Roman" w:eastAsia="方正仿宋_GBK" w:cs="Times New Roman"/>
          <w:color w:val="000000"/>
          <w:kern w:val="2"/>
          <w:sz w:val="21"/>
          <w:szCs w:val="21"/>
          <w:lang w:val="en-US" w:eastAsia="zh-CN" w:bidi="ar-SA"/>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327"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226060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7.8pt;height:0.15pt;width:442.25pt;z-index:251660288;mso-width-relative:page;mso-height-relative:page;" filled="f" stroked="t" coordsize="21600,21600" o:gfxdata="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E42I9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wordWrap w:val="0"/>
      <w:ind w:firstLine="3935" w:firstLineChars="1400"/>
      <w:jc w:val="both"/>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r>
      <w:rPr>
        <w:rFonts w:hint="eastAsia" w:eastAsia="宋体" w:cs="宋体"/>
        <w:b/>
        <w:bCs/>
        <w:color w:val="005192"/>
        <w:sz w:val="28"/>
        <w:szCs w:val="44"/>
        <w:lang w:val="en-US" w:eastAsia="zh-CN"/>
      </w:rPr>
      <w:t xml:space="preserve"> </w:t>
    </w:r>
  </w:p>
  <w:p>
    <w:pPr>
      <w:pStyle w:val="7"/>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NzQzNDc0OGNkZWFiNjlhYTA1YjcyYzIwMmQ0ZjgifQ=="/>
  </w:docVars>
  <w:rsids>
    <w:rsidRoot w:val="00172A27"/>
    <w:rsid w:val="01837D19"/>
    <w:rsid w:val="019E71BD"/>
    <w:rsid w:val="03576399"/>
    <w:rsid w:val="041C42DA"/>
    <w:rsid w:val="04B679C3"/>
    <w:rsid w:val="05F07036"/>
    <w:rsid w:val="06E00104"/>
    <w:rsid w:val="080F63D8"/>
    <w:rsid w:val="09341458"/>
    <w:rsid w:val="098254C2"/>
    <w:rsid w:val="0A766EDE"/>
    <w:rsid w:val="0AD64BE8"/>
    <w:rsid w:val="0B0912D7"/>
    <w:rsid w:val="0D094436"/>
    <w:rsid w:val="0E025194"/>
    <w:rsid w:val="152D2DCA"/>
    <w:rsid w:val="187168EA"/>
    <w:rsid w:val="196673CA"/>
    <w:rsid w:val="1AF1439F"/>
    <w:rsid w:val="1B2F4AEE"/>
    <w:rsid w:val="1CF734C9"/>
    <w:rsid w:val="1DEC284C"/>
    <w:rsid w:val="1E6523AC"/>
    <w:rsid w:val="22440422"/>
    <w:rsid w:val="22BB4BBB"/>
    <w:rsid w:val="2AEB3417"/>
    <w:rsid w:val="31A15F24"/>
    <w:rsid w:val="324A1681"/>
    <w:rsid w:val="36FB1DF0"/>
    <w:rsid w:val="375D1D06"/>
    <w:rsid w:val="395347B5"/>
    <w:rsid w:val="39A232A0"/>
    <w:rsid w:val="39E745AA"/>
    <w:rsid w:val="3B5A6BBB"/>
    <w:rsid w:val="3BF56EE5"/>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AAA6FBE"/>
    <w:rsid w:val="5DC34279"/>
    <w:rsid w:val="5FCD688E"/>
    <w:rsid w:val="5FF9BDAA"/>
    <w:rsid w:val="5FFE5333"/>
    <w:rsid w:val="608816D1"/>
    <w:rsid w:val="60EF4E7F"/>
    <w:rsid w:val="648B0A32"/>
    <w:rsid w:val="665233C1"/>
    <w:rsid w:val="69AC0D42"/>
    <w:rsid w:val="6A1B0623"/>
    <w:rsid w:val="6AD9688B"/>
    <w:rsid w:val="6CD11405"/>
    <w:rsid w:val="6D0E3F22"/>
    <w:rsid w:val="744E4660"/>
    <w:rsid w:val="753355A2"/>
    <w:rsid w:val="759F1C61"/>
    <w:rsid w:val="769F2DE8"/>
    <w:rsid w:val="76FDEB7C"/>
    <w:rsid w:val="79C65162"/>
    <w:rsid w:val="7C9011D9"/>
    <w:rsid w:val="7DB57453"/>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方正仿宋_GBK" w:cs="Times New Roman"/>
      <w:kern w:val="2"/>
      <w:sz w:val="24"/>
      <w:szCs w:val="20"/>
      <w:lang w:val="en-US" w:eastAsia="zh-CN" w:bidi="ar-SA"/>
    </w:rPr>
  </w:style>
  <w:style w:type="paragraph" w:styleId="2">
    <w:name w:val="heading 3"/>
    <w:basedOn w:val="1"/>
    <w:next w:val="1"/>
    <w:uiPriority w:val="0"/>
    <w:pPr>
      <w:keepNext/>
      <w:keepLines/>
      <w:ind w:firstLine="880" w:firstLineChars="200"/>
      <w:outlineLvl w:val="2"/>
    </w:pPr>
    <w:rPr>
      <w:rFonts w:eastAsia="仿宋_GB2312"/>
      <w:b/>
      <w:sz w:val="32"/>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99"/>
    <w:pPr>
      <w:ind w:left="114"/>
    </w:pPr>
    <w:rPr>
      <w:sz w:val="29"/>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99"/>
    <w:rPr>
      <w:rFonts w:cs="Times New Roman"/>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3118</Words>
  <Characters>3239</Characters>
  <Lines>1</Lines>
  <Paragraphs>1</Paragraphs>
  <TotalTime>4</TotalTime>
  <ScaleCrop>false</ScaleCrop>
  <LinksUpToDate>false</LinksUpToDate>
  <CharactersWithSpaces>3308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cp:lastModifiedBy>
  <cp:lastPrinted>2022-05-12T00:46:00Z</cp:lastPrinted>
  <dcterms:modified xsi:type="dcterms:W3CDTF">2023-04-11T11:21:25Z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9046995527EB4326978AAD36952F71F7</vt:lpwstr>
  </property>
</Properties>
</file>