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widowControl w:val="0"/>
        <w:spacing w:before="0" w:beforeAutospacing="0" w:after="0" w:afterAutospacing="0" w:line="620" w:lineRule="exact"/>
        <w:jc w:val="center"/>
        <w:rPr>
          <w:rFonts w:hint="eastAsia" w:ascii="方正小标宋_GBK" w:eastAsia="方正小标宋_GBK"/>
          <w:sz w:val="44"/>
          <w:szCs w:val="44"/>
        </w:rPr>
      </w:pPr>
      <w:bookmarkStart w:id="0" w:name="_GoBack"/>
      <w:bookmarkEnd w:id="0"/>
    </w:p>
    <w:p>
      <w:pPr>
        <w:spacing w:line="600" w:lineRule="exact"/>
        <w:jc w:val="center"/>
        <w:rPr>
          <w:rFonts w:hint="eastAsia" w:eastAsia="方正小标宋_GBK"/>
          <w:sz w:val="44"/>
          <w:szCs w:val="44"/>
        </w:rPr>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eastAsia="方正小标宋_GBK"/>
          <w:sz w:val="44"/>
          <w:szCs w:val="44"/>
        </w:rPr>
      </w:pPr>
      <w:r>
        <w:rPr>
          <w:rFonts w:eastAsia="方正小标宋_GBK"/>
          <w:sz w:val="44"/>
          <w:szCs w:val="44"/>
        </w:rPr>
        <w:t>重庆市潼南区人民政府</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eastAsia="方正小标宋_GBK"/>
          <w:sz w:val="44"/>
          <w:szCs w:val="44"/>
        </w:rPr>
      </w:pPr>
      <w:r>
        <w:rPr>
          <w:rFonts w:hint="eastAsia" w:eastAsia="方正小标宋_GBK"/>
          <w:sz w:val="44"/>
          <w:szCs w:val="44"/>
        </w:rPr>
        <w:t>关于进一步规范畜禽养殖推行集中</w:t>
      </w:r>
      <w:r>
        <w:rPr>
          <w:rFonts w:eastAsia="方正小标宋_GBK"/>
          <w:sz w:val="44"/>
          <w:szCs w:val="44"/>
        </w:rPr>
        <w:t>屠宰</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eastAsia="方正仿宋_GBK"/>
          <w:sz w:val="32"/>
          <w:szCs w:val="32"/>
        </w:rPr>
      </w:pPr>
      <w:r>
        <w:rPr>
          <w:rFonts w:hint="eastAsia" w:eastAsia="方正小标宋_GBK"/>
          <w:sz w:val="44"/>
          <w:szCs w:val="44"/>
        </w:rPr>
        <w:t>加强冷链供应工作的实施意见</w:t>
      </w:r>
    </w:p>
    <w:p>
      <w:pPr>
        <w:pStyle w:val="8"/>
        <w:widowControl w:val="0"/>
        <w:spacing w:before="0" w:beforeAutospacing="0" w:after="0" w:afterAutospacing="0" w:line="600" w:lineRule="exac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潼南府发〔2020〕6号</w:t>
      </w:r>
    </w:p>
    <w:p>
      <w:pPr>
        <w:spacing w:line="600" w:lineRule="exact"/>
        <w:rPr>
          <w:rFonts w:hint="eastAsia" w:eastAsia="方正仿宋_GBK"/>
          <w:sz w:val="32"/>
          <w:szCs w:val="32"/>
        </w:rPr>
      </w:pPr>
    </w:p>
    <w:p>
      <w:pPr>
        <w:autoSpaceDE w:val="0"/>
        <w:autoSpaceDN w:val="0"/>
        <w:adjustRightInd w:val="0"/>
        <w:spacing w:line="620" w:lineRule="exact"/>
        <w:rPr>
          <w:rFonts w:hint="eastAsia" w:ascii="方正仿宋_GBK" w:eastAsia="方正仿宋_GBK"/>
          <w:sz w:val="32"/>
          <w:szCs w:val="32"/>
        </w:rPr>
      </w:pPr>
      <w:r>
        <w:rPr>
          <w:rFonts w:hint="eastAsia" w:ascii="方正仿宋_GBK" w:hAnsi="Calibri" w:eastAsia="方正仿宋_GBK" w:cs="宋体"/>
          <w:kern w:val="0"/>
          <w:sz w:val="32"/>
          <w:szCs w:val="32"/>
        </w:rPr>
        <w:t>各镇人民政府、街道办事处，区政府各部门，有关单位：</w:t>
      </w:r>
    </w:p>
    <w:p>
      <w:pPr>
        <w:spacing w:line="600" w:lineRule="exact"/>
        <w:ind w:firstLine="640" w:firstLineChars="200"/>
        <w:rPr>
          <w:rFonts w:eastAsia="方正仿宋_GBK"/>
          <w:sz w:val="32"/>
          <w:szCs w:val="32"/>
        </w:rPr>
      </w:pPr>
      <w:r>
        <w:rPr>
          <w:rFonts w:eastAsia="方正仿宋_GBK"/>
          <w:sz w:val="32"/>
          <w:szCs w:val="32"/>
        </w:rPr>
        <w:t>为</w:t>
      </w:r>
      <w:r>
        <w:rPr>
          <w:rFonts w:hint="eastAsia" w:eastAsia="方正仿宋_GBK"/>
          <w:sz w:val="32"/>
          <w:szCs w:val="32"/>
        </w:rPr>
        <w:t>了</w:t>
      </w:r>
      <w:r>
        <w:rPr>
          <w:rFonts w:hint="eastAsia" w:ascii="方正仿宋_GBK" w:hAnsi="Verdana" w:eastAsia="方正仿宋_GBK" w:cs="宋体"/>
          <w:kern w:val="0"/>
          <w:sz w:val="32"/>
          <w:szCs w:val="32"/>
        </w:rPr>
        <w:t>建立长效机制，</w:t>
      </w:r>
      <w:r>
        <w:rPr>
          <w:rFonts w:hint="eastAsia" w:eastAsia="方正仿宋_GBK"/>
          <w:sz w:val="32"/>
          <w:szCs w:val="32"/>
        </w:rPr>
        <w:t>巩固新冠肺炎疫情防控成果，从源头上控制重大公共卫生风险，倡导文明健康、绿色环保的生活方式，贯彻落实《国务院应对新型冠状病毒感染肺炎疫情联防联控机制关于压实“菜篮子”市长负责制做好农产品稳产保供工作的通知》</w:t>
      </w:r>
      <w:r>
        <w:rPr>
          <w:rFonts w:eastAsia="方正仿宋_GBK"/>
          <w:sz w:val="32"/>
          <w:szCs w:val="32"/>
        </w:rPr>
        <w:t>（国发明电〔2020〕3号）和</w:t>
      </w:r>
      <w:r>
        <w:rPr>
          <w:rFonts w:hint="eastAsia" w:eastAsia="方正仿宋_GBK"/>
          <w:sz w:val="32"/>
          <w:szCs w:val="32"/>
        </w:rPr>
        <w:t>《重庆市人民政府关于进一步规范活禽交易推行集中屠宰加强冷链供应工作的指导意见》（渝府发</w:t>
      </w:r>
      <w:r>
        <w:rPr>
          <w:rFonts w:eastAsia="方正仿宋_GBK"/>
          <w:sz w:val="32"/>
          <w:szCs w:val="32"/>
        </w:rPr>
        <w:t>〔2020〕</w:t>
      </w:r>
      <w:r>
        <w:rPr>
          <w:rFonts w:hint="eastAsia" w:eastAsia="方正仿宋_GBK"/>
          <w:sz w:val="32"/>
          <w:szCs w:val="32"/>
        </w:rPr>
        <w:t>7号）文件精神</w:t>
      </w:r>
      <w:r>
        <w:rPr>
          <w:rFonts w:eastAsia="方正仿宋_GBK"/>
          <w:sz w:val="32"/>
          <w:szCs w:val="32"/>
        </w:rPr>
        <w:t>，结合我</w:t>
      </w:r>
      <w:r>
        <w:rPr>
          <w:rFonts w:hint="eastAsia" w:eastAsia="方正仿宋_GBK"/>
          <w:sz w:val="32"/>
          <w:szCs w:val="32"/>
        </w:rPr>
        <w:t>区</w:t>
      </w:r>
      <w:r>
        <w:rPr>
          <w:rFonts w:eastAsia="方正仿宋_GBK"/>
          <w:sz w:val="32"/>
          <w:szCs w:val="32"/>
        </w:rPr>
        <w:t>实际，</w:t>
      </w:r>
      <w:r>
        <w:rPr>
          <w:rFonts w:hint="eastAsia" w:eastAsia="方正仿宋_GBK"/>
          <w:sz w:val="32"/>
          <w:szCs w:val="32"/>
        </w:rPr>
        <w:t>现就进一步规范</w:t>
      </w:r>
      <w:r>
        <w:rPr>
          <w:rFonts w:eastAsia="方正仿宋_GBK"/>
          <w:sz w:val="32"/>
          <w:szCs w:val="32"/>
        </w:rPr>
        <w:t>畜禽养殖、</w:t>
      </w:r>
      <w:r>
        <w:rPr>
          <w:rFonts w:hint="eastAsia" w:eastAsia="方正仿宋_GBK"/>
          <w:sz w:val="32"/>
          <w:szCs w:val="32"/>
        </w:rPr>
        <w:t>推行集中</w:t>
      </w:r>
      <w:r>
        <w:rPr>
          <w:rFonts w:eastAsia="方正仿宋_GBK"/>
          <w:sz w:val="32"/>
          <w:szCs w:val="32"/>
        </w:rPr>
        <w:t>屠宰、</w:t>
      </w:r>
      <w:r>
        <w:rPr>
          <w:rFonts w:hint="eastAsia" w:eastAsia="方正仿宋_GBK"/>
          <w:sz w:val="32"/>
          <w:szCs w:val="32"/>
        </w:rPr>
        <w:t>加强冷链供应工作提出如下</w:t>
      </w:r>
      <w:r>
        <w:rPr>
          <w:rFonts w:eastAsia="方正仿宋_GBK"/>
          <w:sz w:val="32"/>
          <w:szCs w:val="32"/>
        </w:rPr>
        <w:t>实施意见。</w:t>
      </w:r>
    </w:p>
    <w:p>
      <w:pPr>
        <w:spacing w:line="600" w:lineRule="exact"/>
        <w:ind w:firstLine="640" w:firstLineChars="200"/>
        <w:rPr>
          <w:rFonts w:eastAsia="方正黑体_GBK"/>
          <w:sz w:val="32"/>
          <w:szCs w:val="32"/>
        </w:rPr>
      </w:pPr>
      <w:r>
        <w:rPr>
          <w:rFonts w:eastAsia="方正黑体_GBK"/>
          <w:sz w:val="32"/>
          <w:szCs w:val="32"/>
        </w:rPr>
        <w:t>一、总体要求</w:t>
      </w:r>
    </w:p>
    <w:p>
      <w:pPr>
        <w:spacing w:line="600" w:lineRule="exact"/>
        <w:ind w:firstLine="640" w:firstLineChars="200"/>
        <w:rPr>
          <w:rFonts w:eastAsia="方正仿宋_GBK"/>
          <w:sz w:val="32"/>
          <w:szCs w:val="32"/>
        </w:rPr>
      </w:pPr>
      <w:r>
        <w:rPr>
          <w:rFonts w:eastAsia="方正仿宋_GBK"/>
          <w:sz w:val="32"/>
          <w:szCs w:val="32"/>
        </w:rPr>
        <w:t>严格执行《中华人民共和国传染病防治法》《中华人民共和国动物防疫法》《中华人民共和国</w:t>
      </w:r>
      <w:r>
        <w:rPr>
          <w:rFonts w:hint="eastAsia" w:eastAsia="方正仿宋_GBK"/>
          <w:sz w:val="32"/>
          <w:szCs w:val="32"/>
        </w:rPr>
        <w:t>环境保护</w:t>
      </w:r>
      <w:r>
        <w:rPr>
          <w:rFonts w:eastAsia="方正仿宋_GBK"/>
          <w:sz w:val="32"/>
          <w:szCs w:val="32"/>
        </w:rPr>
        <w:t>法》《中华人民共和国食品安全法》《中华人民共和国突发事件应对法》《突发公共卫生事件应急条例》《生猪屠宰管理条例》等法律法规规定，坚持</w:t>
      </w:r>
      <w:r>
        <w:rPr>
          <w:rFonts w:hint="eastAsia" w:eastAsia="方正仿宋_GBK"/>
          <w:sz w:val="32"/>
          <w:szCs w:val="32"/>
        </w:rPr>
        <w:t>“</w:t>
      </w:r>
      <w:r>
        <w:rPr>
          <w:rFonts w:eastAsia="方正仿宋_GBK"/>
          <w:sz w:val="32"/>
          <w:szCs w:val="32"/>
        </w:rPr>
        <w:t>政府引导、企业主体、市场运作</w:t>
      </w:r>
      <w:r>
        <w:rPr>
          <w:rFonts w:hint="eastAsia" w:eastAsia="方正仿宋_GBK"/>
          <w:sz w:val="32"/>
          <w:szCs w:val="32"/>
        </w:rPr>
        <w:t>”</w:t>
      </w:r>
      <w:r>
        <w:rPr>
          <w:rFonts w:eastAsia="方正仿宋_GBK"/>
          <w:sz w:val="32"/>
          <w:szCs w:val="32"/>
        </w:rPr>
        <w:t>的原则，稳步推进我区畜禽的规模养殖、集中屠宰、冷链配送、冰鲜上市，切实保证畜禽产品市场有效供给，保障全区公共卫生安全和畜禽产品</w:t>
      </w:r>
      <w:r>
        <w:rPr>
          <w:rFonts w:hint="eastAsia" w:eastAsia="方正仿宋_GBK"/>
          <w:sz w:val="32"/>
          <w:szCs w:val="32"/>
        </w:rPr>
        <w:t>市场</w:t>
      </w:r>
      <w:r>
        <w:rPr>
          <w:rFonts w:eastAsia="方正仿宋_GBK"/>
          <w:sz w:val="32"/>
          <w:szCs w:val="32"/>
        </w:rPr>
        <w:t>供给平稳有序。</w:t>
      </w:r>
    </w:p>
    <w:p>
      <w:pPr>
        <w:spacing w:line="600" w:lineRule="exact"/>
        <w:ind w:firstLine="640" w:firstLineChars="200"/>
        <w:rPr>
          <w:rFonts w:eastAsia="方正黑体_GBK"/>
          <w:sz w:val="32"/>
          <w:szCs w:val="32"/>
        </w:rPr>
      </w:pPr>
      <w:r>
        <w:rPr>
          <w:rFonts w:eastAsia="方正黑体_GBK"/>
          <w:sz w:val="32"/>
          <w:szCs w:val="32"/>
        </w:rPr>
        <w:t>二、重点工作</w:t>
      </w:r>
    </w:p>
    <w:p>
      <w:pPr>
        <w:spacing w:line="600" w:lineRule="exact"/>
        <w:ind w:firstLine="640" w:firstLineChars="200"/>
        <w:rPr>
          <w:rFonts w:eastAsia="方正仿宋_GBK"/>
          <w:sz w:val="32"/>
          <w:szCs w:val="32"/>
        </w:rPr>
      </w:pPr>
      <w:r>
        <w:rPr>
          <w:rFonts w:eastAsia="方正楷体_GBK"/>
          <w:sz w:val="32"/>
          <w:szCs w:val="32"/>
        </w:rPr>
        <w:t>（一）推进畜禽标准化</w:t>
      </w:r>
      <w:r>
        <w:rPr>
          <w:rFonts w:hint="eastAsia" w:eastAsia="方正楷体_GBK"/>
          <w:sz w:val="32"/>
          <w:szCs w:val="32"/>
        </w:rPr>
        <w:t>规模</w:t>
      </w:r>
      <w:r>
        <w:rPr>
          <w:rFonts w:eastAsia="方正楷体_GBK"/>
          <w:sz w:val="32"/>
          <w:szCs w:val="32"/>
        </w:rPr>
        <w:t>养殖</w:t>
      </w:r>
    </w:p>
    <w:p>
      <w:pPr>
        <w:spacing w:line="600" w:lineRule="exact"/>
        <w:ind w:firstLine="640" w:firstLineChars="200"/>
        <w:jc w:val="left"/>
        <w:rPr>
          <w:rFonts w:eastAsia="方正仿宋_GBK"/>
          <w:sz w:val="32"/>
          <w:szCs w:val="32"/>
        </w:rPr>
      </w:pPr>
      <w:r>
        <w:rPr>
          <w:rFonts w:eastAsia="方正仿宋_GBK"/>
          <w:sz w:val="32"/>
          <w:szCs w:val="32"/>
        </w:rPr>
        <w:t>严格执行《重庆市潼南区畜禽养殖禁养区划定调整方案》，科学规划布局全区畜禽养殖场，严格</w:t>
      </w:r>
      <w:r>
        <w:rPr>
          <w:rFonts w:hint="eastAsia" w:eastAsia="方正仿宋_GBK"/>
          <w:sz w:val="32"/>
          <w:szCs w:val="32"/>
        </w:rPr>
        <w:t>执行环境影响评价相关制度</w:t>
      </w:r>
      <w:r>
        <w:rPr>
          <w:rFonts w:eastAsia="方正仿宋_GBK"/>
          <w:sz w:val="32"/>
          <w:szCs w:val="32"/>
        </w:rPr>
        <w:t>，加强污染防治指导监督。积极推进畜禽标准化示范场创建，引导养殖企业从选址、建设、养殖、防疫、管理、环保等多方面做好标准化生产，指导畜禽养殖场业主开展粪污处理设施配套建设和粪污资源化利用，实现畜禽养殖</w:t>
      </w:r>
      <w:r>
        <w:rPr>
          <w:rFonts w:hint="eastAsia" w:eastAsia="方正仿宋_GBK"/>
          <w:sz w:val="32"/>
          <w:szCs w:val="32"/>
        </w:rPr>
        <w:t>“</w:t>
      </w:r>
      <w:r>
        <w:rPr>
          <w:rFonts w:eastAsia="方正仿宋_GBK"/>
          <w:sz w:val="32"/>
          <w:szCs w:val="32"/>
        </w:rPr>
        <w:t>生产高效、资源节约、质量安全、环境友好</w:t>
      </w:r>
      <w:r>
        <w:rPr>
          <w:rFonts w:hint="eastAsia" w:eastAsia="方正仿宋_GBK"/>
          <w:sz w:val="32"/>
          <w:szCs w:val="32"/>
        </w:rPr>
        <w:t>”</w:t>
      </w:r>
      <w:r>
        <w:rPr>
          <w:rFonts w:eastAsia="方正仿宋_GBK"/>
          <w:sz w:val="32"/>
          <w:szCs w:val="32"/>
        </w:rPr>
        <w:t>目标，为全区畜禽产品市场保供提供强有力的支撑。</w:t>
      </w:r>
    </w:p>
    <w:p>
      <w:pPr>
        <w:spacing w:line="600" w:lineRule="exact"/>
        <w:ind w:firstLine="640" w:firstLineChars="200"/>
        <w:rPr>
          <w:rFonts w:eastAsia="方正楷体_GBK"/>
          <w:sz w:val="32"/>
          <w:szCs w:val="32"/>
        </w:rPr>
      </w:pPr>
      <w:r>
        <w:rPr>
          <w:rFonts w:eastAsia="方正楷体_GBK"/>
          <w:sz w:val="32"/>
          <w:szCs w:val="32"/>
        </w:rPr>
        <w:t>（二）</w:t>
      </w:r>
      <w:r>
        <w:rPr>
          <w:rFonts w:hint="eastAsia" w:eastAsia="方正楷体_GBK"/>
          <w:sz w:val="32"/>
          <w:szCs w:val="32"/>
        </w:rPr>
        <w:t>推</w:t>
      </w:r>
      <w:r>
        <w:rPr>
          <w:rFonts w:eastAsia="方正楷体_GBK"/>
          <w:sz w:val="32"/>
          <w:szCs w:val="32"/>
        </w:rPr>
        <w:t>行畜禽集中交易和宰杀</w:t>
      </w:r>
    </w:p>
    <w:p>
      <w:pPr>
        <w:adjustRightInd w:val="0"/>
        <w:snapToGrid w:val="0"/>
        <w:spacing w:line="600" w:lineRule="exact"/>
        <w:ind w:firstLine="640" w:firstLineChars="200"/>
        <w:rPr>
          <w:rFonts w:eastAsia="方正仿宋_GBK"/>
          <w:sz w:val="32"/>
          <w:szCs w:val="32"/>
        </w:rPr>
      </w:pPr>
      <w:r>
        <w:rPr>
          <w:rFonts w:eastAsia="方正仿宋_GBK"/>
          <w:sz w:val="32"/>
          <w:szCs w:val="32"/>
        </w:rPr>
        <w:t>1.科学规划交易宰杀区域。按照</w:t>
      </w:r>
      <w:r>
        <w:rPr>
          <w:rFonts w:hint="eastAsia" w:eastAsia="方正仿宋_GBK"/>
          <w:sz w:val="32"/>
          <w:szCs w:val="32"/>
        </w:rPr>
        <w:t>“</w:t>
      </w:r>
      <w:r>
        <w:rPr>
          <w:rFonts w:eastAsia="方正仿宋_GBK"/>
          <w:sz w:val="32"/>
          <w:szCs w:val="32"/>
        </w:rPr>
        <w:t>合理布局、适当集中、有利流通、方便群众</w:t>
      </w:r>
      <w:r>
        <w:rPr>
          <w:rFonts w:hint="eastAsia" w:eastAsia="方正仿宋_GBK"/>
          <w:sz w:val="32"/>
          <w:szCs w:val="32"/>
        </w:rPr>
        <w:t>”</w:t>
      </w:r>
      <w:r>
        <w:rPr>
          <w:rFonts w:eastAsia="方正仿宋_GBK"/>
          <w:sz w:val="32"/>
          <w:szCs w:val="32"/>
        </w:rPr>
        <w:t>的原则，根据土地利用总体规划和城乡建设规划，以及居民畜禽产品消费量、养殖规模、交通条件、生态环境等因素，全区规划建设城区、塘坝、古溪、柏梓等4个标准化生猪屠宰场，其中城区屠宰场兼具畜禽（牛羊、禽类）屠宰功能</w:t>
      </w:r>
      <w:r>
        <w:rPr>
          <w:rFonts w:hint="eastAsia" w:eastAsia="方正仿宋_GBK"/>
          <w:sz w:val="32"/>
          <w:szCs w:val="32"/>
        </w:rPr>
        <w:t>（设计年屠宰活禽原则上不少于1000万只）</w:t>
      </w:r>
      <w:r>
        <w:rPr>
          <w:rFonts w:eastAsia="方正仿宋_GBK"/>
          <w:sz w:val="32"/>
          <w:szCs w:val="32"/>
        </w:rPr>
        <w:t>。</w:t>
      </w:r>
      <w:r>
        <w:rPr>
          <w:rFonts w:hint="eastAsia" w:eastAsia="方正仿宋_GBK"/>
          <w:sz w:val="32"/>
          <w:szCs w:val="32"/>
        </w:rPr>
        <w:t>城区内2020年底前取缔批发市场、农</w:t>
      </w:r>
      <w:r>
        <w:rPr>
          <w:rFonts w:eastAsia="方正仿宋_GBK"/>
          <w:sz w:val="32"/>
          <w:szCs w:val="32"/>
        </w:rPr>
        <w:t>贸市场</w:t>
      </w:r>
      <w:r>
        <w:rPr>
          <w:rFonts w:hint="eastAsia" w:eastAsia="方正仿宋_GBK"/>
          <w:sz w:val="32"/>
          <w:szCs w:val="32"/>
        </w:rPr>
        <w:t>、商场超市和便民农产品交易点、禽类销售门店、餐饮服务单位等经营场所的所有活禽交易和宰杀，取缔前设置临时活禽交易和宰杀点3个，即滨江农贸市场、凉风垭农贸市场、井田农贸市场；</w:t>
      </w:r>
      <w:r>
        <w:rPr>
          <w:rFonts w:eastAsia="方正仿宋_GBK"/>
          <w:sz w:val="32"/>
          <w:szCs w:val="32"/>
        </w:rPr>
        <w:t>城区外20个镇在辖区农贸市场内</w:t>
      </w:r>
      <w:r>
        <w:rPr>
          <w:rFonts w:hint="eastAsia" w:eastAsia="方正仿宋_GBK"/>
          <w:sz w:val="32"/>
          <w:szCs w:val="32"/>
        </w:rPr>
        <w:t>规范</w:t>
      </w:r>
      <w:r>
        <w:rPr>
          <w:rFonts w:eastAsia="方正仿宋_GBK"/>
          <w:sz w:val="32"/>
          <w:szCs w:val="32"/>
        </w:rPr>
        <w:t>设置相对固定、相对独立、具有一定隔离条件的活禽</w:t>
      </w:r>
      <w:r>
        <w:rPr>
          <w:rFonts w:hint="eastAsia" w:eastAsia="方正仿宋_GBK"/>
          <w:sz w:val="32"/>
          <w:szCs w:val="32"/>
        </w:rPr>
        <w:t>（指鸡、鸭、鹅、肉鸽、鹌鹑及其他经人工驯养的可食用活体禽类）</w:t>
      </w:r>
      <w:r>
        <w:rPr>
          <w:rFonts w:eastAsia="方正仿宋_GBK"/>
          <w:sz w:val="32"/>
          <w:szCs w:val="32"/>
        </w:rPr>
        <w:t>集中交易</w:t>
      </w:r>
      <w:r>
        <w:rPr>
          <w:rFonts w:hint="eastAsia" w:eastAsia="方正仿宋_GBK"/>
          <w:sz w:val="32"/>
          <w:szCs w:val="32"/>
        </w:rPr>
        <w:t>和</w:t>
      </w:r>
      <w:r>
        <w:rPr>
          <w:rFonts w:eastAsia="方正仿宋_GBK"/>
          <w:sz w:val="32"/>
          <w:szCs w:val="32"/>
        </w:rPr>
        <w:t>宰杀区</w:t>
      </w:r>
      <w:r>
        <w:rPr>
          <w:rFonts w:hint="eastAsia" w:eastAsia="方正仿宋_GBK"/>
          <w:sz w:val="32"/>
          <w:szCs w:val="32"/>
        </w:rPr>
        <w:t>（详见附件）</w:t>
      </w:r>
      <w:r>
        <w:rPr>
          <w:rFonts w:eastAsia="方正仿宋_GBK"/>
          <w:sz w:val="32"/>
          <w:szCs w:val="32"/>
        </w:rPr>
        <w:t>，确保满足当地居民的生鲜活禽产品消费需求</w:t>
      </w:r>
      <w:r>
        <w:rPr>
          <w:rFonts w:hint="eastAsia" w:eastAsia="方正仿宋_GBK"/>
          <w:sz w:val="32"/>
          <w:szCs w:val="32"/>
        </w:rPr>
        <w:t>，具体由镇政府牵头负责落实到位</w:t>
      </w:r>
      <w:r>
        <w:rPr>
          <w:rFonts w:eastAsia="方正仿宋_GBK"/>
          <w:sz w:val="32"/>
          <w:szCs w:val="32"/>
        </w:rPr>
        <w:t>。</w:t>
      </w:r>
    </w:p>
    <w:p>
      <w:pPr>
        <w:spacing w:line="600" w:lineRule="exact"/>
        <w:ind w:firstLine="627" w:firstLineChars="196"/>
        <w:rPr>
          <w:rFonts w:eastAsia="方正仿宋_GBK"/>
          <w:spacing w:val="-6"/>
          <w:sz w:val="32"/>
          <w:szCs w:val="32"/>
        </w:rPr>
      </w:pPr>
      <w:r>
        <w:rPr>
          <w:rFonts w:eastAsia="方正仿宋_GBK"/>
          <w:sz w:val="32"/>
          <w:szCs w:val="32"/>
        </w:rPr>
        <w:t>2.加快集中屠宰场建设。加快4个标准化生猪屠宰场</w:t>
      </w:r>
      <w:r>
        <w:rPr>
          <w:rFonts w:hAnsi="方正仿宋_GBK" w:eastAsia="方正仿宋_GBK"/>
          <w:sz w:val="32"/>
          <w:szCs w:val="32"/>
        </w:rPr>
        <w:t>建设</w:t>
      </w:r>
      <w:r>
        <w:rPr>
          <w:rFonts w:eastAsia="方正仿宋_GBK"/>
          <w:sz w:val="32"/>
          <w:szCs w:val="32"/>
        </w:rPr>
        <w:t>，</w:t>
      </w:r>
      <w:r>
        <w:rPr>
          <w:rFonts w:hint="eastAsia" w:eastAsia="方正仿宋_GBK"/>
          <w:sz w:val="32"/>
          <w:szCs w:val="32"/>
        </w:rPr>
        <w:t>提高产能，保障集中</w:t>
      </w:r>
      <w:r>
        <w:rPr>
          <w:rFonts w:eastAsia="方正仿宋_GBK"/>
          <w:sz w:val="32"/>
          <w:szCs w:val="32"/>
        </w:rPr>
        <w:t>屠宰</w:t>
      </w:r>
      <w:r>
        <w:rPr>
          <w:rFonts w:hint="eastAsia" w:eastAsia="方正仿宋_GBK"/>
          <w:sz w:val="32"/>
          <w:szCs w:val="32"/>
        </w:rPr>
        <w:t>需要。</w:t>
      </w:r>
      <w:r>
        <w:rPr>
          <w:rFonts w:eastAsia="方正仿宋_GBK"/>
          <w:sz w:val="32"/>
          <w:szCs w:val="32"/>
        </w:rPr>
        <w:t>引进和培育屠宰加工企业，积极创建知名品牌，打造潼南特色优质畜禽产品。</w:t>
      </w:r>
      <w:r>
        <w:rPr>
          <w:rFonts w:hAnsi="方正仿宋_GBK" w:eastAsia="方正仿宋_GBK"/>
          <w:sz w:val="32"/>
          <w:szCs w:val="32"/>
        </w:rPr>
        <w:t>组织畜禽屠宰企业</w:t>
      </w:r>
      <w:r>
        <w:rPr>
          <w:rFonts w:hAnsi="方正仿宋_GBK" w:eastAsia="方正仿宋_GBK"/>
          <w:spacing w:val="-6"/>
          <w:sz w:val="32"/>
          <w:szCs w:val="32"/>
        </w:rPr>
        <w:t>与销售企业自愿结对、宰销结合，满足畜禽产品市场供应。全面落实畜禽集中屠宰场动物疫病自检、官方兽医派驻</w:t>
      </w:r>
      <w:r>
        <w:rPr>
          <w:rFonts w:hint="eastAsia" w:eastAsia="方正仿宋_GBK"/>
          <w:spacing w:val="-6"/>
          <w:sz w:val="32"/>
          <w:szCs w:val="32"/>
        </w:rPr>
        <w:t>“</w:t>
      </w:r>
      <w:r>
        <w:rPr>
          <w:rFonts w:hAnsi="方正仿宋_GBK" w:eastAsia="方正仿宋_GBK"/>
          <w:spacing w:val="-6"/>
          <w:sz w:val="32"/>
          <w:szCs w:val="32"/>
        </w:rPr>
        <w:t>两项</w:t>
      </w:r>
      <w:r>
        <w:rPr>
          <w:rFonts w:hint="eastAsia" w:eastAsia="方正仿宋_GBK"/>
          <w:spacing w:val="-6"/>
          <w:sz w:val="32"/>
          <w:szCs w:val="32"/>
        </w:rPr>
        <w:t>”</w:t>
      </w:r>
      <w:r>
        <w:rPr>
          <w:rFonts w:hAnsi="方正仿宋_GBK" w:eastAsia="方正仿宋_GBK"/>
          <w:spacing w:val="-6"/>
          <w:sz w:val="32"/>
          <w:szCs w:val="32"/>
        </w:rPr>
        <w:t>制度，动物产品品质检验合格证（标识）、动物检疫合格证明</w:t>
      </w:r>
      <w:r>
        <w:rPr>
          <w:rFonts w:hint="eastAsia" w:eastAsia="方正仿宋_GBK"/>
          <w:spacing w:val="-6"/>
          <w:sz w:val="32"/>
          <w:szCs w:val="32"/>
        </w:rPr>
        <w:t>“</w:t>
      </w:r>
      <w:r>
        <w:rPr>
          <w:rFonts w:hAnsi="方正仿宋_GBK" w:eastAsia="方正仿宋_GBK"/>
          <w:spacing w:val="-6"/>
          <w:sz w:val="32"/>
          <w:szCs w:val="32"/>
        </w:rPr>
        <w:t>两证制度</w:t>
      </w:r>
      <w:r>
        <w:rPr>
          <w:rFonts w:hint="eastAsia" w:eastAsia="方正仿宋_GBK"/>
          <w:spacing w:val="-6"/>
          <w:sz w:val="32"/>
          <w:szCs w:val="32"/>
        </w:rPr>
        <w:t>”</w:t>
      </w:r>
      <w:r>
        <w:rPr>
          <w:rFonts w:hAnsi="方正仿宋_GBK" w:eastAsia="方正仿宋_GBK"/>
          <w:spacing w:val="-6"/>
          <w:sz w:val="32"/>
          <w:szCs w:val="32"/>
        </w:rPr>
        <w:t>。</w:t>
      </w:r>
    </w:p>
    <w:p>
      <w:pPr>
        <w:spacing w:line="600" w:lineRule="exact"/>
        <w:ind w:firstLine="640" w:firstLineChars="200"/>
        <w:rPr>
          <w:rFonts w:eastAsia="方正仿宋_GBK"/>
          <w:sz w:val="32"/>
          <w:szCs w:val="32"/>
        </w:rPr>
      </w:pPr>
      <w:r>
        <w:rPr>
          <w:rFonts w:eastAsia="方正仿宋_GBK"/>
          <w:sz w:val="32"/>
          <w:szCs w:val="32"/>
        </w:rPr>
        <w:t>3.推进活禽交易场所改造。</w:t>
      </w:r>
      <w:r>
        <w:rPr>
          <w:rFonts w:hAnsi="方正仿宋_GBK" w:eastAsia="方正仿宋_GBK"/>
          <w:sz w:val="32"/>
          <w:szCs w:val="32"/>
        </w:rPr>
        <w:t>支持和鼓励区内批发市场、农贸市场、商场超市以及便民农产品交易点、禽类销售门店等经营场所转换经营方式、转行经营；优化调整区内现有销售区域，指导取缔后的活禽交易场所做好冲洗和终末消毒工作，按</w:t>
      </w:r>
      <w:r>
        <w:rPr>
          <w:rFonts w:hint="eastAsia" w:hAnsi="方正仿宋_GBK" w:eastAsia="方正仿宋_GBK"/>
          <w:sz w:val="32"/>
          <w:szCs w:val="32"/>
        </w:rPr>
        <w:t>冷鲜禽</w:t>
      </w:r>
      <w:r>
        <w:rPr>
          <w:rFonts w:hAnsi="方正仿宋_GBK" w:eastAsia="方正仿宋_GBK"/>
          <w:sz w:val="32"/>
          <w:szCs w:val="32"/>
        </w:rPr>
        <w:t>销售要求进行改造，做好</w:t>
      </w:r>
      <w:r>
        <w:rPr>
          <w:rFonts w:hint="eastAsia" w:hAnsi="方正仿宋_GBK" w:eastAsia="方正仿宋_GBK"/>
          <w:sz w:val="32"/>
          <w:szCs w:val="32"/>
        </w:rPr>
        <w:t>冷鲜禽肉</w:t>
      </w:r>
      <w:r>
        <w:rPr>
          <w:rFonts w:hAnsi="方正仿宋_GBK" w:eastAsia="方正仿宋_GBK"/>
          <w:sz w:val="32"/>
          <w:szCs w:val="32"/>
        </w:rPr>
        <w:t>产品上市销售工作。</w:t>
      </w:r>
    </w:p>
    <w:p>
      <w:pPr>
        <w:spacing w:line="600" w:lineRule="exact"/>
        <w:ind w:firstLine="640" w:firstLineChars="200"/>
        <w:rPr>
          <w:rFonts w:eastAsia="方正楷体_GBK"/>
          <w:sz w:val="32"/>
          <w:szCs w:val="32"/>
        </w:rPr>
      </w:pPr>
      <w:r>
        <w:rPr>
          <w:rFonts w:eastAsia="方正楷体_GBK"/>
          <w:sz w:val="32"/>
          <w:szCs w:val="32"/>
        </w:rPr>
        <w:t>（三）促进畜禽产品便捷化运输</w:t>
      </w:r>
    </w:p>
    <w:p>
      <w:pPr>
        <w:spacing w:line="600" w:lineRule="exact"/>
        <w:ind w:firstLine="640" w:firstLineChars="200"/>
        <w:rPr>
          <w:rFonts w:eastAsia="方正仿宋_GBK"/>
          <w:sz w:val="32"/>
          <w:szCs w:val="32"/>
        </w:rPr>
      </w:pPr>
      <w:r>
        <w:rPr>
          <w:rFonts w:eastAsia="方正仿宋_GBK"/>
          <w:sz w:val="32"/>
          <w:szCs w:val="32"/>
        </w:rPr>
        <w:t>1.加快冷链体系建设。加强冷链物流基础设施建设，提升冷链配送能力，支持开展冷链点对点物流配送。完善冷链配送网络，合理规划配送区域和配送网点。支持龙头企业在城区建设畜禽产品冷链配送中心，支持屠宰企业和批发企业在柏梓、塘坝、古溪建设区域冷链集配中心，支持生鲜零售企业建设终端低温配送中心。</w:t>
      </w:r>
      <w:r>
        <w:rPr>
          <w:rFonts w:hint="eastAsia" w:eastAsia="方正仿宋_GBK"/>
          <w:sz w:val="32"/>
          <w:szCs w:val="32"/>
        </w:rPr>
        <w:t>加速</w:t>
      </w:r>
      <w:r>
        <w:rPr>
          <w:rFonts w:eastAsia="方正仿宋_GBK"/>
          <w:sz w:val="32"/>
          <w:szCs w:val="32"/>
        </w:rPr>
        <w:t>推进冷链物流信息化、智能化、标准化建设，</w:t>
      </w:r>
      <w:r>
        <w:rPr>
          <w:rFonts w:hint="eastAsia" w:eastAsia="方正仿宋_GBK"/>
          <w:sz w:val="32"/>
          <w:szCs w:val="32"/>
        </w:rPr>
        <w:t>逐步</w:t>
      </w:r>
      <w:r>
        <w:rPr>
          <w:rFonts w:eastAsia="方正仿宋_GBK"/>
          <w:sz w:val="32"/>
          <w:szCs w:val="32"/>
        </w:rPr>
        <w:t>完善冷链物流体系</w:t>
      </w:r>
      <w:r>
        <w:rPr>
          <w:rFonts w:hint="eastAsia" w:eastAsia="方正仿宋_GBK"/>
          <w:sz w:val="32"/>
          <w:szCs w:val="32"/>
        </w:rPr>
        <w:t>，确保</w:t>
      </w:r>
      <w:r>
        <w:rPr>
          <w:rFonts w:eastAsia="方正仿宋_GBK"/>
          <w:sz w:val="32"/>
          <w:szCs w:val="32"/>
        </w:rPr>
        <w:t>畜禽产品</w:t>
      </w:r>
      <w:r>
        <w:rPr>
          <w:rFonts w:hint="eastAsia" w:eastAsia="方正仿宋_GBK"/>
          <w:sz w:val="32"/>
          <w:szCs w:val="32"/>
        </w:rPr>
        <w:t>安全新鲜和稳定生产</w:t>
      </w:r>
      <w:r>
        <w:rPr>
          <w:rFonts w:eastAsia="方正仿宋_GBK"/>
          <w:sz w:val="32"/>
          <w:szCs w:val="32"/>
        </w:rPr>
        <w:t>。</w:t>
      </w:r>
    </w:p>
    <w:p>
      <w:pPr>
        <w:spacing w:line="600" w:lineRule="exact"/>
        <w:ind w:firstLine="640" w:firstLineChars="200"/>
        <w:rPr>
          <w:rFonts w:eastAsia="方正仿宋_GBK"/>
          <w:sz w:val="32"/>
          <w:szCs w:val="32"/>
        </w:rPr>
      </w:pPr>
      <w:r>
        <w:rPr>
          <w:rFonts w:hint="eastAsia" w:eastAsia="方正仿宋_GBK"/>
          <w:sz w:val="32"/>
          <w:szCs w:val="32"/>
        </w:rPr>
        <w:t>2</w:t>
      </w:r>
      <w:r>
        <w:rPr>
          <w:rFonts w:eastAsia="方正仿宋_GBK"/>
          <w:sz w:val="32"/>
          <w:szCs w:val="32"/>
        </w:rPr>
        <w:t>.畅通产销供应渠道。推进产供销信息平台建设，实现各方信息共享、有效对接。提高屠宰加工企业、冻品企业和批发企业的市场供应能力，组织引导畜禽养殖基地和屠宰加工企业</w:t>
      </w:r>
      <w:r>
        <w:rPr>
          <w:rFonts w:hint="eastAsia" w:eastAsia="方正仿宋_GBK"/>
          <w:sz w:val="32"/>
          <w:szCs w:val="32"/>
        </w:rPr>
        <w:t>发展</w:t>
      </w:r>
      <w:r>
        <w:rPr>
          <w:rFonts w:eastAsia="方正仿宋_GBK"/>
          <w:sz w:val="32"/>
          <w:szCs w:val="32"/>
        </w:rPr>
        <w:t>，</w:t>
      </w:r>
      <w:r>
        <w:rPr>
          <w:rFonts w:hint="eastAsia" w:eastAsia="方正仿宋_GBK"/>
          <w:sz w:val="32"/>
          <w:szCs w:val="32"/>
        </w:rPr>
        <w:t>促进</w:t>
      </w:r>
      <w:r>
        <w:rPr>
          <w:rFonts w:eastAsia="方正仿宋_GBK"/>
          <w:sz w:val="32"/>
          <w:szCs w:val="32"/>
        </w:rPr>
        <w:t>屠宰加工企业、冻品企业、批发企业与零售终端单位</w:t>
      </w:r>
      <w:r>
        <w:rPr>
          <w:rFonts w:hint="eastAsia" w:eastAsia="方正仿宋_GBK"/>
          <w:sz w:val="32"/>
          <w:szCs w:val="32"/>
        </w:rPr>
        <w:t>“</w:t>
      </w:r>
      <w:r>
        <w:rPr>
          <w:rFonts w:eastAsia="方正仿宋_GBK"/>
          <w:sz w:val="32"/>
          <w:szCs w:val="32"/>
        </w:rPr>
        <w:t>点对点</w:t>
      </w:r>
      <w:r>
        <w:rPr>
          <w:rFonts w:hint="eastAsia" w:eastAsia="方正仿宋_GBK"/>
          <w:sz w:val="32"/>
          <w:szCs w:val="32"/>
        </w:rPr>
        <w:t>”的</w:t>
      </w:r>
      <w:r>
        <w:rPr>
          <w:rFonts w:eastAsia="方正仿宋_GBK"/>
          <w:sz w:val="32"/>
          <w:szCs w:val="32"/>
        </w:rPr>
        <w:t>对接，形成长期稳定产销关系，保障市场供应。</w:t>
      </w:r>
    </w:p>
    <w:p>
      <w:pPr>
        <w:spacing w:line="600" w:lineRule="exact"/>
        <w:ind w:firstLine="640" w:firstLineChars="200"/>
        <w:rPr>
          <w:rFonts w:eastAsia="方正楷体_GBK"/>
          <w:sz w:val="32"/>
          <w:szCs w:val="32"/>
        </w:rPr>
      </w:pPr>
      <w:r>
        <w:rPr>
          <w:rFonts w:eastAsia="方正楷体_GBK"/>
          <w:sz w:val="32"/>
          <w:szCs w:val="32"/>
        </w:rPr>
        <w:t>（四）规范畜禽产品市场交易</w:t>
      </w:r>
    </w:p>
    <w:p>
      <w:pPr>
        <w:spacing w:line="600" w:lineRule="exact"/>
        <w:ind w:firstLine="640" w:firstLineChars="200"/>
        <w:rPr>
          <w:rFonts w:eastAsia="方正仿宋_GBK"/>
          <w:sz w:val="32"/>
          <w:szCs w:val="32"/>
        </w:rPr>
      </w:pPr>
      <w:r>
        <w:rPr>
          <w:rFonts w:eastAsia="方正仿宋_GBK"/>
          <w:sz w:val="32"/>
          <w:szCs w:val="32"/>
        </w:rPr>
        <w:t>1.加强销售网点建设。根据市场消费需求，优化畜禽产品销售区域，合理布局销售网点。</w:t>
      </w:r>
      <w:r>
        <w:rPr>
          <w:rFonts w:hint="eastAsia" w:eastAsia="方正仿宋_GBK"/>
          <w:sz w:val="32"/>
          <w:szCs w:val="32"/>
        </w:rPr>
        <w:t>城区和场镇</w:t>
      </w:r>
      <w:r>
        <w:rPr>
          <w:rFonts w:eastAsia="方正仿宋_GBK"/>
          <w:sz w:val="32"/>
          <w:szCs w:val="32"/>
        </w:rPr>
        <w:t>主要布局在生活超市、农贸市场，引导畜禽产品连锁销售企业开设销售门店。支持鼓励屠宰加工企业、批发企业、生活超市、连锁销售门店、餐饮服务单位、机关企事业单位食堂采购</w:t>
      </w:r>
      <w:r>
        <w:rPr>
          <w:rFonts w:hint="eastAsia" w:eastAsia="方正仿宋_GBK"/>
          <w:sz w:val="32"/>
          <w:szCs w:val="32"/>
        </w:rPr>
        <w:t>或</w:t>
      </w:r>
      <w:r>
        <w:rPr>
          <w:rFonts w:eastAsia="方正仿宋_GBK"/>
          <w:sz w:val="32"/>
          <w:szCs w:val="32"/>
        </w:rPr>
        <w:t>销售冷鲜畜禽产品，指导销售网点按冷鲜畜禽产品销售要求进行改造，引导消费者改变消费习惯，购买和消费冷鲜畜禽产品。</w:t>
      </w:r>
    </w:p>
    <w:p>
      <w:pPr>
        <w:spacing w:line="600" w:lineRule="exact"/>
        <w:ind w:firstLine="640" w:firstLineChars="200"/>
        <w:rPr>
          <w:rFonts w:eastAsia="方正仿宋_GBK"/>
          <w:sz w:val="32"/>
          <w:szCs w:val="32"/>
        </w:rPr>
      </w:pPr>
      <w:r>
        <w:rPr>
          <w:rFonts w:eastAsia="方正仿宋_GBK"/>
          <w:sz w:val="32"/>
          <w:szCs w:val="32"/>
        </w:rPr>
        <w:t>2.严格畜禽产品进货查验。严格监督畜禽产品销售者建立并落实进货查验记录等制度，</w:t>
      </w:r>
      <w:r>
        <w:rPr>
          <w:rFonts w:hint="eastAsia" w:eastAsia="方正仿宋_GBK"/>
          <w:sz w:val="32"/>
          <w:szCs w:val="32"/>
        </w:rPr>
        <w:t>推进可追溯体系建设，</w:t>
      </w:r>
      <w:r>
        <w:rPr>
          <w:rFonts w:eastAsia="方正仿宋_GBK"/>
          <w:sz w:val="32"/>
          <w:szCs w:val="32"/>
        </w:rPr>
        <w:t>保证畜禽产品来源可查。督促市场开办者认真落实市场准入义务，建立健全入场畜禽产品销售者档案，查验并留存入场畜禽产品销售者的社会信用代码或身份证复印件，每日对入场销售畜禽产品的动物检疫合格证进行查验并作好记录。</w:t>
      </w:r>
    </w:p>
    <w:p>
      <w:pPr>
        <w:spacing w:line="600" w:lineRule="exact"/>
        <w:ind w:firstLine="640" w:firstLineChars="200"/>
        <w:rPr>
          <w:rFonts w:eastAsia="方正仿宋_GBK"/>
          <w:sz w:val="32"/>
          <w:szCs w:val="32"/>
        </w:rPr>
      </w:pPr>
      <w:r>
        <w:rPr>
          <w:rFonts w:eastAsia="方正仿宋_GBK"/>
          <w:sz w:val="32"/>
          <w:szCs w:val="32"/>
        </w:rPr>
        <w:t>3.加强畜禽产品监督</w:t>
      </w:r>
      <w:r>
        <w:rPr>
          <w:rFonts w:hint="eastAsia" w:eastAsia="方正仿宋_GBK"/>
          <w:sz w:val="32"/>
          <w:szCs w:val="32"/>
        </w:rPr>
        <w:t>执法</w:t>
      </w:r>
      <w:r>
        <w:rPr>
          <w:rFonts w:eastAsia="方正仿宋_GBK"/>
          <w:sz w:val="32"/>
          <w:szCs w:val="32"/>
        </w:rPr>
        <w:t>。组织开展对畜禽产品的日常检查，加大对销售畜禽产品批发市场、农贸超市、商场超市以及贮存冻库等重点销售场所的监督检查力度，严防出现监管死角。严格检查市场上在售畜禽产品的进货凭证和检验检疫证明，严禁未经检验检疫的畜禽产品上市销售。对检查中发现的贮存和销售未按规定进行检验检疫或者检验检疫不合格畜禽产品，以及贮存和销售病死或者死因不明畜禽产品等违法行为，依法从严查处；涉嫌犯罪的及时移送司法机关处理。</w:t>
      </w:r>
    </w:p>
    <w:p>
      <w:pPr>
        <w:spacing w:line="600" w:lineRule="exact"/>
        <w:ind w:firstLine="640" w:firstLineChars="200"/>
        <w:rPr>
          <w:rFonts w:eastAsia="方正黑体_GBK"/>
          <w:sz w:val="32"/>
          <w:szCs w:val="32"/>
        </w:rPr>
      </w:pPr>
      <w:r>
        <w:rPr>
          <w:rFonts w:eastAsia="方正黑体_GBK"/>
          <w:sz w:val="32"/>
          <w:szCs w:val="32"/>
        </w:rPr>
        <w:t>三、组织保障</w:t>
      </w:r>
    </w:p>
    <w:p>
      <w:pPr>
        <w:spacing w:line="600" w:lineRule="exact"/>
        <w:ind w:firstLine="640" w:firstLineChars="200"/>
        <w:rPr>
          <w:rFonts w:eastAsia="方正楷体_GBK"/>
          <w:sz w:val="32"/>
          <w:szCs w:val="32"/>
        </w:rPr>
      </w:pPr>
      <w:r>
        <w:rPr>
          <w:rFonts w:eastAsia="方正楷体_GBK"/>
          <w:sz w:val="32"/>
          <w:szCs w:val="32"/>
        </w:rPr>
        <w:t>（一）提高认识，加强组织领导</w:t>
      </w:r>
    </w:p>
    <w:p>
      <w:pPr>
        <w:spacing w:line="600" w:lineRule="exact"/>
        <w:ind w:firstLine="640" w:firstLineChars="200"/>
        <w:rPr>
          <w:rFonts w:eastAsia="方正仿宋_GBK"/>
          <w:sz w:val="32"/>
          <w:szCs w:val="32"/>
        </w:rPr>
      </w:pPr>
      <w:r>
        <w:rPr>
          <w:rFonts w:eastAsia="方正仿宋_GBK"/>
          <w:sz w:val="32"/>
          <w:szCs w:val="32"/>
        </w:rPr>
        <w:t>区级有关部门、各镇街要高度重视，将进一步规范</w:t>
      </w:r>
      <w:r>
        <w:rPr>
          <w:rFonts w:hint="eastAsia" w:eastAsia="方正仿宋_GBK"/>
          <w:sz w:val="32"/>
          <w:szCs w:val="32"/>
        </w:rPr>
        <w:t>畜</w:t>
      </w:r>
      <w:r>
        <w:rPr>
          <w:rFonts w:eastAsia="方正仿宋_GBK"/>
          <w:sz w:val="32"/>
          <w:szCs w:val="32"/>
        </w:rPr>
        <w:t>禽养殖、推行集中屠宰、加强冷链供应工作摆上重要议事日程，严格落实属地管理责任，强化责任担当，统筹</w:t>
      </w:r>
      <w:r>
        <w:rPr>
          <w:rFonts w:hint="eastAsia" w:eastAsia="方正仿宋_GBK"/>
          <w:sz w:val="32"/>
          <w:szCs w:val="32"/>
        </w:rPr>
        <w:t>抓</w:t>
      </w:r>
      <w:r>
        <w:rPr>
          <w:rFonts w:eastAsia="方正仿宋_GBK"/>
          <w:sz w:val="32"/>
          <w:szCs w:val="32"/>
        </w:rPr>
        <w:t>好辖区内规范畜禽养殖、禁止区域活禽交易和商业性宰杀点取缔、集中屠宰能力提升、冷链供应、经营场所升级改造、监管执法、宣传引导、信访维稳等工作，确保按时保质完成任务，做到守土有责、守土负责、守土尽责。</w:t>
      </w:r>
      <w:r>
        <w:rPr>
          <w:rFonts w:hint="eastAsia" w:eastAsia="方正仿宋_GBK"/>
          <w:sz w:val="32"/>
          <w:szCs w:val="32"/>
        </w:rPr>
        <w:t>区农业农村委、区商务委、</w:t>
      </w:r>
      <w:r>
        <w:rPr>
          <w:rFonts w:eastAsia="方正仿宋_GBK"/>
          <w:sz w:val="32"/>
          <w:szCs w:val="32"/>
        </w:rPr>
        <w:t>潼南市场监管局</w:t>
      </w:r>
      <w:r>
        <w:rPr>
          <w:rFonts w:hint="eastAsia" w:eastAsia="方正仿宋_GBK"/>
          <w:sz w:val="32"/>
          <w:szCs w:val="32"/>
        </w:rPr>
        <w:t>等部门要建立健全工作协调机制，加强业务工作指导，制定细化工作措施，确保各项工作有序开展。</w:t>
      </w:r>
    </w:p>
    <w:p>
      <w:pPr>
        <w:spacing w:line="600" w:lineRule="exact"/>
        <w:ind w:firstLine="640" w:firstLineChars="200"/>
        <w:rPr>
          <w:rFonts w:eastAsia="方正楷体_GBK"/>
          <w:sz w:val="32"/>
          <w:szCs w:val="32"/>
        </w:rPr>
      </w:pPr>
      <w:r>
        <w:rPr>
          <w:rFonts w:eastAsia="方正楷体_GBK"/>
          <w:sz w:val="32"/>
          <w:szCs w:val="32"/>
        </w:rPr>
        <w:t>（二）分工协作，落实工作责任</w:t>
      </w:r>
    </w:p>
    <w:p>
      <w:pPr>
        <w:spacing w:line="600" w:lineRule="exact"/>
        <w:ind w:firstLine="640" w:firstLineChars="200"/>
        <w:rPr>
          <w:rFonts w:eastAsia="方正仿宋_GBK"/>
          <w:sz w:val="32"/>
          <w:szCs w:val="32"/>
        </w:rPr>
      </w:pPr>
      <w:r>
        <w:rPr>
          <w:rFonts w:eastAsia="方正仿宋_GBK"/>
          <w:sz w:val="32"/>
          <w:szCs w:val="32"/>
        </w:rPr>
        <w:t>加强农业</w:t>
      </w:r>
      <w:r>
        <w:rPr>
          <w:rFonts w:hint="eastAsia" w:eastAsia="方正仿宋_GBK"/>
          <w:sz w:val="32"/>
          <w:szCs w:val="32"/>
        </w:rPr>
        <w:t>农村</w:t>
      </w:r>
      <w:r>
        <w:rPr>
          <w:rFonts w:eastAsia="方正仿宋_GBK"/>
          <w:sz w:val="32"/>
          <w:szCs w:val="32"/>
        </w:rPr>
        <w:t>、商务、规划、生态、市场监管等部门配合，协同做好畜禽养殖、集中屠宰、冷链配送、冰鲜上市的规划布局和建设管理等工作。区农业农村委要牵头负责畜禽养殖、集中屠宰场规划布局，提出相关建设标准、资格条件、工作流程，指导做好相关工作</w:t>
      </w:r>
      <w:r>
        <w:rPr>
          <w:rFonts w:hint="eastAsia" w:eastAsia="方正仿宋_GBK"/>
          <w:sz w:val="32"/>
          <w:szCs w:val="32"/>
        </w:rPr>
        <w:t>；</w:t>
      </w:r>
      <w:r>
        <w:rPr>
          <w:rFonts w:eastAsia="方正仿宋_GBK"/>
          <w:sz w:val="32"/>
          <w:szCs w:val="32"/>
        </w:rPr>
        <w:t>要加快完善</w:t>
      </w:r>
      <w:r>
        <w:rPr>
          <w:rFonts w:hint="eastAsia" w:eastAsia="方正仿宋_GBK"/>
          <w:sz w:val="32"/>
          <w:szCs w:val="32"/>
        </w:rPr>
        <w:t>畜</w:t>
      </w:r>
      <w:r>
        <w:rPr>
          <w:rFonts w:eastAsia="方正仿宋_GBK"/>
          <w:sz w:val="32"/>
          <w:szCs w:val="32"/>
        </w:rPr>
        <w:t>禽类屠宰厂建设标准和产品出厂标准，确保符合规划、环保、屠宰和动物防疫等要求</w:t>
      </w:r>
      <w:r>
        <w:rPr>
          <w:rFonts w:hint="eastAsia" w:eastAsia="方正仿宋_GBK"/>
          <w:sz w:val="32"/>
          <w:szCs w:val="32"/>
        </w:rPr>
        <w:t>；指导督促区农投集团和相关业主务必在2020年底前完成规划的4个标准化生猪屠宰场建设并投入使用。</w:t>
      </w:r>
      <w:r>
        <w:rPr>
          <w:rFonts w:eastAsia="方正仿宋_GBK"/>
          <w:sz w:val="32"/>
          <w:szCs w:val="32"/>
        </w:rPr>
        <w:t>区规划自然资源局要做好用地保障。区生态环境局要督促业主落实环境污染防治措施。区商务委要做好产销衔接、冷链物流等工作，科学合理布局销售网点</w:t>
      </w:r>
      <w:r>
        <w:rPr>
          <w:rFonts w:hint="eastAsia" w:eastAsia="方正仿宋_GBK"/>
          <w:sz w:val="32"/>
          <w:szCs w:val="32"/>
        </w:rPr>
        <w:t>；</w:t>
      </w:r>
      <w:r>
        <w:rPr>
          <w:rFonts w:eastAsia="方正仿宋_GBK"/>
          <w:sz w:val="32"/>
          <w:szCs w:val="32"/>
        </w:rPr>
        <w:t>要完善农贸市场建设标准体系，建设一批</w:t>
      </w:r>
      <w:r>
        <w:rPr>
          <w:rFonts w:hint="eastAsia" w:eastAsia="方正仿宋_GBK"/>
          <w:sz w:val="32"/>
          <w:szCs w:val="32"/>
        </w:rPr>
        <w:t>“</w:t>
      </w:r>
      <w:r>
        <w:rPr>
          <w:rFonts w:eastAsia="方正仿宋_GBK"/>
          <w:sz w:val="32"/>
          <w:szCs w:val="32"/>
        </w:rPr>
        <w:t>设施达标、环境整洁、安全放心、文明规范</w:t>
      </w:r>
      <w:r>
        <w:rPr>
          <w:rFonts w:hint="eastAsia" w:eastAsia="方正仿宋_GBK"/>
          <w:sz w:val="32"/>
          <w:szCs w:val="32"/>
        </w:rPr>
        <w:t>”</w:t>
      </w:r>
      <w:r>
        <w:rPr>
          <w:rFonts w:eastAsia="方正仿宋_GBK"/>
          <w:sz w:val="32"/>
          <w:szCs w:val="32"/>
        </w:rPr>
        <w:t>的农贸市场。潼南市场监管局要做好</w:t>
      </w:r>
      <w:r>
        <w:rPr>
          <w:rFonts w:hint="eastAsia" w:eastAsia="方正仿宋_GBK"/>
          <w:sz w:val="32"/>
          <w:szCs w:val="32"/>
        </w:rPr>
        <w:t>畜禽产品质量安全监管，维护公平公正市场秩序；</w:t>
      </w:r>
      <w:r>
        <w:rPr>
          <w:rFonts w:eastAsia="方正仿宋_GBK"/>
          <w:sz w:val="32"/>
          <w:szCs w:val="32"/>
        </w:rPr>
        <w:t>要完善</w:t>
      </w:r>
      <w:r>
        <w:rPr>
          <w:rFonts w:hint="eastAsia" w:eastAsia="方正仿宋_GBK"/>
          <w:sz w:val="32"/>
          <w:szCs w:val="32"/>
        </w:rPr>
        <w:t>畜</w:t>
      </w:r>
      <w:r>
        <w:rPr>
          <w:rFonts w:eastAsia="方正仿宋_GBK"/>
          <w:sz w:val="32"/>
          <w:szCs w:val="32"/>
        </w:rPr>
        <w:t>禽产品食品安全监管体系，确保销售市场质量安全。</w:t>
      </w:r>
    </w:p>
    <w:p>
      <w:pPr>
        <w:spacing w:line="600" w:lineRule="exact"/>
        <w:ind w:firstLine="640" w:firstLineChars="200"/>
        <w:rPr>
          <w:rFonts w:eastAsia="方正楷体_GBK"/>
          <w:sz w:val="32"/>
          <w:szCs w:val="32"/>
        </w:rPr>
      </w:pPr>
      <w:r>
        <w:rPr>
          <w:rFonts w:eastAsia="方正楷体_GBK"/>
          <w:sz w:val="32"/>
          <w:szCs w:val="32"/>
        </w:rPr>
        <w:t>（</w:t>
      </w:r>
      <w:r>
        <w:rPr>
          <w:rFonts w:hint="eastAsia" w:eastAsia="方正楷体_GBK"/>
          <w:sz w:val="32"/>
          <w:szCs w:val="32"/>
        </w:rPr>
        <w:t>三</w:t>
      </w:r>
      <w:r>
        <w:rPr>
          <w:rFonts w:eastAsia="方正楷体_GBK"/>
          <w:sz w:val="32"/>
          <w:szCs w:val="32"/>
        </w:rPr>
        <w:t>）逗硬监管，强化执法检查</w:t>
      </w:r>
    </w:p>
    <w:p>
      <w:pPr>
        <w:spacing w:line="600" w:lineRule="exact"/>
        <w:ind w:firstLine="640" w:firstLineChars="200"/>
        <w:rPr>
          <w:rFonts w:hint="eastAsia" w:eastAsia="方正楷体_GBK"/>
          <w:sz w:val="32"/>
          <w:szCs w:val="32"/>
        </w:rPr>
      </w:pPr>
      <w:r>
        <w:rPr>
          <w:rFonts w:hint="eastAsia" w:eastAsia="方正仿宋_GBK"/>
          <w:sz w:val="32"/>
          <w:szCs w:val="32"/>
        </w:rPr>
        <w:t>区</w:t>
      </w:r>
      <w:r>
        <w:rPr>
          <w:rFonts w:eastAsia="方正仿宋_GBK"/>
          <w:sz w:val="32"/>
          <w:szCs w:val="32"/>
        </w:rPr>
        <w:t>级各</w:t>
      </w:r>
      <w:r>
        <w:rPr>
          <w:rFonts w:hint="eastAsia" w:eastAsia="方正仿宋_GBK"/>
          <w:sz w:val="32"/>
          <w:szCs w:val="32"/>
        </w:rPr>
        <w:t>职能</w:t>
      </w:r>
      <w:r>
        <w:rPr>
          <w:rFonts w:eastAsia="方正仿宋_GBK"/>
          <w:sz w:val="32"/>
          <w:szCs w:val="32"/>
        </w:rPr>
        <w:t>部门要各司其职、密切配合，加大行政执法力度，确保各项工作平稳有序推进。区农业农村委要强化应急处置人员的生物安全防护，严格检验检疫，积极做好畜禽养殖、屠宰、运输和交易环节的动物防疫行政执法工作。潼南市场监管局要加强对</w:t>
      </w:r>
      <w:r>
        <w:rPr>
          <w:rFonts w:hint="eastAsia" w:eastAsia="方正仿宋_GBK"/>
          <w:sz w:val="32"/>
          <w:szCs w:val="32"/>
        </w:rPr>
        <w:t>畜禽</w:t>
      </w:r>
      <w:r>
        <w:rPr>
          <w:rFonts w:eastAsia="方正仿宋_GBK"/>
          <w:sz w:val="32"/>
          <w:szCs w:val="32"/>
        </w:rPr>
        <w:t>产品销售市场的监管，</w:t>
      </w:r>
      <w:r>
        <w:rPr>
          <w:rFonts w:hint="eastAsia" w:eastAsia="方正仿宋_GBK"/>
          <w:sz w:val="32"/>
          <w:szCs w:val="32"/>
        </w:rPr>
        <w:t>特别是</w:t>
      </w:r>
      <w:r>
        <w:rPr>
          <w:rFonts w:eastAsia="方正仿宋_GBK"/>
          <w:sz w:val="32"/>
          <w:szCs w:val="32"/>
        </w:rPr>
        <w:t>对进入销售经营市场、生产加工环节的畜禽产品的监督检查，依法查验动物产品品质检验合格证（标识）、动物检疫合格证明</w:t>
      </w:r>
      <w:r>
        <w:rPr>
          <w:rFonts w:hint="eastAsia" w:eastAsia="方正仿宋_GBK"/>
          <w:sz w:val="32"/>
          <w:szCs w:val="32"/>
        </w:rPr>
        <w:t>，</w:t>
      </w:r>
      <w:r>
        <w:rPr>
          <w:rFonts w:eastAsia="方正仿宋_GBK"/>
          <w:sz w:val="32"/>
          <w:szCs w:val="32"/>
        </w:rPr>
        <w:t>维护好市场秩序。</w:t>
      </w:r>
      <w:r>
        <w:rPr>
          <w:rFonts w:hint="eastAsia" w:eastAsia="方正仿宋_GBK"/>
          <w:sz w:val="32"/>
          <w:szCs w:val="32"/>
        </w:rPr>
        <w:t>区城</w:t>
      </w:r>
      <w:r>
        <w:rPr>
          <w:rFonts w:eastAsia="方正仿宋_GBK"/>
          <w:sz w:val="32"/>
          <w:szCs w:val="32"/>
        </w:rPr>
        <w:t>管</w:t>
      </w:r>
      <w:r>
        <w:rPr>
          <w:rFonts w:hint="eastAsia" w:eastAsia="方正仿宋_GBK"/>
          <w:sz w:val="32"/>
          <w:szCs w:val="32"/>
        </w:rPr>
        <w:t>局</w:t>
      </w:r>
      <w:r>
        <w:rPr>
          <w:rFonts w:eastAsia="方正仿宋_GBK"/>
          <w:sz w:val="32"/>
          <w:szCs w:val="32"/>
        </w:rPr>
        <w:t>要严肃查处、取缔占道经营活禽交易和宰杀行为</w:t>
      </w:r>
      <w:r>
        <w:rPr>
          <w:rFonts w:hint="eastAsia" w:eastAsia="方正仿宋_GBK"/>
          <w:sz w:val="32"/>
          <w:szCs w:val="32"/>
        </w:rPr>
        <w:t>。区</w:t>
      </w:r>
      <w:r>
        <w:rPr>
          <w:rFonts w:eastAsia="方正仿宋_GBK"/>
          <w:sz w:val="32"/>
          <w:szCs w:val="32"/>
        </w:rPr>
        <w:t>公安</w:t>
      </w:r>
      <w:r>
        <w:rPr>
          <w:rFonts w:hint="eastAsia" w:eastAsia="方正仿宋_GBK"/>
          <w:sz w:val="32"/>
          <w:szCs w:val="32"/>
        </w:rPr>
        <w:t>局</w:t>
      </w:r>
      <w:r>
        <w:rPr>
          <w:rFonts w:eastAsia="方正仿宋_GBK"/>
          <w:sz w:val="32"/>
          <w:szCs w:val="32"/>
        </w:rPr>
        <w:t>、</w:t>
      </w:r>
      <w:r>
        <w:rPr>
          <w:rFonts w:hint="eastAsia" w:eastAsia="方正仿宋_GBK"/>
          <w:sz w:val="32"/>
          <w:szCs w:val="32"/>
        </w:rPr>
        <w:t>区</w:t>
      </w:r>
      <w:r>
        <w:rPr>
          <w:rFonts w:eastAsia="方正仿宋_GBK"/>
          <w:sz w:val="32"/>
          <w:szCs w:val="32"/>
        </w:rPr>
        <w:t>交</w:t>
      </w:r>
      <w:r>
        <w:rPr>
          <w:rFonts w:hint="eastAsia" w:eastAsia="方正仿宋_GBK"/>
          <w:sz w:val="32"/>
          <w:szCs w:val="32"/>
        </w:rPr>
        <w:t>通局要</w:t>
      </w:r>
      <w:r>
        <w:rPr>
          <w:rFonts w:eastAsia="方正仿宋_GBK"/>
          <w:sz w:val="32"/>
          <w:szCs w:val="32"/>
        </w:rPr>
        <w:t>依据各自职责，加大对活禽运输车辆的管控力度，严禁活禽运输车辆进入禁止区域</w:t>
      </w:r>
      <w:r>
        <w:rPr>
          <w:rFonts w:hint="eastAsia" w:eastAsia="方正仿宋_GBK"/>
          <w:sz w:val="32"/>
          <w:szCs w:val="32"/>
        </w:rPr>
        <w:t>。区</w:t>
      </w:r>
      <w:r>
        <w:rPr>
          <w:rFonts w:eastAsia="方正仿宋_GBK"/>
          <w:sz w:val="32"/>
          <w:szCs w:val="32"/>
        </w:rPr>
        <w:t>生态环境</w:t>
      </w:r>
      <w:r>
        <w:rPr>
          <w:rFonts w:hint="eastAsia" w:eastAsia="方正仿宋_GBK"/>
          <w:sz w:val="32"/>
          <w:szCs w:val="32"/>
        </w:rPr>
        <w:t>局</w:t>
      </w:r>
      <w:r>
        <w:rPr>
          <w:rFonts w:eastAsia="方正仿宋_GBK"/>
          <w:sz w:val="32"/>
          <w:szCs w:val="32"/>
        </w:rPr>
        <w:t>要加强对集中屠宰厂污染防治实施统一监督管理</w:t>
      </w:r>
      <w:r>
        <w:rPr>
          <w:rFonts w:hint="eastAsia" w:eastAsia="方正仿宋_GBK"/>
          <w:sz w:val="32"/>
          <w:szCs w:val="32"/>
        </w:rPr>
        <w:t>。区</w:t>
      </w:r>
      <w:r>
        <w:rPr>
          <w:rFonts w:eastAsia="方正仿宋_GBK"/>
          <w:sz w:val="32"/>
          <w:szCs w:val="32"/>
        </w:rPr>
        <w:t>公安</w:t>
      </w:r>
      <w:r>
        <w:rPr>
          <w:rFonts w:hint="eastAsia" w:eastAsia="方正仿宋_GBK"/>
          <w:sz w:val="32"/>
          <w:szCs w:val="32"/>
        </w:rPr>
        <w:t>局要</w:t>
      </w:r>
      <w:r>
        <w:rPr>
          <w:rFonts w:eastAsia="方正仿宋_GBK"/>
          <w:sz w:val="32"/>
          <w:szCs w:val="32"/>
        </w:rPr>
        <w:t>依法维护社会正常秩序，保障工作高效稳妥实施。</w:t>
      </w:r>
    </w:p>
    <w:p>
      <w:pPr>
        <w:spacing w:line="600" w:lineRule="exact"/>
        <w:ind w:firstLine="640" w:firstLineChars="200"/>
        <w:rPr>
          <w:rFonts w:eastAsia="方正楷体_GBK"/>
          <w:sz w:val="32"/>
          <w:szCs w:val="32"/>
        </w:rPr>
      </w:pPr>
      <w:r>
        <w:rPr>
          <w:rFonts w:eastAsia="方正楷体_GBK"/>
          <w:sz w:val="32"/>
          <w:szCs w:val="32"/>
        </w:rPr>
        <w:t>（</w:t>
      </w:r>
      <w:r>
        <w:rPr>
          <w:rFonts w:hint="eastAsia" w:eastAsia="方正楷体_GBK"/>
          <w:sz w:val="32"/>
          <w:szCs w:val="32"/>
        </w:rPr>
        <w:t>四</w:t>
      </w:r>
      <w:r>
        <w:rPr>
          <w:rFonts w:eastAsia="方正楷体_GBK"/>
          <w:sz w:val="32"/>
          <w:szCs w:val="32"/>
        </w:rPr>
        <w:t>）营造氛围，加强宣传引导</w:t>
      </w:r>
    </w:p>
    <w:p>
      <w:pPr>
        <w:spacing w:line="600" w:lineRule="exact"/>
        <w:ind w:firstLine="640" w:firstLineChars="200"/>
        <w:rPr>
          <w:rFonts w:hint="eastAsia" w:eastAsia="方正仿宋_GBK"/>
          <w:sz w:val="32"/>
          <w:szCs w:val="32"/>
        </w:rPr>
      </w:pPr>
      <w:r>
        <w:rPr>
          <w:rFonts w:eastAsia="方正仿宋_GBK"/>
          <w:sz w:val="32"/>
          <w:szCs w:val="32"/>
        </w:rPr>
        <w:t>宣传、网信等部门和各镇街要加大宣传引导力度，充分利用报刊、广播、电视、新闻网站、微博、微信公众号、宣传标语等多种渠道，加强对养殖、屠宰、销售企业和广大消费者的宣传，通过新闻发布会等方式开展政策解读，大力宣传冷鲜畜禽产品优点，引导群众形成文明健康、绿色环保的生活方式。广泛开展爱国卫生运动，加大各种传染病防控知识宣传力度，为工作推进营造良好的舆论氛围。</w:t>
      </w:r>
    </w:p>
    <w:p>
      <w:pPr>
        <w:spacing w:line="600" w:lineRule="exact"/>
        <w:ind w:firstLine="640" w:firstLineChars="200"/>
        <w:rPr>
          <w:rFonts w:hint="eastAsia" w:eastAsia="方正仿宋_GBK"/>
          <w:sz w:val="32"/>
          <w:szCs w:val="32"/>
        </w:rPr>
      </w:pPr>
    </w:p>
    <w:p>
      <w:pPr>
        <w:spacing w:line="600" w:lineRule="exact"/>
        <w:ind w:firstLine="640" w:firstLineChars="200"/>
        <w:rPr>
          <w:rFonts w:hint="eastAsia" w:eastAsia="方正仿宋_GBK"/>
          <w:sz w:val="32"/>
          <w:szCs w:val="32"/>
        </w:rPr>
      </w:pPr>
      <w:r>
        <w:rPr>
          <w:rFonts w:hint="eastAsia" w:eastAsia="方正仿宋_GBK"/>
          <w:sz w:val="32"/>
          <w:szCs w:val="32"/>
        </w:rPr>
        <w:t>附件：潼南城区外20个镇活禽交易宰杀区设置点</w:t>
      </w:r>
    </w:p>
    <w:p>
      <w:pPr>
        <w:spacing w:line="600" w:lineRule="exact"/>
        <w:rPr>
          <w:rFonts w:eastAsia="方正仿宋_GBK"/>
          <w:sz w:val="32"/>
          <w:szCs w:val="32"/>
        </w:rPr>
      </w:pPr>
    </w:p>
    <w:p>
      <w:pPr>
        <w:spacing w:line="600" w:lineRule="exact"/>
        <w:ind w:right="640" w:firstLine="640" w:firstLineChars="200"/>
        <w:jc w:val="right"/>
        <w:rPr>
          <w:rFonts w:hint="eastAsia" w:eastAsia="方正仿宋_GBK"/>
          <w:sz w:val="32"/>
          <w:szCs w:val="32"/>
        </w:rPr>
      </w:pPr>
      <w:r>
        <w:rPr>
          <w:rFonts w:hint="eastAsia" w:eastAsia="方正仿宋_GBK"/>
          <w:sz w:val="32"/>
          <w:szCs w:val="32"/>
        </w:rPr>
        <w:t xml:space="preserve">                        重庆市潼南区人民政府</w:t>
      </w:r>
    </w:p>
    <w:p>
      <w:pPr>
        <w:tabs>
          <w:tab w:val="left" w:pos="7560"/>
        </w:tabs>
        <w:spacing w:line="600" w:lineRule="exact"/>
        <w:ind w:firstLine="640" w:firstLineChars="200"/>
        <w:jc w:val="center"/>
        <w:rPr>
          <w:rFonts w:eastAsia="方正仿宋_GBK"/>
          <w:sz w:val="32"/>
          <w:szCs w:val="32"/>
        </w:rPr>
      </w:pPr>
      <w:r>
        <w:rPr>
          <w:rFonts w:hint="eastAsia" w:eastAsia="方正仿宋_GBK"/>
          <w:sz w:val="32"/>
          <w:szCs w:val="32"/>
        </w:rPr>
        <w:t xml:space="preserve">                      2020年4月3日</w:t>
      </w:r>
    </w:p>
    <w:p>
      <w:pPr>
        <w:snapToGrid w:val="0"/>
        <w:spacing w:line="600" w:lineRule="exact"/>
        <w:jc w:val="center"/>
        <w:rPr>
          <w:rFonts w:ascii="Times New Roman" w:hAnsi="Times New Roman" w:eastAsia="方正小标宋_GBK" w:cs="Times New Roman"/>
          <w:bCs/>
          <w:sz w:val="44"/>
          <w:szCs w:val="44"/>
        </w:rPr>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pPr>
    </w:p>
    <w:p>
      <w:pPr>
        <w:spacing w:line="600" w:lineRule="exact"/>
        <w:rPr>
          <w:rFonts w:hint="eastAsia" w:ascii="方正黑体_GBK" w:eastAsia="方正黑体_GBK"/>
          <w:sz w:val="32"/>
          <w:szCs w:val="32"/>
        </w:rPr>
      </w:pPr>
      <w:r>
        <w:rPr>
          <w:rFonts w:hint="eastAsia" w:ascii="方正黑体_GBK" w:eastAsia="方正黑体_GBK"/>
          <w:sz w:val="32"/>
          <w:szCs w:val="32"/>
        </w:rPr>
        <w:t>附件</w:t>
      </w:r>
    </w:p>
    <w:p>
      <w:pPr>
        <w:spacing w:line="600" w:lineRule="exact"/>
        <w:jc w:val="center"/>
        <w:rPr>
          <w:rFonts w:hint="eastAsia" w:ascii="方正小标宋_GBK" w:eastAsia="方正小标宋_GBK"/>
          <w:sz w:val="44"/>
          <w:szCs w:val="44"/>
        </w:rPr>
      </w:pPr>
    </w:p>
    <w:p>
      <w:pPr>
        <w:spacing w:line="600" w:lineRule="exact"/>
        <w:jc w:val="center"/>
        <w:rPr>
          <w:rFonts w:hint="eastAsia" w:ascii="方正小标宋_GBK" w:eastAsia="方正小标宋_GBK"/>
          <w:sz w:val="44"/>
          <w:szCs w:val="44"/>
        </w:rPr>
      </w:pPr>
      <w:r>
        <w:rPr>
          <w:rFonts w:hint="eastAsia" w:ascii="方正小标宋_GBK" w:eastAsia="方正小标宋_GBK"/>
          <w:sz w:val="44"/>
          <w:szCs w:val="44"/>
        </w:rPr>
        <w:t>潼南城区外20个镇活禽交易宰杀区设置点</w:t>
      </w:r>
    </w:p>
    <w:p>
      <w:pPr>
        <w:spacing w:line="600" w:lineRule="exact"/>
        <w:jc w:val="center"/>
        <w:rPr>
          <w:rFonts w:hint="eastAsia" w:ascii="方正小标宋_GBK" w:eastAsia="方正小标宋_GBK"/>
          <w:sz w:val="44"/>
          <w:szCs w:val="44"/>
        </w:rPr>
      </w:pPr>
    </w:p>
    <w:tbl>
      <w:tblPr>
        <w:tblStyle w:val="9"/>
        <w:tblW w:w="5000" w:type="pct"/>
        <w:tblInd w:w="0" w:type="dxa"/>
        <w:tblLayout w:type="autofit"/>
        <w:tblCellMar>
          <w:top w:w="0" w:type="dxa"/>
          <w:left w:w="108" w:type="dxa"/>
          <w:bottom w:w="0" w:type="dxa"/>
          <w:right w:w="108" w:type="dxa"/>
        </w:tblCellMar>
      </w:tblPr>
      <w:tblGrid>
        <w:gridCol w:w="689"/>
        <w:gridCol w:w="980"/>
        <w:gridCol w:w="2526"/>
        <w:gridCol w:w="3882"/>
        <w:gridCol w:w="3734"/>
        <w:gridCol w:w="1236"/>
        <w:gridCol w:w="945"/>
      </w:tblGrid>
      <w:tr>
        <w:tblPrEx>
          <w:tblCellMar>
            <w:top w:w="0" w:type="dxa"/>
            <w:left w:w="108" w:type="dxa"/>
            <w:bottom w:w="0" w:type="dxa"/>
            <w:right w:w="108" w:type="dxa"/>
          </w:tblCellMar>
        </w:tblPrEx>
        <w:trPr>
          <w:trHeight w:val="825" w:hRule="atLeast"/>
        </w:trPr>
        <w:tc>
          <w:tcPr>
            <w:tcW w:w="248" w:type="pct"/>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eastAsia" w:ascii="方正黑体_GBK" w:hAnsi="宋体" w:eastAsia="方正黑体_GBK" w:cs="宋体"/>
                <w:bCs/>
                <w:color w:val="000000"/>
                <w:kern w:val="0"/>
                <w:szCs w:val="21"/>
              </w:rPr>
            </w:pPr>
            <w:r>
              <w:rPr>
                <w:rFonts w:hint="eastAsia" w:ascii="方正黑体_GBK" w:hAnsi="宋体" w:eastAsia="方正黑体_GBK" w:cs="宋体"/>
                <w:bCs/>
                <w:color w:val="000000"/>
                <w:kern w:val="0"/>
                <w:szCs w:val="21"/>
              </w:rPr>
              <w:t>序号</w:t>
            </w:r>
          </w:p>
        </w:tc>
        <w:tc>
          <w:tcPr>
            <w:tcW w:w="352"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center"/>
              <w:rPr>
                <w:rFonts w:hint="eastAsia" w:ascii="方正黑体_GBK" w:hAnsi="宋体" w:eastAsia="方正黑体_GBK" w:cs="宋体"/>
                <w:bCs/>
                <w:color w:val="000000"/>
                <w:kern w:val="0"/>
                <w:szCs w:val="21"/>
              </w:rPr>
            </w:pPr>
            <w:r>
              <w:rPr>
                <w:rFonts w:hint="eastAsia" w:ascii="方正黑体_GBK" w:hAnsi="宋体" w:eastAsia="方正黑体_GBK" w:cs="宋体"/>
                <w:bCs/>
                <w:color w:val="000000"/>
                <w:kern w:val="0"/>
                <w:szCs w:val="21"/>
              </w:rPr>
              <w:t>镇街</w:t>
            </w:r>
          </w:p>
        </w:tc>
        <w:tc>
          <w:tcPr>
            <w:tcW w:w="893"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center"/>
              <w:rPr>
                <w:rFonts w:hint="eastAsia" w:ascii="方正黑体_GBK" w:hAnsi="宋体" w:eastAsia="方正黑体_GBK" w:cs="宋体"/>
                <w:bCs/>
                <w:color w:val="000000"/>
                <w:kern w:val="0"/>
                <w:szCs w:val="21"/>
              </w:rPr>
            </w:pPr>
            <w:r>
              <w:rPr>
                <w:rFonts w:hint="eastAsia" w:ascii="方正黑体_GBK" w:hAnsi="宋体" w:eastAsia="方正黑体_GBK" w:cs="宋体"/>
                <w:bCs/>
                <w:color w:val="000000"/>
                <w:kern w:val="0"/>
                <w:szCs w:val="21"/>
              </w:rPr>
              <w:t>市场名称</w:t>
            </w:r>
          </w:p>
        </w:tc>
        <w:tc>
          <w:tcPr>
            <w:tcW w:w="1389"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center"/>
              <w:rPr>
                <w:rFonts w:hint="eastAsia" w:ascii="方正黑体_GBK" w:hAnsi="宋体" w:eastAsia="方正黑体_GBK" w:cs="宋体"/>
                <w:bCs/>
                <w:color w:val="000000"/>
                <w:kern w:val="0"/>
                <w:szCs w:val="21"/>
              </w:rPr>
            </w:pPr>
            <w:r>
              <w:rPr>
                <w:rFonts w:hint="eastAsia" w:ascii="方正黑体_GBK" w:hAnsi="宋体" w:eastAsia="方正黑体_GBK" w:cs="宋体"/>
                <w:bCs/>
                <w:color w:val="000000"/>
                <w:kern w:val="0"/>
                <w:szCs w:val="21"/>
              </w:rPr>
              <w:t>地     点</w:t>
            </w:r>
          </w:p>
        </w:tc>
        <w:tc>
          <w:tcPr>
            <w:tcW w:w="1336"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center"/>
              <w:rPr>
                <w:rFonts w:hint="eastAsia" w:ascii="方正黑体_GBK" w:hAnsi="宋体" w:eastAsia="方正黑体_GBK" w:cs="宋体"/>
                <w:bCs/>
                <w:color w:val="000000"/>
                <w:kern w:val="0"/>
                <w:szCs w:val="21"/>
              </w:rPr>
            </w:pPr>
            <w:r>
              <w:rPr>
                <w:rFonts w:hint="eastAsia" w:ascii="方正黑体_GBK" w:hAnsi="宋体" w:eastAsia="方正黑体_GBK" w:cs="宋体"/>
                <w:bCs/>
                <w:color w:val="000000"/>
                <w:kern w:val="0"/>
                <w:szCs w:val="21"/>
              </w:rPr>
              <w:t>市场内具体位置</w:t>
            </w:r>
          </w:p>
        </w:tc>
        <w:tc>
          <w:tcPr>
            <w:tcW w:w="443" w:type="pct"/>
            <w:tcBorders>
              <w:top w:val="single" w:color="auto" w:sz="4" w:space="0"/>
              <w:left w:val="nil"/>
              <w:bottom w:val="single" w:color="auto" w:sz="4" w:space="0"/>
              <w:right w:val="single" w:color="auto" w:sz="4" w:space="0"/>
            </w:tcBorders>
            <w:shd w:val="clear" w:color="auto" w:fill="auto"/>
            <w:noWrap w:val="0"/>
            <w:vAlign w:val="center"/>
          </w:tcPr>
          <w:p>
            <w:pPr>
              <w:spacing w:line="240" w:lineRule="exact"/>
              <w:jc w:val="center"/>
              <w:rPr>
                <w:rFonts w:hint="eastAsia" w:ascii="方正黑体_GBK" w:hAnsi="宋体" w:eastAsia="方正黑体_GBK" w:cs="宋体"/>
                <w:bCs/>
                <w:color w:val="000000"/>
                <w:kern w:val="0"/>
                <w:szCs w:val="21"/>
              </w:rPr>
            </w:pPr>
            <w:r>
              <w:rPr>
                <w:rFonts w:hint="eastAsia" w:ascii="方正黑体_GBK" w:hAnsi="宋体" w:eastAsia="方正黑体_GBK" w:cs="宋体"/>
                <w:bCs/>
                <w:color w:val="000000"/>
                <w:kern w:val="0"/>
                <w:szCs w:val="21"/>
              </w:rPr>
              <w:t>面积（平方米）</w:t>
            </w:r>
          </w:p>
        </w:tc>
        <w:tc>
          <w:tcPr>
            <w:tcW w:w="339"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center"/>
              <w:rPr>
                <w:rFonts w:hint="eastAsia" w:ascii="方正黑体_GBK" w:hAnsi="宋体" w:eastAsia="方正黑体_GBK" w:cs="宋体"/>
                <w:bCs/>
                <w:color w:val="000000"/>
                <w:kern w:val="0"/>
                <w:szCs w:val="21"/>
              </w:rPr>
            </w:pPr>
            <w:r>
              <w:rPr>
                <w:rFonts w:hint="eastAsia" w:ascii="方正黑体_GBK" w:hAnsi="宋体" w:eastAsia="方正黑体_GBK" w:cs="宋体"/>
                <w:bCs/>
                <w:color w:val="000000"/>
                <w:kern w:val="0"/>
                <w:szCs w:val="21"/>
              </w:rPr>
              <w:t>备  注</w:t>
            </w: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双江</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双江镇金龙农贸市场</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双江镇文家坝</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农贸市场中区</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300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2</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柏梓</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柏梓镇踏水桥农贸市场</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柏梓镇金盆路踏水桥</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农贸市场大门右边</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200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3</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古溪</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富良园农贸市场</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古溪镇云林街</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古溪镇原粮站处</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350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4</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塘坝</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塘坝半边街农贸</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塘坝镇半街社区2组</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农贸市场内</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300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5</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小渡</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小渡农贸市场</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小渡农贸市场</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小渡农贸市场西南角</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300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6</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崇龛</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崇龛镇顶油农贸市场</w:t>
            </w:r>
          </w:p>
        </w:tc>
        <w:tc>
          <w:tcPr>
            <w:tcW w:w="1389" w:type="pct"/>
            <w:tcBorders>
              <w:top w:val="nil"/>
              <w:left w:val="nil"/>
              <w:bottom w:val="single" w:color="auto" w:sz="4" w:space="0"/>
              <w:right w:val="single" w:color="auto" w:sz="4" w:space="0"/>
            </w:tcBorders>
            <w:shd w:val="clear" w:color="auto" w:fill="auto"/>
            <w:noWrap w:val="0"/>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崇龛镇吉庆街顶油农贸市场</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顶油农贸市场107号夏氏宰杀店</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100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7</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卧佛</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太平桥农贸市场</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太平街240号后面</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原太平桥农贸市场内</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400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8</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龙形</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龙形镇农贸市场</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龙形镇鹅形村1组月亮街2号</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市场东方</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230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9</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太安</w:t>
            </w:r>
          </w:p>
        </w:tc>
        <w:tc>
          <w:tcPr>
            <w:tcW w:w="893" w:type="pct"/>
            <w:tcBorders>
              <w:top w:val="nil"/>
              <w:left w:val="nil"/>
              <w:bottom w:val="single" w:color="auto" w:sz="4" w:space="0"/>
              <w:right w:val="single" w:color="auto" w:sz="4" w:space="0"/>
            </w:tcBorders>
            <w:shd w:val="clear" w:color="auto" w:fill="auto"/>
            <w:noWrap w:val="0"/>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重庆市渝西北综合市场开发有限公司</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太安镇商业街农贸市场</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桥头1幢底楼</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140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10</w:t>
            </w:r>
          </w:p>
        </w:tc>
        <w:tc>
          <w:tcPr>
            <w:tcW w:w="352" w:type="pct"/>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田家</w:t>
            </w:r>
          </w:p>
        </w:tc>
        <w:tc>
          <w:tcPr>
            <w:tcW w:w="893" w:type="pct"/>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田家农贸市场</w:t>
            </w:r>
          </w:p>
        </w:tc>
        <w:tc>
          <w:tcPr>
            <w:tcW w:w="1389" w:type="pct"/>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黑龙社区2社</w:t>
            </w:r>
          </w:p>
        </w:tc>
        <w:tc>
          <w:tcPr>
            <w:tcW w:w="1336" w:type="pct"/>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田家农贸市场（变压器处12号摊位）</w:t>
            </w:r>
          </w:p>
        </w:tc>
        <w:tc>
          <w:tcPr>
            <w:tcW w:w="443" w:type="pct"/>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100</w:t>
            </w:r>
          </w:p>
        </w:tc>
        <w:tc>
          <w:tcPr>
            <w:tcW w:w="339" w:type="pct"/>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11</w:t>
            </w:r>
          </w:p>
        </w:tc>
        <w:tc>
          <w:tcPr>
            <w:tcW w:w="352"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玉溪</w:t>
            </w:r>
          </w:p>
        </w:tc>
        <w:tc>
          <w:tcPr>
            <w:tcW w:w="893"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玉溪镇朝阳市场</w:t>
            </w:r>
          </w:p>
        </w:tc>
        <w:tc>
          <w:tcPr>
            <w:tcW w:w="1389"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玉溪镇街村</w:t>
            </w:r>
          </w:p>
        </w:tc>
        <w:tc>
          <w:tcPr>
            <w:tcW w:w="1336"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朝阳市场西侧</w:t>
            </w:r>
          </w:p>
        </w:tc>
        <w:tc>
          <w:tcPr>
            <w:tcW w:w="443"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300</w:t>
            </w:r>
          </w:p>
        </w:tc>
        <w:tc>
          <w:tcPr>
            <w:tcW w:w="339"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12</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上和</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上和镇瑞和佳园农贸市场</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上和街道</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距家禽交易市场30米</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100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13</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米心</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米心镇家禽交易市场</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米心镇新街</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米心镇狗屎桥</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100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14</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新胜</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新胜农贸市场</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新胜镇正兴街</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农贸市场13号</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100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15</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宝龙</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宝龙镇农贸市场</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宝龙镇农贸市场</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原垃圾收集处理房下面</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240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16</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群力</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群力镇市场</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群力镇双堰社区5组</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群力镇双堰社区5组</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100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17</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别口</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别口镇农贸市场</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别口镇飞凤社区五组</w:t>
            </w:r>
          </w:p>
        </w:tc>
        <w:tc>
          <w:tcPr>
            <w:tcW w:w="13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别口镇农贸市场家禽销售区</w:t>
            </w:r>
          </w:p>
        </w:tc>
        <w:tc>
          <w:tcPr>
            <w:tcW w:w="443"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100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18</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花岩</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花岩镇农贸市场</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花岩镇农贸市场</w:t>
            </w:r>
          </w:p>
        </w:tc>
        <w:tc>
          <w:tcPr>
            <w:tcW w:w="1336" w:type="pct"/>
            <w:tcBorders>
              <w:top w:val="single" w:color="auto" w:sz="4" w:space="0"/>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活禽市场处</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100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19</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五桂</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五桂镇贸市场</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重庆市潼南区五桂镇兴隆街12号</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重庆市潼南区五桂镇兴隆街12号</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100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r>
        <w:tblPrEx>
          <w:tblCellMar>
            <w:top w:w="0" w:type="dxa"/>
            <w:left w:w="108" w:type="dxa"/>
            <w:bottom w:w="0" w:type="dxa"/>
            <w:right w:w="108" w:type="dxa"/>
          </w:tblCellMar>
        </w:tblPrEx>
        <w:trPr>
          <w:trHeight w:val="690" w:hRule="atLeast"/>
        </w:trPr>
        <w:tc>
          <w:tcPr>
            <w:tcW w:w="248" w:type="pct"/>
            <w:tcBorders>
              <w:top w:val="nil"/>
              <w:left w:val="single" w:color="auto" w:sz="4" w:space="0"/>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20</w:t>
            </w:r>
          </w:p>
        </w:tc>
        <w:tc>
          <w:tcPr>
            <w:tcW w:w="352"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寿桥</w:t>
            </w:r>
          </w:p>
        </w:tc>
        <w:tc>
          <w:tcPr>
            <w:tcW w:w="89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寿桥镇农贸市场</w:t>
            </w:r>
          </w:p>
        </w:tc>
        <w:tc>
          <w:tcPr>
            <w:tcW w:w="138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重庆市潼南区寿桥镇碉楼社区四社</w:t>
            </w:r>
          </w:p>
        </w:tc>
        <w:tc>
          <w:tcPr>
            <w:tcW w:w="1336"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寿桥镇农贸市场东北角</w:t>
            </w:r>
          </w:p>
        </w:tc>
        <w:tc>
          <w:tcPr>
            <w:tcW w:w="443"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r>
              <w:rPr>
                <w:rFonts w:hint="default" w:ascii="Times New Roman" w:hAnsi="Times New Roman" w:eastAsia="方正仿宋_GBK" w:cs="Times New Roman"/>
                <w:color w:val="000000"/>
                <w:kern w:val="0"/>
                <w:szCs w:val="21"/>
              </w:rPr>
              <w:t>300</w:t>
            </w:r>
          </w:p>
        </w:tc>
        <w:tc>
          <w:tcPr>
            <w:tcW w:w="339" w:type="pct"/>
            <w:tcBorders>
              <w:top w:val="nil"/>
              <w:left w:val="nil"/>
              <w:bottom w:val="single" w:color="auto" w:sz="4" w:space="0"/>
              <w:right w:val="single" w:color="auto" w:sz="4" w:space="0"/>
            </w:tcBorders>
            <w:shd w:val="clear" w:color="auto" w:fill="auto"/>
            <w:noWrap/>
            <w:vAlign w:val="center"/>
          </w:tcPr>
          <w:p>
            <w:pPr>
              <w:spacing w:line="240" w:lineRule="exact"/>
              <w:jc w:val="center"/>
              <w:rPr>
                <w:rFonts w:hint="default" w:ascii="Times New Roman" w:hAnsi="Times New Roman" w:eastAsia="方正仿宋_GBK" w:cs="Times New Roman"/>
                <w:color w:val="000000"/>
                <w:kern w:val="0"/>
                <w:szCs w:val="21"/>
              </w:rPr>
            </w:pPr>
          </w:p>
        </w:tc>
      </w:tr>
    </w:tbl>
    <w:p>
      <w:pPr>
        <w:snapToGrid w:val="0"/>
        <w:spacing w:line="600" w:lineRule="exact"/>
        <w:jc w:val="center"/>
        <w:rPr>
          <w:rFonts w:hint="default" w:ascii="Times New Roman" w:hAnsi="Times New Roman" w:eastAsia="方正小标宋_GBK" w:cs="Times New Roman"/>
          <w:bCs/>
          <w:sz w:val="44"/>
          <w:szCs w:val="44"/>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default"/>
          <w:lang w:val="en-US" w:eastAsia="zh-CN"/>
        </w:rPr>
      </w:pPr>
    </w:p>
    <w:sectPr>
      <w:headerReference r:id="rId5" w:type="default"/>
      <w:footerReference r:id="rId6" w:type="default"/>
      <w:pgSz w:w="16838" w:h="11906" w:orient="landscape"/>
      <w:pgMar w:top="1962" w:right="1474" w:bottom="1848" w:left="1588"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楷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方正黑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7"/>
      <w:wordWrap w:val="0"/>
      <w:ind w:left="3786" w:leftChars="1803" w:firstLine="7398" w:firstLineChars="2312"/>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5715</wp:posOffset>
              </wp:positionH>
              <wp:positionV relativeFrom="paragraph">
                <wp:posOffset>203835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45pt;margin-top:16.05pt;height:0.15pt;width:442.25pt;z-index:251660288;mso-width-relative:page;mso-height-relative:page;" filled="f" stroked="t" coordsize="21600,21600" o:gfxdata="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BqF6UDTAAAA&#10;BgEAAA8AAAAAAAAAAQAgAAAAIgAAAGRycy9kb3ducmV2LnhtbFBLAQIUABQAAAAIAIdO4kDwNi0p&#10;6QEAALUDAAAOAAAAAAAAAAEAIAAAACIBAABkcnMvZTJvRG9jLnhtbFBLBQYAAAAABgAGAFkBAAB9&#10;BQ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val="en-US" w:eastAsia="zh-CN"/>
      </w:rPr>
      <w:t xml:space="preserve">潼南区人民政府办公室发布     </w:t>
    </w:r>
  </w:p>
  <w:p>
    <w:pPr>
      <w:pStyle w:val="7"/>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7"/>
      <w:wordWrap w:val="0"/>
      <w:ind w:left="3786" w:leftChars="1803" w:firstLine="7398" w:firstLineChars="2312"/>
      <w:jc w:val="right"/>
      <w:rPr>
        <w:rFonts w:hint="eastAsia"/>
        <w:color w:val="FAFAFA"/>
        <w:sz w:val="32"/>
        <w:lang w:val="en-US" w:eastAsia="zh-CN"/>
      </w:rPr>
    </w:pPr>
    <w:r>
      <w:rPr>
        <w:color w:val="FAFAFA"/>
        <w:sz w:val="32"/>
      </w:rP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173990</wp:posOffset>
              </wp:positionV>
              <wp:extent cx="8740775" cy="2540"/>
              <wp:effectExtent l="0" t="10795" r="6985" b="17145"/>
              <wp:wrapNone/>
              <wp:docPr id="7" name="直接连接符 7"/>
              <wp:cNvGraphicFramePr/>
              <a:graphic xmlns:a="http://schemas.openxmlformats.org/drawingml/2006/main">
                <a:graphicData uri="http://schemas.microsoft.com/office/word/2010/wordprocessingShape">
                  <wps:wsp>
                    <wps:cNvCnPr/>
                    <wps:spPr>
                      <a:xfrm>
                        <a:off x="0" y="0"/>
                        <a:ext cx="8740775" cy="254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13.7pt;height:0.2pt;width:688.25pt;z-index:251663360;mso-width-relative:page;mso-height-relative:page;" filled="f" stroked="t" coordsize="21600,21600" o:gfxdata="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XutOL1AAA&#10;AAcBAAAPAAAAAAAAAAEAIAAAACIAAABkcnMvZG93bnJldi54bWxQSwECFAAUAAAACACHTuJAu64P&#10;tekBAAC1AwAADgAAAAAAAAABACAAAAAjAQAAZHJzL2Uyb0RvYy54bWxQSwUGAAAAAAYABgBZAQAA&#10;fgUAAAAA&#10;">
              <v:fill on="f" focussize="0,0"/>
              <v:stroke weight="1.75pt" color="#005192 [3204]" miterlimit="8" joinstyle="miter"/>
              <v:imagedata o:title=""/>
              <o:lock v:ext="edit" aspectratio="f"/>
            </v:line>
          </w:pict>
        </mc:Fallback>
      </mc:AlternateContent>
    </w:r>
  </w:p>
  <w:p>
    <w:pPr>
      <w:pStyle w:val="7"/>
      <w:wordWrap w:val="0"/>
      <w:jc w:val="right"/>
      <w:rPr>
        <w:rFonts w:hint="eastAsia" w:ascii="宋体" w:hAnsi="宋体" w:eastAsia="宋体" w:cs="宋体"/>
        <w:b/>
        <w:bCs/>
        <w:color w:val="005192"/>
        <w:sz w:val="28"/>
        <w:szCs w:val="44"/>
        <w:lang w:val="en-US" w:eastAsia="zh-CN"/>
      </w:rPr>
    </w:pP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val="en-US" w:eastAsia="zh-CN"/>
      </w:rPr>
      <w:t>潼南区人民政府办公室发布</w:t>
    </w:r>
    <w:r>
      <w:rPr>
        <w:rFonts w:hint="eastAsia" w:ascii="宋体" w:hAnsi="宋体" w:cs="宋体"/>
        <w:b/>
        <w:bCs/>
        <w:color w:val="005192"/>
        <w:sz w:val="28"/>
        <w:szCs w:val="44"/>
        <w:lang w:val="en-US" w:eastAsia="zh-CN"/>
      </w:rPr>
      <w:t xml:space="preserve">    </w:t>
    </w:r>
    <w:r>
      <w:rPr>
        <w:rFonts w:hint="eastAsia"/>
        <w:color w:val="FAFAFA"/>
        <w:sz w:val="32"/>
        <w:lang w:val="en-US" w:eastAsia="zh-CN"/>
      </w:rPr>
      <w:t xml:space="preserve"> </w:t>
    </w:r>
  </w:p>
  <w:p>
    <w:pPr>
      <w:pStyle w:val="7"/>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59264;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3EeSs1AAAAAgBAAAPAAAAAAAAAAEAIAAAACIAAABkcnMvZG93bnJldi54bWxQSwECFAAUAAAA&#10;CACHTuJABe67HvIBAAC9AwAADgAAAAAAAAABACAAAAAjAQAAZHJzL2Uyb0RvYy54bWxQSwUGAAAA&#10;AAYABgBZAQAAhwUAAAAA&#10;">
              <v:fill on="f" focussize="0,0"/>
              <v:stroke weight="1.75pt" color="#005192 [3204]" miterlimit="8" joinstyle="miter"/>
              <v:imagedata o:title=""/>
              <o:lock v:ext="edit" aspectratio="f"/>
            </v:line>
          </w:pict>
        </mc:Fallback>
      </mc:AlternateContent>
    </w:r>
  </w:p>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潼南区人民政府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p>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393700</wp:posOffset>
              </wp:positionV>
              <wp:extent cx="8711565" cy="7620"/>
              <wp:effectExtent l="0" t="0" r="0" b="0"/>
              <wp:wrapNone/>
              <wp:docPr id="1" name="直接连接符 1"/>
              <wp:cNvGraphicFramePr/>
              <a:graphic xmlns:a="http://schemas.openxmlformats.org/drawingml/2006/main">
                <a:graphicData uri="http://schemas.microsoft.com/office/word/2010/wordprocessingShape">
                  <wps:wsp>
                    <wps:cNvCnPr/>
                    <wps:spPr>
                      <a:xfrm>
                        <a:off x="4133850" y="864870"/>
                        <a:ext cx="8711565" cy="762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31pt;height:0.6pt;width:685.95pt;z-index:251662336;mso-width-relative:page;mso-height-relative:page;" filled="f" stroked="t" coordsize="21600,21600" o:gfxdata="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K5+JlTVAAAABwEAAA8AAAAAAAAAAQAgAAAAIgAAAGRycy9kb3ducmV2LnhtbFBLAQIU&#10;ABQAAAAIAIdO4kC2CprT9gEAAMADAAAOAAAAAAAAAAEAIAAAACQBAABkcnMvZTJvRG9jLnhtbFBL&#10;BQYAAAAABgAGAFkBAACMBQ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1430" b="11430"/>
          <wp:docPr id="2" name="图片 2"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潼南区人民政府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hhYTUyOTZlZjg2MzQ5NDRmMTM2ZWQ1ODcwYjE5OTMifQ=="/>
  </w:docVars>
  <w:rsids>
    <w:rsidRoot w:val="00172A27"/>
    <w:rsid w:val="019E71BD"/>
    <w:rsid w:val="041C42DA"/>
    <w:rsid w:val="04B679C3"/>
    <w:rsid w:val="05F07036"/>
    <w:rsid w:val="06E00104"/>
    <w:rsid w:val="080F63D8"/>
    <w:rsid w:val="09341458"/>
    <w:rsid w:val="098254C2"/>
    <w:rsid w:val="0A766EDE"/>
    <w:rsid w:val="0AD64BE8"/>
    <w:rsid w:val="0B0912D7"/>
    <w:rsid w:val="0E025194"/>
    <w:rsid w:val="152D2DCA"/>
    <w:rsid w:val="187168EA"/>
    <w:rsid w:val="196673CA"/>
    <w:rsid w:val="1B2F4AEE"/>
    <w:rsid w:val="1CF734C9"/>
    <w:rsid w:val="1DEC284C"/>
    <w:rsid w:val="1E6523AC"/>
    <w:rsid w:val="22440422"/>
    <w:rsid w:val="22BB4BBB"/>
    <w:rsid w:val="2AEB3417"/>
    <w:rsid w:val="31A15F24"/>
    <w:rsid w:val="324A1681"/>
    <w:rsid w:val="36FB1DF0"/>
    <w:rsid w:val="395347B5"/>
    <w:rsid w:val="39A232A0"/>
    <w:rsid w:val="39E745AA"/>
    <w:rsid w:val="3B5A6BBB"/>
    <w:rsid w:val="3EDA13A6"/>
    <w:rsid w:val="417B75E9"/>
    <w:rsid w:val="42F058B7"/>
    <w:rsid w:val="436109F6"/>
    <w:rsid w:val="441A38D4"/>
    <w:rsid w:val="4504239D"/>
    <w:rsid w:val="498874F2"/>
    <w:rsid w:val="4BC77339"/>
    <w:rsid w:val="4C4B374A"/>
    <w:rsid w:val="4C9236C5"/>
    <w:rsid w:val="4E250A85"/>
    <w:rsid w:val="4FFD4925"/>
    <w:rsid w:val="505C172E"/>
    <w:rsid w:val="506405EA"/>
    <w:rsid w:val="52F46F0B"/>
    <w:rsid w:val="532B6A10"/>
    <w:rsid w:val="53D8014D"/>
    <w:rsid w:val="55E064E0"/>
    <w:rsid w:val="572C6D10"/>
    <w:rsid w:val="5DC34279"/>
    <w:rsid w:val="5FCD688E"/>
    <w:rsid w:val="5FF9BDAA"/>
    <w:rsid w:val="5FFE5333"/>
    <w:rsid w:val="608816D1"/>
    <w:rsid w:val="60EF4E7F"/>
    <w:rsid w:val="648B0A32"/>
    <w:rsid w:val="665233C1"/>
    <w:rsid w:val="69AC0D42"/>
    <w:rsid w:val="6AD9688B"/>
    <w:rsid w:val="6CD11405"/>
    <w:rsid w:val="6D0E3F22"/>
    <w:rsid w:val="742E3948"/>
    <w:rsid w:val="744E4660"/>
    <w:rsid w:val="753355A2"/>
    <w:rsid w:val="759F1C61"/>
    <w:rsid w:val="769F2DE8"/>
    <w:rsid w:val="76FDEB7C"/>
    <w:rsid w:val="79C65162"/>
    <w:rsid w:val="7B0D4992"/>
    <w:rsid w:val="7C9011D9"/>
    <w:rsid w:val="7DC651C5"/>
    <w:rsid w:val="7DF350ED"/>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index 5"/>
    <w:basedOn w:val="1"/>
    <w:next w:val="1"/>
    <w:qFormat/>
    <w:uiPriority w:val="0"/>
    <w:pPr>
      <w:ind w:left="1680"/>
      <w:jc w:val="center"/>
    </w:pPr>
    <w:rPr>
      <w:rFonts w:ascii="方正楷体_GBK" w:eastAsia="方正楷体_GBK"/>
      <w:sz w:val="32"/>
    </w:rPr>
  </w:style>
  <w:style w:type="paragraph" w:styleId="4">
    <w:name w:val="annotation text"/>
    <w:basedOn w:val="1"/>
    <w:qFormat/>
    <w:uiPriority w:val="0"/>
    <w:pPr>
      <w:jc w:val="left"/>
    </w:pPr>
  </w:style>
  <w:style w:type="paragraph" w:styleId="5">
    <w:name w:val="Plain Text"/>
    <w:basedOn w:val="1"/>
    <w:uiPriority w:val="0"/>
    <w:rPr>
      <w:rFonts w:ascii="宋体" w:hAnsi="Courier New" w:eastAsia="宋体" w:cs="Courier New"/>
      <w:sz w:val="21"/>
      <w:szCs w:val="21"/>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1">
    <w:name w:val="Strong"/>
    <w:basedOn w:val="10"/>
    <w:qFormat/>
    <w:uiPriority w:val="0"/>
    <w:rPr>
      <w:b/>
      <w:bCs/>
    </w:rPr>
  </w:style>
  <w:style w:type="character" w:styleId="12">
    <w:name w:val="page number"/>
    <w:basedOn w:val="10"/>
    <w:qFormat/>
    <w:uiPriority w:val="0"/>
  </w:style>
  <w:style w:type="paragraph" w:customStyle="1" w:styleId="13">
    <w:name w:val="p0"/>
    <w:basedOn w:val="1"/>
    <w:next w:val="3"/>
    <w:qFormat/>
    <w:uiPriority w:val="0"/>
    <w:pPr>
      <w:widowControl/>
    </w:pPr>
    <w:rPr>
      <w:rFonts w:ascii="Calibri" w:hAnsi="Calibri" w:eastAsia="宋体" w:cs="宋体"/>
      <w:kern w:val="0"/>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4122</Words>
  <Characters>4214</Characters>
  <Lines>1</Lines>
  <Paragraphs>1</Paragraphs>
  <TotalTime>1</TotalTime>
  <ScaleCrop>false</ScaleCrop>
  <LinksUpToDate>false</LinksUpToDate>
  <CharactersWithSpaces>4268</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Administrator</cp:lastModifiedBy>
  <cp:lastPrinted>2022-05-12T00:46:00Z</cp:lastPrinted>
  <dcterms:modified xsi:type="dcterms:W3CDTF">2022-06-11T11:48:52Z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48C61CB29D3F4D9384F5922CF0F7FFB4</vt:lpwstr>
  </property>
</Properties>
</file>