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_GBK"/>
          <w:bCs/>
          <w:sz w:val="44"/>
          <w:szCs w:val="44"/>
        </w:rPr>
      </w:pPr>
    </w:p>
    <w:p>
      <w:pPr>
        <w:spacing w:line="600" w:lineRule="exact"/>
        <w:jc w:val="both"/>
        <w:rPr>
          <w:rFonts w:hint="eastAsia" w:eastAsia="方正小标宋_GBK"/>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eastAsia="方正小标宋_GBK"/>
          <w:bCs/>
          <w:sz w:val="44"/>
          <w:szCs w:val="44"/>
        </w:rPr>
      </w:pPr>
      <w:r>
        <w:rPr>
          <w:rFonts w:hint="eastAsia" w:eastAsia="方正小标宋_GBK"/>
          <w:bCs/>
          <w:sz w:val="44"/>
          <w:szCs w:val="44"/>
        </w:rPr>
        <w:t>重庆市潼南区人民政府办公室</w:t>
      </w:r>
    </w:p>
    <w:p>
      <w:pPr>
        <w:keepNext w:val="0"/>
        <w:keepLines w:val="0"/>
        <w:pageBreakBefore w:val="0"/>
        <w:widowControl w:val="0"/>
        <w:kinsoku/>
        <w:wordWrap/>
        <w:overflowPunct w:val="0"/>
        <w:topLinePunct w:val="0"/>
        <w:autoSpaceDE/>
        <w:autoSpaceDN/>
        <w:bidi w:val="0"/>
        <w:adjustRightInd/>
        <w:snapToGrid w:val="0"/>
        <w:spacing w:line="540" w:lineRule="exact"/>
        <w:ind w:left="3520" w:hanging="3520" w:hangingChars="800"/>
        <w:jc w:val="center"/>
        <w:textAlignment w:val="auto"/>
        <w:rPr>
          <w:rFonts w:eastAsia="方正小标宋_GBK"/>
          <w:kern w:val="32"/>
          <w:sz w:val="44"/>
          <w:szCs w:val="44"/>
        </w:rPr>
      </w:pPr>
      <w:r>
        <w:rPr>
          <w:rFonts w:hint="eastAsia" w:eastAsia="方正小标宋_GBK"/>
          <w:kern w:val="32"/>
          <w:sz w:val="44"/>
          <w:szCs w:val="44"/>
        </w:rPr>
        <w:t>关于资助困难群众参加城乡居民</w:t>
      </w:r>
    </w:p>
    <w:p>
      <w:pPr>
        <w:keepNext w:val="0"/>
        <w:keepLines w:val="0"/>
        <w:pageBreakBefore w:val="0"/>
        <w:widowControl w:val="0"/>
        <w:kinsoku/>
        <w:wordWrap/>
        <w:overflowPunct w:val="0"/>
        <w:topLinePunct w:val="0"/>
        <w:autoSpaceDE/>
        <w:autoSpaceDN/>
        <w:bidi w:val="0"/>
        <w:adjustRightInd/>
        <w:snapToGrid w:val="0"/>
        <w:spacing w:line="540" w:lineRule="exact"/>
        <w:ind w:left="3520" w:hanging="3520" w:hangingChars="800"/>
        <w:jc w:val="center"/>
        <w:textAlignment w:val="auto"/>
        <w:rPr>
          <w:rFonts w:eastAsia="方正小标宋_GBK"/>
          <w:kern w:val="32"/>
          <w:sz w:val="44"/>
          <w:szCs w:val="44"/>
        </w:rPr>
      </w:pPr>
      <w:r>
        <w:rPr>
          <w:rFonts w:hint="eastAsia" w:eastAsia="方正小标宋_GBK"/>
          <w:kern w:val="32"/>
          <w:sz w:val="44"/>
          <w:szCs w:val="44"/>
        </w:rPr>
        <w:t>医疗保险工作的通知</w:t>
      </w:r>
    </w:p>
    <w:p>
      <w:pPr>
        <w:spacing w:line="600" w:lineRule="exact"/>
        <w:jc w:val="center"/>
        <w:rPr>
          <w:szCs w:val="32"/>
        </w:rPr>
      </w:pPr>
      <w:r>
        <w:rPr>
          <w:rFonts w:hint="eastAsia"/>
          <w:szCs w:val="32"/>
        </w:rPr>
        <w:t>潼南府办发〔</w:t>
      </w:r>
      <w:r>
        <w:rPr>
          <w:szCs w:val="32"/>
        </w:rPr>
        <w:t>2021</w:t>
      </w:r>
      <w:r>
        <w:rPr>
          <w:rFonts w:hint="eastAsia"/>
          <w:szCs w:val="32"/>
        </w:rPr>
        <w:t>〕</w:t>
      </w:r>
      <w:r>
        <w:rPr>
          <w:szCs w:val="32"/>
        </w:rPr>
        <w:t>77</w:t>
      </w:r>
      <w:r>
        <w:rPr>
          <w:rFonts w:hint="eastAsia"/>
          <w:szCs w:val="32"/>
        </w:rPr>
        <w:t>号</w:t>
      </w:r>
    </w:p>
    <w:p>
      <w:pPr>
        <w:overflowPunct w:val="0"/>
        <w:spacing w:line="600" w:lineRule="exact"/>
        <w:rPr>
          <w:rFonts w:hint="eastAsia"/>
          <w:szCs w:val="32"/>
        </w:rPr>
      </w:pPr>
    </w:p>
    <w:p>
      <w:pPr>
        <w:keepNext w:val="0"/>
        <w:keepLines w:val="0"/>
        <w:pageBreakBefore w:val="0"/>
        <w:widowControl w:val="0"/>
        <w:kinsoku/>
        <w:wordWrap/>
        <w:overflowPunct w:val="0"/>
        <w:topLinePunct w:val="0"/>
        <w:bidi w:val="0"/>
        <w:spacing w:line="600" w:lineRule="exact"/>
        <w:textAlignment w:val="auto"/>
        <w:rPr>
          <w:szCs w:val="32"/>
        </w:rPr>
      </w:pPr>
      <w:r>
        <w:rPr>
          <w:rFonts w:hint="eastAsia"/>
          <w:szCs w:val="32"/>
        </w:rPr>
        <w:t>各镇人民政府、街道办事处，区政府相关部门：</w:t>
      </w:r>
    </w:p>
    <w:p>
      <w:pPr>
        <w:pStyle w:val="20"/>
        <w:keepNext w:val="0"/>
        <w:keepLines w:val="0"/>
        <w:pageBreakBefore w:val="0"/>
        <w:widowControl w:val="0"/>
        <w:kinsoku/>
        <w:wordWrap/>
        <w:topLinePunct w:val="0"/>
        <w:bidi w:val="0"/>
        <w:snapToGrid w:val="0"/>
        <w:spacing w:line="600" w:lineRule="exact"/>
        <w:ind w:firstLine="615"/>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kern w:val="32"/>
          <w:sz w:val="32"/>
          <w:szCs w:val="32"/>
        </w:rPr>
        <w:t>为全面贯彻执行上级资助困难群众参加城乡居民医疗保险政策，切实做好我区巩固拓展医疗保障脱贫攻坚成果有效衔接乡村振兴战略过渡期</w:t>
      </w:r>
      <w:r>
        <w:rPr>
          <w:rFonts w:hint="default" w:ascii="Times New Roman" w:hAnsi="Times New Roman" w:eastAsia="方正仿宋_GBK" w:cs="Times New Roman"/>
          <w:color w:val="auto"/>
          <w:kern w:val="32"/>
          <w:sz w:val="32"/>
          <w:szCs w:val="32"/>
        </w:rPr>
        <w:t>（2021年1月1日至2025年12月31日止）困难群众参保工作，解决困难群众的基本医疗保障问题。根据《重庆市民政局、重庆市财政局关于进一步做好医疗救助工作的通知》（渝民发〔2016〕63号）、《重庆市卫生和计划生育委员会、重庆市人力资源和社会保障局、重庆市财政局关于完善计划生育奖励扶助特别扶助家庭医疗保险资助政策的通知》（渝卫发〔2017〕123</w:t>
      </w:r>
      <w:r>
        <w:rPr>
          <w:rFonts w:hint="eastAsia" w:ascii="Times New Roman" w:hAnsi="Times New Roman" w:eastAsia="方正仿宋_GBK" w:cs="Times New Roman"/>
          <w:color w:val="auto"/>
          <w:kern w:val="32"/>
          <w:sz w:val="32"/>
          <w:szCs w:val="32"/>
        </w:rPr>
        <w:t>号）</w:t>
      </w:r>
      <w:r>
        <w:rPr>
          <w:rFonts w:hint="eastAsia" w:ascii="Times New Roman" w:hAnsi="Times New Roman" w:eastAsia="方正仿宋_GBK" w:cs="Times New Roman"/>
          <w:color w:val="auto"/>
          <w:sz w:val="32"/>
          <w:szCs w:val="32"/>
        </w:rPr>
        <w:t>和《重庆市医疗保障局、重庆市民政局、重庆市财政局、重庆市卫生健康委员会、国家税务总局重庆市税务局、中国银行保险监督管理委员会重庆监管局、重庆市乡村振</w:t>
      </w:r>
      <w:r>
        <w:rPr>
          <w:rFonts w:hint="eastAsia" w:ascii="Times New Roman" w:hAnsi="Times New Roman" w:eastAsia="方正仿宋_GBK" w:cs="Times New Roman"/>
          <w:color w:val="auto"/>
          <w:kern w:val="32"/>
          <w:sz w:val="32"/>
          <w:szCs w:val="32"/>
        </w:rPr>
        <w:t>兴局关于印发重庆市巩固拓展医疗保障脱贫攻坚成果有效衔接乡村振兴战略实施方案的通知》（渝医保发〔</w:t>
      </w:r>
      <w:r>
        <w:rPr>
          <w:rFonts w:ascii="Times New Roman" w:hAnsi="Times New Roman" w:eastAsia="方正仿宋_GBK" w:cs="Times New Roman"/>
          <w:color w:val="auto"/>
          <w:kern w:val="32"/>
          <w:sz w:val="32"/>
          <w:szCs w:val="32"/>
        </w:rPr>
        <w:t>2021</w:t>
      </w:r>
      <w:r>
        <w:rPr>
          <w:rFonts w:hint="eastAsia" w:ascii="Times New Roman" w:hAnsi="Times New Roman" w:eastAsia="方正仿宋_GBK" w:cs="Times New Roman"/>
          <w:color w:val="auto"/>
          <w:kern w:val="32"/>
          <w:sz w:val="32"/>
          <w:szCs w:val="32"/>
        </w:rPr>
        <w:t>〕</w:t>
      </w:r>
      <w:r>
        <w:rPr>
          <w:rFonts w:ascii="Times New Roman" w:hAnsi="Times New Roman" w:eastAsia="方正仿宋_GBK" w:cs="Times New Roman"/>
          <w:color w:val="auto"/>
          <w:kern w:val="32"/>
          <w:sz w:val="32"/>
          <w:szCs w:val="32"/>
        </w:rPr>
        <w:t>66</w:t>
      </w:r>
      <w:r>
        <w:rPr>
          <w:rFonts w:hint="eastAsia" w:ascii="Times New Roman" w:hAnsi="Times New Roman" w:eastAsia="方正仿宋_GBK" w:cs="Times New Roman"/>
          <w:color w:val="auto"/>
          <w:kern w:val="32"/>
          <w:sz w:val="32"/>
          <w:szCs w:val="32"/>
        </w:rPr>
        <w:t>号）等文件规定，结合工作实际，现将我区资助困难群众参加城乡居民医疗保险相关事宜通知如下：</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黑体_GBK"/>
          <w:kern w:val="32"/>
          <w:szCs w:val="32"/>
        </w:rPr>
      </w:pPr>
      <w:r>
        <w:rPr>
          <w:rFonts w:hint="eastAsia" w:eastAsia="方正黑体_GBK"/>
          <w:kern w:val="32"/>
          <w:szCs w:val="32"/>
        </w:rPr>
        <w:t>一、资助对象</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（一）特困人员、低保对象、城乡孤儿、事实无人抚养儿童、低保边缘户。</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（二）在乡重点优抚对象（不含</w:t>
      </w:r>
      <w:r>
        <w:rPr>
          <w:kern w:val="32"/>
          <w:szCs w:val="32"/>
        </w:rPr>
        <w:t>1-6</w:t>
      </w:r>
      <w:r>
        <w:rPr>
          <w:rFonts w:hint="eastAsia"/>
          <w:kern w:val="32"/>
          <w:szCs w:val="32"/>
        </w:rPr>
        <w:t>级残疾军人）。</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（三）持证残疾人。</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pPr>
      <w:r>
        <w:rPr>
          <w:rFonts w:hint="eastAsia"/>
          <w:kern w:val="32"/>
          <w:szCs w:val="32"/>
        </w:rPr>
        <w:t>（四）享受国家农村部分计划生育家庭奖励扶助的对象，计划生育家庭特别扶助（含农村独生子女四级残疾扶助）对象及其子女，国家计划生育特别扶助的计划生育手术并发症人员。</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（五）返贫致贫人口、脱贫不稳定户、边缘易致贫户、突发严重困难户（因病因灾因意外事故等刚性支出较大或收入大幅缩减导致基本生活出现严重困难户）、未纳入低收入人口监测范围的稳定脱贫人口。</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黑体_GBK"/>
          <w:kern w:val="32"/>
          <w:szCs w:val="32"/>
        </w:rPr>
      </w:pPr>
      <w:r>
        <w:rPr>
          <w:rFonts w:hint="eastAsia" w:eastAsia="方正黑体_GBK"/>
          <w:kern w:val="32"/>
          <w:szCs w:val="32"/>
        </w:rPr>
        <w:t>二、资助标准</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从</w:t>
      </w:r>
      <w:r>
        <w:rPr>
          <w:kern w:val="32"/>
          <w:szCs w:val="32"/>
        </w:rPr>
        <w:t>2022</w:t>
      </w:r>
      <w:r>
        <w:rPr>
          <w:rFonts w:hint="eastAsia"/>
          <w:kern w:val="32"/>
          <w:szCs w:val="32"/>
        </w:rPr>
        <w:t>年起，资助对象自愿参加城乡居民医疗保险，其个人参保资金由区财政按以下标准资助：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（一）特困人员、城乡孤儿、事实无人抚养儿童按一档个人缴费标准的</w:t>
      </w:r>
      <w:r>
        <w:rPr>
          <w:kern w:val="32"/>
          <w:szCs w:val="32"/>
        </w:rPr>
        <w:t>100%</w:t>
      </w:r>
      <w:r>
        <w:rPr>
          <w:rFonts w:hint="eastAsia"/>
          <w:kern w:val="32"/>
          <w:szCs w:val="32"/>
        </w:rPr>
        <w:t>资助。低保对象按一档个人缴费标准的</w:t>
      </w:r>
      <w:r>
        <w:rPr>
          <w:kern w:val="32"/>
          <w:szCs w:val="32"/>
        </w:rPr>
        <w:t>90%</w:t>
      </w:r>
      <w:r>
        <w:rPr>
          <w:rFonts w:hint="eastAsia"/>
          <w:kern w:val="32"/>
          <w:szCs w:val="32"/>
        </w:rPr>
        <w:t>资助，低保边缘户按一档个人缴费标准的</w:t>
      </w:r>
      <w:r>
        <w:rPr>
          <w:kern w:val="32"/>
          <w:szCs w:val="32"/>
        </w:rPr>
        <w:t>70%</w:t>
      </w:r>
      <w:r>
        <w:rPr>
          <w:rFonts w:hint="eastAsia"/>
          <w:kern w:val="32"/>
          <w:szCs w:val="32"/>
        </w:rPr>
        <w:t>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（二）在乡重点优抚对象（不含</w:t>
      </w:r>
      <w:r>
        <w:rPr>
          <w:kern w:val="32"/>
          <w:szCs w:val="32"/>
        </w:rPr>
        <w:t>1-6</w:t>
      </w:r>
      <w:r>
        <w:rPr>
          <w:rFonts w:hint="eastAsia"/>
          <w:kern w:val="32"/>
          <w:szCs w:val="32"/>
        </w:rPr>
        <w:t>级残疾军人）按一档个人缴费标准的</w:t>
      </w:r>
      <w:r>
        <w:rPr>
          <w:kern w:val="32"/>
          <w:szCs w:val="32"/>
        </w:rPr>
        <w:t>100%</w:t>
      </w:r>
      <w:r>
        <w:rPr>
          <w:rFonts w:hint="eastAsia"/>
          <w:kern w:val="32"/>
          <w:szCs w:val="32"/>
        </w:rPr>
        <w:t>资助，其中老复员军人自愿参加二档的，按二档个人缴费标准的</w:t>
      </w:r>
      <w:r>
        <w:rPr>
          <w:kern w:val="32"/>
          <w:szCs w:val="32"/>
        </w:rPr>
        <w:t>100%</w:t>
      </w:r>
      <w:r>
        <w:rPr>
          <w:rFonts w:hint="eastAsia"/>
          <w:kern w:val="32"/>
          <w:szCs w:val="32"/>
        </w:rPr>
        <w:t>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（三）一、二级持证残疾人按一档个人缴费标准的</w:t>
      </w:r>
      <w:r>
        <w:rPr>
          <w:kern w:val="32"/>
          <w:szCs w:val="32"/>
        </w:rPr>
        <w:t>90%</w:t>
      </w:r>
      <w:r>
        <w:rPr>
          <w:rFonts w:hint="eastAsia"/>
          <w:kern w:val="32"/>
          <w:szCs w:val="32"/>
        </w:rPr>
        <w:t>资助；三、四级持证残疾人按一档个人缴费标准的</w:t>
      </w:r>
      <w:r>
        <w:rPr>
          <w:kern w:val="32"/>
          <w:szCs w:val="32"/>
        </w:rPr>
        <w:t>60%</w:t>
      </w:r>
      <w:r>
        <w:rPr>
          <w:rFonts w:hint="eastAsia"/>
          <w:kern w:val="32"/>
          <w:szCs w:val="32"/>
        </w:rPr>
        <w:t>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（四）享受国家农村部分计划生育家庭奖励扶助对象本人参保的按一档个人缴费标准的</w:t>
      </w:r>
      <w:r>
        <w:rPr>
          <w:kern w:val="32"/>
          <w:szCs w:val="32"/>
        </w:rPr>
        <w:t>80%</w:t>
      </w:r>
      <w:r>
        <w:rPr>
          <w:rFonts w:hint="eastAsia"/>
          <w:kern w:val="32"/>
          <w:szCs w:val="32"/>
        </w:rPr>
        <w:t>资助，计划生育家庭特别扶助（含农村独生子女四级残疾扶助）对象及其子女、计划生育</w:t>
      </w:r>
      <w:r>
        <w:rPr>
          <w:rFonts w:hint="eastAsia"/>
        </w:rPr>
        <w:t>手术并发症人员</w:t>
      </w:r>
      <w:r>
        <w:rPr>
          <w:rFonts w:hint="eastAsia"/>
          <w:kern w:val="32"/>
          <w:szCs w:val="32"/>
        </w:rPr>
        <w:t>本人参保的按一档个人缴费标准的</w:t>
      </w:r>
      <w:r>
        <w:rPr>
          <w:kern w:val="32"/>
          <w:szCs w:val="32"/>
        </w:rPr>
        <w:t>100%</w:t>
      </w:r>
      <w:r>
        <w:rPr>
          <w:rFonts w:hint="eastAsia"/>
          <w:kern w:val="32"/>
          <w:szCs w:val="32"/>
        </w:rPr>
        <w:t>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（五）返贫致贫人口、脱贫不稳定户、边缘易致贫户、突发严重困难户按一档个人缴费标准的</w:t>
      </w:r>
      <w:r>
        <w:rPr>
          <w:kern w:val="32"/>
          <w:szCs w:val="32"/>
        </w:rPr>
        <w:t>70%</w:t>
      </w:r>
      <w:r>
        <w:rPr>
          <w:rFonts w:hint="eastAsia"/>
          <w:kern w:val="32"/>
          <w:szCs w:val="32"/>
        </w:rPr>
        <w:t>资助。未纳入低收入人口监测范围的稳定脱贫人口，执行资助参保渐退政策，对其参加</w:t>
      </w:r>
      <w:r>
        <w:rPr>
          <w:kern w:val="32"/>
          <w:szCs w:val="32"/>
        </w:rPr>
        <w:t>2022</w:t>
      </w:r>
      <w:r>
        <w:rPr>
          <w:rFonts w:hint="eastAsia"/>
          <w:kern w:val="32"/>
          <w:szCs w:val="32"/>
        </w:rPr>
        <w:t>年、</w:t>
      </w:r>
      <w:r>
        <w:rPr>
          <w:kern w:val="32"/>
          <w:szCs w:val="32"/>
        </w:rPr>
        <w:t>2023</w:t>
      </w:r>
      <w:r>
        <w:rPr>
          <w:rFonts w:hint="eastAsia"/>
          <w:kern w:val="32"/>
          <w:szCs w:val="32"/>
        </w:rPr>
        <w:t>年城乡居民医疗保险的，分别按</w:t>
      </w:r>
      <w:r>
        <w:rPr>
          <w:kern w:val="32"/>
          <w:szCs w:val="32"/>
        </w:rPr>
        <w:t>100</w:t>
      </w:r>
      <w:r>
        <w:rPr>
          <w:rFonts w:hint="eastAsia"/>
          <w:kern w:val="32"/>
          <w:szCs w:val="32"/>
        </w:rPr>
        <w:t>元、</w:t>
      </w:r>
      <w:r>
        <w:rPr>
          <w:kern w:val="32"/>
          <w:szCs w:val="32"/>
        </w:rPr>
        <w:t>50</w:t>
      </w:r>
      <w:r>
        <w:rPr>
          <w:rFonts w:hint="eastAsia"/>
          <w:kern w:val="32"/>
          <w:szCs w:val="32"/>
        </w:rPr>
        <w:t>元标准给予定额资助，</w:t>
      </w:r>
      <w:r>
        <w:rPr>
          <w:kern w:val="32"/>
          <w:szCs w:val="32"/>
        </w:rPr>
        <w:t>2024</w:t>
      </w:r>
      <w:r>
        <w:rPr>
          <w:rFonts w:hint="eastAsia"/>
          <w:kern w:val="32"/>
          <w:szCs w:val="32"/>
        </w:rPr>
        <w:t>年按规定退出，不再享受资助参保政策。</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kern w:val="32"/>
          <w:szCs w:val="32"/>
        </w:rPr>
        <w:t>低保对象、低保边缘户，一、二级持证残疾人，返贫致贫人口、脱贫不稳定户、边缘易致贫户、突发严重困难户，若自愿参加城乡居民医疗保险二档的，统一按一档个人缴费标准的</w:t>
      </w:r>
      <w:r>
        <w:rPr>
          <w:kern w:val="32"/>
          <w:szCs w:val="32"/>
        </w:rPr>
        <w:t>100%</w:t>
      </w:r>
      <w:r>
        <w:rPr>
          <w:rFonts w:hint="eastAsia"/>
          <w:kern w:val="32"/>
          <w:szCs w:val="32"/>
        </w:rPr>
        <w:t>给予资助。其他人员若自愿参加城乡居民医疗保险二档的，仍按照一档相应标准比例进行资助。资助对象是多重身份的，按“就高不就低”的原则，享受参保资助政策。</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黑体_GBK"/>
          <w:kern w:val="32"/>
          <w:szCs w:val="32"/>
        </w:rPr>
      </w:pPr>
      <w:r>
        <w:rPr>
          <w:rFonts w:hint="eastAsia" w:eastAsia="方正黑体_GBK"/>
          <w:kern w:val="32"/>
          <w:szCs w:val="32"/>
        </w:rPr>
        <w:t>三、资助时段</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16" w:firstLineChars="200"/>
        <w:jc w:val="both"/>
        <w:textAlignment w:val="auto"/>
        <w:rPr>
          <w:rFonts w:ascii="Times New Roman" w:hAnsi="Times New Roman" w:eastAsia="方正仿宋_GBK"/>
          <w:spacing w:val="-6"/>
          <w:kern w:val="32"/>
          <w:sz w:val="32"/>
        </w:rPr>
      </w:pPr>
      <w:r>
        <w:rPr>
          <w:rFonts w:hint="eastAsia" w:ascii="Times New Roman" w:hAnsi="Times New Roman" w:eastAsia="方正仿宋_GBK"/>
          <w:spacing w:val="-6"/>
          <w:kern w:val="32"/>
          <w:sz w:val="32"/>
        </w:rPr>
        <w:t>资助城乡困难群众参加城乡居民医疗保险时间分为两个阶段：</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kern w:val="32"/>
          <w:sz w:val="32"/>
        </w:rPr>
      </w:pPr>
      <w:r>
        <w:rPr>
          <w:rFonts w:hint="eastAsia" w:ascii="Times New Roman" w:hAnsi="Times New Roman" w:eastAsia="方正仿宋_GBK"/>
          <w:kern w:val="32"/>
          <w:sz w:val="32"/>
        </w:rPr>
        <w:t>第一阶段：集中参保时间的参保资助。即上年的</w:t>
      </w:r>
      <w:r>
        <w:rPr>
          <w:rFonts w:ascii="Times New Roman" w:hAnsi="Times New Roman" w:eastAsia="方正仿宋_GBK"/>
          <w:kern w:val="32"/>
          <w:sz w:val="32"/>
        </w:rPr>
        <w:t>9</w:t>
      </w:r>
      <w:r>
        <w:rPr>
          <w:rFonts w:hint="eastAsia" w:ascii="Times New Roman" w:hAnsi="Times New Roman" w:eastAsia="方正仿宋_GBK"/>
          <w:kern w:val="32"/>
          <w:sz w:val="32"/>
        </w:rPr>
        <w:t>月</w:t>
      </w:r>
      <w:r>
        <w:rPr>
          <w:rFonts w:ascii="Times New Roman" w:hAnsi="Times New Roman" w:eastAsia="方正仿宋_GBK"/>
          <w:kern w:val="32"/>
          <w:sz w:val="32"/>
        </w:rPr>
        <w:t>1</w:t>
      </w:r>
      <w:r>
        <w:rPr>
          <w:rFonts w:hint="eastAsia" w:ascii="Times New Roman" w:hAnsi="Times New Roman" w:eastAsia="方正仿宋_GBK"/>
          <w:kern w:val="32"/>
          <w:sz w:val="32"/>
        </w:rPr>
        <w:t>日起至</w:t>
      </w:r>
      <w:r>
        <w:rPr>
          <w:rFonts w:ascii="Times New Roman" w:hAnsi="Times New Roman" w:eastAsia="方正仿宋_GBK"/>
          <w:kern w:val="32"/>
          <w:sz w:val="32"/>
        </w:rPr>
        <w:t>12</w:t>
      </w:r>
      <w:r>
        <w:rPr>
          <w:rFonts w:hint="eastAsia" w:ascii="Times New Roman" w:hAnsi="Times New Roman" w:eastAsia="方正仿宋_GBK"/>
          <w:kern w:val="32"/>
          <w:sz w:val="32"/>
        </w:rPr>
        <w:t>月</w:t>
      </w:r>
      <w:r>
        <w:rPr>
          <w:rFonts w:ascii="Times New Roman" w:hAnsi="Times New Roman" w:eastAsia="方正仿宋_GBK"/>
          <w:kern w:val="32"/>
          <w:sz w:val="32"/>
        </w:rPr>
        <w:t>31</w:t>
      </w:r>
      <w:r>
        <w:rPr>
          <w:rFonts w:hint="eastAsia" w:ascii="Times New Roman" w:hAnsi="Times New Roman" w:eastAsia="方正仿宋_GBK"/>
          <w:kern w:val="32"/>
          <w:sz w:val="32"/>
        </w:rPr>
        <w:t>日止，该阶段为当年城乡居民医疗保险参保缴费资助批量办理。</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kern w:val="32"/>
          <w:sz w:val="32"/>
        </w:rPr>
      </w:pPr>
      <w:r>
        <w:rPr>
          <w:rFonts w:hint="eastAsia" w:ascii="Times New Roman" w:hAnsi="Times New Roman" w:eastAsia="方正仿宋_GBK"/>
          <w:kern w:val="32"/>
          <w:sz w:val="32"/>
        </w:rPr>
        <w:t>第二阶段：当年参保时间的参保资助。城乡居民医疗保险当年的</w:t>
      </w:r>
      <w:r>
        <w:rPr>
          <w:rFonts w:ascii="Times New Roman" w:hAnsi="Times New Roman" w:eastAsia="方正仿宋_GBK"/>
          <w:kern w:val="32"/>
          <w:sz w:val="32"/>
        </w:rPr>
        <w:t>1</w:t>
      </w:r>
      <w:r>
        <w:rPr>
          <w:rFonts w:hint="eastAsia" w:ascii="Times New Roman" w:hAnsi="Times New Roman" w:eastAsia="方正仿宋_GBK"/>
          <w:kern w:val="32"/>
          <w:sz w:val="32"/>
        </w:rPr>
        <w:t>月</w:t>
      </w:r>
      <w:r>
        <w:rPr>
          <w:rFonts w:ascii="Times New Roman" w:hAnsi="Times New Roman" w:eastAsia="方正仿宋_GBK"/>
          <w:kern w:val="32"/>
          <w:sz w:val="32"/>
        </w:rPr>
        <w:t>1</w:t>
      </w:r>
      <w:r>
        <w:rPr>
          <w:rFonts w:hint="eastAsia" w:ascii="Times New Roman" w:hAnsi="Times New Roman" w:eastAsia="方正仿宋_GBK"/>
          <w:kern w:val="32"/>
          <w:sz w:val="32"/>
        </w:rPr>
        <w:t>日起至</w:t>
      </w:r>
      <w:r>
        <w:rPr>
          <w:rFonts w:ascii="Times New Roman" w:hAnsi="Times New Roman" w:eastAsia="方正仿宋_GBK"/>
          <w:kern w:val="32"/>
          <w:sz w:val="32"/>
        </w:rPr>
        <w:t>6</w:t>
      </w:r>
      <w:r>
        <w:rPr>
          <w:rFonts w:hint="eastAsia" w:ascii="Times New Roman" w:hAnsi="Times New Roman" w:eastAsia="方正仿宋_GBK"/>
          <w:kern w:val="32"/>
          <w:sz w:val="32"/>
        </w:rPr>
        <w:t>月</w:t>
      </w:r>
      <w:r>
        <w:rPr>
          <w:rFonts w:ascii="Times New Roman" w:hAnsi="Times New Roman" w:eastAsia="方正仿宋_GBK"/>
          <w:kern w:val="32"/>
          <w:sz w:val="32"/>
        </w:rPr>
        <w:t>30</w:t>
      </w:r>
      <w:r>
        <w:rPr>
          <w:rFonts w:hint="eastAsia" w:ascii="Times New Roman" w:hAnsi="Times New Roman" w:eastAsia="方正仿宋_GBK"/>
          <w:kern w:val="32"/>
          <w:sz w:val="32"/>
        </w:rPr>
        <w:t>日止，该阶段为每月办理。</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kern w:val="32"/>
          <w:sz w:val="32"/>
        </w:rPr>
      </w:pPr>
      <w:r>
        <w:rPr>
          <w:rFonts w:hint="eastAsia" w:ascii="Times New Roman" w:hAnsi="Times New Roman" w:eastAsia="方正仿宋_GBK"/>
          <w:kern w:val="32"/>
          <w:sz w:val="32"/>
        </w:rPr>
        <w:t>过渡期内，民政部门认定的特困人员、低保对象、低保边缘户，乡村振兴部门认定的返贫致贫人口、脱贫不稳定户、边缘易致贫户、突发严重困难户动态纳入基本医疗保险覆盖范围，实现低收入人口全面参保。上述人员在</w:t>
      </w:r>
      <w:r>
        <w:rPr>
          <w:rFonts w:ascii="Times New Roman" w:hAnsi="Times New Roman" w:eastAsia="方正仿宋_GBK"/>
          <w:kern w:val="32"/>
          <w:sz w:val="32"/>
        </w:rPr>
        <w:t>7</w:t>
      </w:r>
      <w:r>
        <w:rPr>
          <w:rFonts w:hint="eastAsia" w:ascii="Times New Roman" w:hAnsi="Times New Roman" w:eastAsia="方正仿宋_GBK"/>
          <w:kern w:val="32"/>
          <w:sz w:val="32"/>
        </w:rPr>
        <w:t>月</w:t>
      </w:r>
      <w:r>
        <w:rPr>
          <w:rFonts w:ascii="Times New Roman" w:hAnsi="Times New Roman" w:eastAsia="方正仿宋_GBK"/>
          <w:kern w:val="32"/>
          <w:sz w:val="32"/>
        </w:rPr>
        <w:t>1</w:t>
      </w:r>
      <w:r>
        <w:rPr>
          <w:rFonts w:hint="eastAsia" w:ascii="Times New Roman" w:hAnsi="Times New Roman" w:eastAsia="方正仿宋_GBK"/>
          <w:kern w:val="32"/>
          <w:sz w:val="32"/>
        </w:rPr>
        <w:t>日至</w:t>
      </w:r>
      <w:r>
        <w:rPr>
          <w:rFonts w:ascii="Times New Roman" w:hAnsi="Times New Roman" w:eastAsia="方正仿宋_GBK"/>
          <w:kern w:val="32"/>
          <w:sz w:val="32"/>
        </w:rPr>
        <w:t>12</w:t>
      </w:r>
      <w:r>
        <w:rPr>
          <w:rFonts w:hint="eastAsia" w:ascii="Times New Roman" w:hAnsi="Times New Roman" w:eastAsia="方正仿宋_GBK"/>
          <w:kern w:val="32"/>
          <w:sz w:val="32"/>
        </w:rPr>
        <w:t>月</w:t>
      </w:r>
      <w:r>
        <w:rPr>
          <w:rFonts w:ascii="Times New Roman" w:hAnsi="Times New Roman" w:eastAsia="方正仿宋_GBK"/>
          <w:kern w:val="32"/>
          <w:sz w:val="32"/>
        </w:rPr>
        <w:t>31</w:t>
      </w:r>
      <w:r>
        <w:rPr>
          <w:rFonts w:hint="eastAsia" w:ascii="Times New Roman" w:hAnsi="Times New Roman" w:eastAsia="方正仿宋_GBK"/>
          <w:kern w:val="32"/>
          <w:sz w:val="32"/>
        </w:rPr>
        <w:t>日期间参加当年城乡居民医疗保险，参保个人缴费资助部分由医疗救助资金解决，参保财政补助部分，由区财政另安排专项资金落实。</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黑体_GBK"/>
          <w:kern w:val="32"/>
          <w:szCs w:val="32"/>
        </w:rPr>
      </w:pPr>
      <w:r>
        <w:rPr>
          <w:rFonts w:hint="eastAsia" w:eastAsia="方正黑体_GBK"/>
          <w:kern w:val="32"/>
          <w:szCs w:val="32"/>
        </w:rPr>
        <w:t>四、资助流程</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楷体_GBK"/>
          <w:kern w:val="32"/>
          <w:szCs w:val="32"/>
        </w:rPr>
      </w:pPr>
      <w:r>
        <w:rPr>
          <w:rFonts w:hint="eastAsia" w:eastAsia="方正楷体_GBK"/>
          <w:kern w:val="32"/>
          <w:szCs w:val="32"/>
        </w:rPr>
        <w:t>（一）数据提供</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cs="方正黑体_GBK"/>
          <w:bCs/>
          <w:kern w:val="32"/>
          <w:sz w:val="32"/>
        </w:rPr>
      </w:pPr>
      <w:r>
        <w:rPr>
          <w:rFonts w:hint="eastAsia" w:ascii="Times New Roman" w:hAnsi="Times New Roman" w:eastAsia="方正仿宋_GBK"/>
          <w:kern w:val="32"/>
          <w:sz w:val="32"/>
        </w:rPr>
        <w:t>相关职能部门负责按规定核实资助对象身份，于集中参保时间开始的上月（即</w:t>
      </w:r>
      <w:r>
        <w:rPr>
          <w:rFonts w:ascii="Times New Roman" w:hAnsi="Times New Roman" w:eastAsia="方正仿宋_GBK"/>
          <w:kern w:val="32"/>
          <w:sz w:val="32"/>
        </w:rPr>
        <w:t>8</w:t>
      </w:r>
      <w:r>
        <w:rPr>
          <w:rFonts w:hint="eastAsia" w:ascii="Times New Roman" w:hAnsi="Times New Roman" w:eastAsia="方正仿宋_GBK"/>
          <w:kern w:val="32"/>
          <w:sz w:val="32"/>
        </w:rPr>
        <w:t>月）底前，将本部门确认的符合资助条件的人群身份标识，批量提供医保部门，作为集中资助参保对象数据。对</w:t>
      </w:r>
      <w:r>
        <w:rPr>
          <w:rFonts w:ascii="Times New Roman" w:hAnsi="Times New Roman" w:eastAsia="方正仿宋_GBK"/>
          <w:kern w:val="32"/>
          <w:sz w:val="32"/>
        </w:rPr>
        <w:t>9</w:t>
      </w:r>
      <w:r>
        <w:rPr>
          <w:rFonts w:hint="eastAsia" w:ascii="Times New Roman" w:hAnsi="Times New Roman" w:eastAsia="方正仿宋_GBK"/>
          <w:kern w:val="32"/>
          <w:sz w:val="32"/>
        </w:rPr>
        <w:t>月</w:t>
      </w:r>
      <w:r>
        <w:rPr>
          <w:rFonts w:ascii="Times New Roman" w:hAnsi="Times New Roman" w:eastAsia="方正仿宋_GBK"/>
          <w:kern w:val="32"/>
          <w:sz w:val="32"/>
        </w:rPr>
        <w:t>1</w:t>
      </w:r>
      <w:r>
        <w:rPr>
          <w:rFonts w:hint="eastAsia" w:ascii="Times New Roman" w:hAnsi="Times New Roman" w:eastAsia="方正仿宋_GBK"/>
          <w:kern w:val="32"/>
          <w:sz w:val="32"/>
        </w:rPr>
        <w:t>日后新增的资助人群身份标识，根据资助时段于每月</w:t>
      </w:r>
      <w:r>
        <w:rPr>
          <w:rFonts w:ascii="Times New Roman" w:hAnsi="Times New Roman" w:eastAsia="方正仿宋_GBK"/>
          <w:kern w:val="32"/>
          <w:sz w:val="32"/>
        </w:rPr>
        <w:t>20</w:t>
      </w:r>
      <w:r>
        <w:rPr>
          <w:rFonts w:hint="eastAsia" w:ascii="Times New Roman" w:hAnsi="Times New Roman" w:eastAsia="方正仿宋_GBK"/>
          <w:kern w:val="32"/>
          <w:sz w:val="32"/>
        </w:rPr>
        <w:t>日前按月提供医保部门作为当年资助参保对象数据。</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楷体_GBK"/>
          <w:kern w:val="32"/>
          <w:szCs w:val="32"/>
        </w:rPr>
      </w:pPr>
      <w:r>
        <w:rPr>
          <w:rFonts w:hint="eastAsia" w:eastAsia="方正楷体_GBK"/>
          <w:kern w:val="32"/>
          <w:szCs w:val="32"/>
        </w:rPr>
        <w:t>（二）实施资助</w:t>
      </w:r>
    </w:p>
    <w:p>
      <w:pPr>
        <w:pStyle w:val="8"/>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cs="宋体"/>
          <w:kern w:val="32"/>
          <w:sz w:val="32"/>
        </w:rPr>
      </w:pPr>
      <w:r>
        <w:rPr>
          <w:rFonts w:hint="eastAsia" w:ascii="Times New Roman" w:hAnsi="Times New Roman" w:eastAsia="方正仿宋_GBK"/>
          <w:kern w:val="32"/>
          <w:sz w:val="32"/>
        </w:rPr>
        <w:t>医保部门将部门提供的资助人群身份标识，在医保信息系统中做好标识并实时传递给税务部门，作为配置资助参保对象缴费标准的依据。税务部门根据传递的身份标识信息生成参保个人应缴费数据进行征收。</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cs="宋体"/>
          <w:kern w:val="32"/>
        </w:rPr>
      </w:pPr>
      <w:r>
        <w:rPr>
          <w:rFonts w:hint="eastAsia" w:cs="宋体"/>
          <w:kern w:val="32"/>
        </w:rPr>
        <w:t>资助参保缴费期截止后，税务部门将系统内带资助标记且已参保资助人员名单，应资助金额等资助信息分别提交资助参保部门。资助参保部门根据人员分类向税务部门划拨资助款。</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eastAsia="方正黑体_GBK"/>
          <w:kern w:val="32"/>
          <w:szCs w:val="32"/>
        </w:rPr>
      </w:pPr>
      <w:r>
        <w:rPr>
          <w:rFonts w:hint="eastAsia" w:eastAsia="方正黑体_GBK"/>
          <w:kern w:val="32"/>
          <w:szCs w:val="32"/>
        </w:rPr>
        <w:t>五、工作要求</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spacing w:val="-6"/>
          <w:kern w:val="32"/>
          <w:szCs w:val="32"/>
        </w:rPr>
      </w:pPr>
      <w:r>
        <w:rPr>
          <w:rFonts w:hint="eastAsia" w:eastAsia="方正楷体_GBK"/>
          <w:kern w:val="32"/>
          <w:szCs w:val="32"/>
        </w:rPr>
        <w:t>（一）落实专人，加强宣传。</w:t>
      </w:r>
      <w:r>
        <w:rPr>
          <w:rFonts w:hint="eastAsia"/>
          <w:kern w:val="32"/>
          <w:szCs w:val="32"/>
        </w:rPr>
        <w:t>各镇街要切实担负主体责任，</w:t>
      </w:r>
      <w:r>
        <w:rPr>
          <w:rFonts w:hint="eastAsia"/>
          <w:spacing w:val="-6"/>
          <w:kern w:val="32"/>
          <w:szCs w:val="32"/>
        </w:rPr>
        <w:t>指定专人、集中力量、措施到位，入户做好参保缴费宣传动员工作。</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eastAsia="方正楷体_GBK"/>
          <w:kern w:val="32"/>
          <w:szCs w:val="32"/>
        </w:rPr>
        <w:t>（二）精准识别，按期完成。</w:t>
      </w:r>
      <w:r>
        <w:rPr>
          <w:rFonts w:hint="eastAsia"/>
          <w:kern w:val="32"/>
          <w:szCs w:val="32"/>
        </w:rPr>
        <w:t>各镇街要严格按照资助标准核实参保人员信息，精准识别资助对象，把握好时间节点，按时提交信息，确保</w:t>
      </w:r>
      <w:r>
        <w:rPr>
          <w:rFonts w:hint="eastAsia"/>
          <w:kern w:val="32"/>
        </w:rPr>
        <w:t>低收入人口全面参保</w:t>
      </w:r>
      <w:r>
        <w:rPr>
          <w:rFonts w:hint="eastAsia"/>
          <w:kern w:val="32"/>
          <w:szCs w:val="32"/>
        </w:rPr>
        <w:t>。</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szCs w:val="32"/>
        </w:rPr>
      </w:pPr>
      <w:r>
        <w:rPr>
          <w:rFonts w:hint="eastAsia" w:eastAsia="方正楷体_GBK"/>
          <w:kern w:val="32"/>
          <w:szCs w:val="32"/>
        </w:rPr>
        <w:t>（三）加强协调，确保到位。</w:t>
      </w:r>
      <w:r>
        <w:rPr>
          <w:rFonts w:hint="eastAsia"/>
          <w:kern w:val="32"/>
          <w:szCs w:val="32"/>
        </w:rPr>
        <w:t>区财政局、区民政局、区卫生健康委、区退役军人事务局、区乡村振兴局、区残联、潼南税务局等相关部门要加强协调配合，积极主动作为，确保符合条件的资助对象及时获得参保资助。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rPr>
      </w:pPr>
      <w:r>
        <w:rPr>
          <w:rFonts w:hint="eastAsia" w:eastAsia="方正楷体_GBK"/>
          <w:kern w:val="32"/>
          <w:szCs w:val="32"/>
        </w:rPr>
        <w:t>（四）提高认识，严肃追责。</w:t>
      </w:r>
      <w:r>
        <w:rPr>
          <w:rFonts w:hint="eastAsia"/>
          <w:kern w:val="32"/>
        </w:rPr>
        <w:t>在此项工作中，若因困难群众未参加城乡居民基本医疗保险而影响到其享受相关政策的，要严肃追责问责。</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kern w:val="32"/>
        </w:rPr>
      </w:pPr>
      <w:r>
        <w:rPr>
          <w:rFonts w:hint="eastAsia"/>
          <w:kern w:val="32"/>
        </w:rPr>
        <w:t>本通知自公布之日起执行，《重庆市潼南区人民政府办公室关于资助困难群众参加城乡居民合作医疗保险工作的通知》（潼南府办发〔</w:t>
      </w:r>
      <w:r>
        <w:rPr>
          <w:kern w:val="32"/>
        </w:rPr>
        <w:t>2020</w:t>
      </w:r>
      <w:r>
        <w:rPr>
          <w:rFonts w:hint="eastAsia"/>
          <w:kern w:val="32"/>
        </w:rPr>
        <w:t>〕</w:t>
      </w:r>
      <w:r>
        <w:rPr>
          <w:kern w:val="32"/>
        </w:rPr>
        <w:t>74</w:t>
      </w:r>
      <w:r>
        <w:rPr>
          <w:rFonts w:hint="eastAsia"/>
          <w:kern w:val="32"/>
        </w:rPr>
        <w:t>号</w:t>
      </w:r>
      <w:r>
        <w:rPr>
          <w:rFonts w:hint="eastAsia"/>
          <w:szCs w:val="32"/>
        </w:rPr>
        <w:t>）</w:t>
      </w:r>
      <w:r>
        <w:rPr>
          <w:rFonts w:hint="eastAsia"/>
          <w:kern w:val="32"/>
        </w:rPr>
        <w:t>同时废止。</w:t>
      </w:r>
    </w:p>
    <w:p>
      <w:pPr>
        <w:keepNext w:val="0"/>
        <w:keepLines w:val="0"/>
        <w:pageBreakBefore w:val="0"/>
        <w:widowControl w:val="0"/>
        <w:kinsoku/>
        <w:wordWrap/>
        <w:topLinePunct w:val="0"/>
        <w:bidi w:val="0"/>
        <w:spacing w:line="600" w:lineRule="exact"/>
        <w:jc w:val="right"/>
        <w:textAlignment w:val="auto"/>
        <w:rPr>
          <w:szCs w:val="32"/>
        </w:rPr>
      </w:pPr>
    </w:p>
    <w:p>
      <w:pPr>
        <w:keepNext w:val="0"/>
        <w:keepLines w:val="0"/>
        <w:pageBreakBefore w:val="0"/>
        <w:widowControl w:val="0"/>
        <w:kinsoku/>
        <w:wordWrap/>
        <w:topLinePunct w:val="0"/>
        <w:bidi w:val="0"/>
        <w:spacing w:line="600" w:lineRule="exact"/>
        <w:jc w:val="right"/>
        <w:textAlignment w:val="auto"/>
        <w:rPr>
          <w:szCs w:val="32"/>
        </w:rPr>
      </w:pPr>
    </w:p>
    <w:p>
      <w:pPr>
        <w:keepNext w:val="0"/>
        <w:keepLines w:val="0"/>
        <w:pageBreakBefore w:val="0"/>
        <w:widowControl w:val="0"/>
        <w:kinsoku/>
        <w:wordWrap/>
        <w:topLinePunct w:val="0"/>
        <w:bidi w:val="0"/>
        <w:spacing w:line="600" w:lineRule="exact"/>
        <w:jc w:val="center"/>
        <w:textAlignment w:val="auto"/>
        <w:rPr>
          <w:szCs w:val="32"/>
        </w:rPr>
      </w:pPr>
      <w:r>
        <w:rPr>
          <w:rFonts w:hint="eastAsia"/>
          <w:szCs w:val="32"/>
          <w:lang w:val="en-US" w:eastAsia="zh-CN"/>
        </w:rPr>
        <w:t xml:space="preserve">                    </w:t>
      </w:r>
      <w:r>
        <w:rPr>
          <w:rFonts w:hint="eastAsia"/>
          <w:szCs w:val="32"/>
        </w:rPr>
        <w:t>重庆市潼南区人民政府办公室</w:t>
      </w:r>
      <w:r>
        <w:rPr>
          <w:szCs w:val="32"/>
        </w:rPr>
        <w:t xml:space="preserve">  </w:t>
      </w:r>
    </w:p>
    <w:p>
      <w:pPr>
        <w:keepNext w:val="0"/>
        <w:keepLines w:val="0"/>
        <w:pageBreakBefore w:val="0"/>
        <w:widowControl w:val="0"/>
        <w:tabs>
          <w:tab w:val="left" w:pos="7560"/>
        </w:tabs>
        <w:kinsoku/>
        <w:wordWrap/>
        <w:topLinePunct w:val="0"/>
        <w:bidi w:val="0"/>
        <w:adjustRightInd w:val="0"/>
        <w:snapToGrid w:val="0"/>
        <w:spacing w:line="600" w:lineRule="exact"/>
        <w:ind w:firstLine="4800" w:firstLineChars="1500"/>
        <w:textAlignment w:val="auto"/>
        <w:rPr>
          <w:szCs w:val="32"/>
        </w:rPr>
      </w:pPr>
      <w:r>
        <w:rPr>
          <w:szCs w:val="32"/>
        </w:rPr>
        <w:t>2021</w:t>
      </w:r>
      <w:r>
        <w:rPr>
          <w:rFonts w:hint="eastAsia"/>
          <w:szCs w:val="32"/>
        </w:rPr>
        <w:t>年</w:t>
      </w:r>
      <w:r>
        <w:rPr>
          <w:szCs w:val="32"/>
        </w:rPr>
        <w:t>12</w:t>
      </w:r>
      <w:r>
        <w:rPr>
          <w:rFonts w:hint="eastAsia"/>
          <w:szCs w:val="32"/>
        </w:rPr>
        <w:t>月</w:t>
      </w:r>
      <w:r>
        <w:rPr>
          <w:szCs w:val="32"/>
        </w:rPr>
        <w:t>27</w:t>
      </w:r>
      <w:r>
        <w:rPr>
          <w:rFonts w:hint="eastAsia"/>
          <w:szCs w:val="32"/>
        </w:rPr>
        <w:t>日</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sectPr>
      <w:headerReference r:id="rId3" w:type="default"/>
      <w:footerReference r:id="rId4" w:type="default"/>
      <w:footerReference r:id="rId5" w:type="even"/>
      <w:pgSz w:w="11906" w:h="16838"/>
      <w:pgMar w:top="1962" w:right="1474" w:bottom="1848" w:left="1588" w:header="851" w:footer="992" w:gutter="0"/>
      <w:cols w:space="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2</w:t>
    </w:r>
    <w:r>
      <w:rPr>
        <w:rStyle w:val="12"/>
        <w:sz w:val="28"/>
        <w:szCs w:val="28"/>
      </w:rPr>
      <w:fldChar w:fldCharType="end"/>
    </w:r>
    <w:r>
      <w:rPr>
        <w:rStyle w:val="12"/>
        <w:sz w:val="28"/>
        <w:szCs w:val="28"/>
      </w:rPr>
      <w:t xml:space="preserve"> —</w:t>
    </w:r>
  </w:p>
  <w:p>
    <w:pPr>
      <w:pStyle w:val="6"/>
    </w:pPr>
  </w:p>
  <w:p>
    <w:pPr>
      <w:pStyle w:val="6"/>
      <w:rPr>
        <w:color w:val="FAFAFA"/>
        <w:sz w:val="32"/>
      </w:rPr>
    </w:pPr>
  </w:p>
  <w:p>
    <w:pPr>
      <w:pStyle w:val="6"/>
      <w:rPr>
        <w:color w:val="FAFAFA"/>
        <w:sz w:val="32"/>
      </w:rPr>
    </w:pPr>
    <w:r>
      <w:rPr>
        <w:color w:val="FAFAFA"/>
        <w:sz w:val="32"/>
      </w:rPr>
      <w:pict>
        <v:line id="直接连接符 5" o:spid="_x0000_s4098" o:spt="20" style="position:absolute;left:0pt;margin-left:0.5pt;margin-top:5.15pt;height:0.15pt;width:442.25pt;z-index:251660288;mso-width-relative:page;mso-height-relative:page;" filled="f" stroked="t" coordsize="21600,21600" o:gfxdata="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oHnjRAAAA&#10;BgEAAA8AAAAAAAAAAQAgAAAAIgAAAGRycy9kb3ducmV2LnhtbFBLAQIUABQAAAAIAIdO4kDogT6Q&#10;6wEAAKoDAAAOAAAAAAAAAAEAIAAAACABAABkcnMvZTJvRG9jLnhtbFBLBQYAAAAABgAGAFkBAAB9&#10;BQAAAAA=&#10;">
          <v:path arrowok="t"/>
          <v:fill on="f" focussize="0,0"/>
          <v:stroke weight="1.75pt" color="#005192" joinstyle="round"/>
          <v:imagedata o:title=""/>
          <o:lock v:ext="edit" aspectratio="f"/>
        </v:line>
      </w:pict>
    </w:r>
  </w:p>
  <w:p>
    <w:pPr>
      <w:pStyle w:val="6"/>
      <w:wordWrap w:val="0"/>
      <w:jc w:val="right"/>
      <w:rPr>
        <w:rFonts w:hint="default"/>
        <w:lang w:val="en-US"/>
      </w:rPr>
    </w:pPr>
    <w:r>
      <w:rPr>
        <w:rFonts w:hint="eastAsia" w:ascii="宋体" w:hAnsi="宋体" w:eastAsia="宋体" w:cs="宋体"/>
        <w:b/>
        <w:bCs/>
        <w:color w:val="005192"/>
        <w:sz w:val="28"/>
        <w:szCs w:val="44"/>
        <w:lang w:val="en-US" w:eastAsia="zh-CN"/>
      </w:rPr>
      <w:t xml:space="preserve">重庆市潼南区人民政府办公室发布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2</w:t>
    </w:r>
    <w:r>
      <w:rPr>
        <w:rStyle w:val="12"/>
        <w:sz w:val="28"/>
        <w:szCs w:val="28"/>
      </w:rPr>
      <w:fldChar w:fldCharType="end"/>
    </w:r>
    <w:r>
      <w:rPr>
        <w:rStyle w:val="12"/>
        <w:sz w:val="28"/>
        <w:szCs w:val="28"/>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bookmarkStart w:id="0" w:name="_GoBack"/>
    <w:bookmarkEnd w:id="0"/>
  </w:p>
  <w:p>
    <w:pPr>
      <w:pStyle w:val="7"/>
      <w:pBdr>
        <w:bottom w:val="none" w:color="auto" w:sz="0" w:space="1"/>
      </w:pBdr>
    </w:pP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Hans"/>
      </w:rPr>
    </w:pPr>
    <w:r>
      <w:rPr>
        <w:rFonts w:hint="eastAsia" w:ascii="方正仿宋_GBK" w:hAnsi="方正仿宋_GBK" w:eastAsia="方正仿宋_GBK" w:cs="方正仿宋_GBK"/>
        <w:b/>
        <w:bCs/>
        <w:color w:val="000000" w:themeColor="text1"/>
        <w:sz w:val="32"/>
      </w:rPr>
      <w:pict>
        <v:line id="直接连接符 4" o:spid="_x0000_s4097" o:spt="20" style="position:absolute;left:0pt;margin-left:0.1pt;margin-top:34.35pt;height:0pt;width:442.55pt;z-index:251659264;mso-width-relative:page;mso-height-relative:page;" filled="f" stroked="t" coordsize="21600,21600" o:gfxdata="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SWH+dEAAAAGAQAA&#10;DwAAAAAAAAABACAAAAAiAAAAZHJzL2Rvd25yZXYueG1sUEsBAhQAFAAAAAgAh07iQHzuSBLnAQAA&#10;pwMAAA4AAAAAAAAAAQAgAAAAIAEAAGRycy9lMm9Eb2MueG1sUEsFBgAAAAAGAAYAWQEAAHkFAAAA&#10;AA==&#10;">
          <v:path arrowok="t"/>
          <v:fill on="f" focussize="0,0"/>
          <v:stroke weight="1.75pt" color="#005192" joinstyle="round"/>
          <v:imagedata o:title=""/>
          <o:lock v:ext="edit" aspectratio="f"/>
        </v:line>
      </w:pict>
    </w: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重庆市潼南区人民政府行政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H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60"/>
  <w:drawingGridVerticalSpacing w:val="225"/>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9F8"/>
    <w:rsid w:val="00013727"/>
    <w:rsid w:val="0004677F"/>
    <w:rsid w:val="000F695E"/>
    <w:rsid w:val="00135315"/>
    <w:rsid w:val="00194739"/>
    <w:rsid w:val="001A2B93"/>
    <w:rsid w:val="001D5CEC"/>
    <w:rsid w:val="001E2A7D"/>
    <w:rsid w:val="001E7ED5"/>
    <w:rsid w:val="00251252"/>
    <w:rsid w:val="0025566C"/>
    <w:rsid w:val="002A2BD9"/>
    <w:rsid w:val="002F5A16"/>
    <w:rsid w:val="002F5E23"/>
    <w:rsid w:val="00303DBD"/>
    <w:rsid w:val="00377681"/>
    <w:rsid w:val="003846B8"/>
    <w:rsid w:val="00440F3A"/>
    <w:rsid w:val="004E6929"/>
    <w:rsid w:val="004F0FA0"/>
    <w:rsid w:val="00501A1F"/>
    <w:rsid w:val="0050384A"/>
    <w:rsid w:val="005369F8"/>
    <w:rsid w:val="005440C3"/>
    <w:rsid w:val="00562DF8"/>
    <w:rsid w:val="00596C01"/>
    <w:rsid w:val="005D145E"/>
    <w:rsid w:val="005D2840"/>
    <w:rsid w:val="0065344D"/>
    <w:rsid w:val="00683B72"/>
    <w:rsid w:val="006921AF"/>
    <w:rsid w:val="006A1722"/>
    <w:rsid w:val="006F378C"/>
    <w:rsid w:val="00711B51"/>
    <w:rsid w:val="007A42D9"/>
    <w:rsid w:val="00807751"/>
    <w:rsid w:val="0086578C"/>
    <w:rsid w:val="00874AEF"/>
    <w:rsid w:val="00891321"/>
    <w:rsid w:val="008B2331"/>
    <w:rsid w:val="00920BE2"/>
    <w:rsid w:val="009211A4"/>
    <w:rsid w:val="00936016"/>
    <w:rsid w:val="009961DA"/>
    <w:rsid w:val="009B5024"/>
    <w:rsid w:val="00AA0835"/>
    <w:rsid w:val="00AA62EC"/>
    <w:rsid w:val="00AC7C71"/>
    <w:rsid w:val="00B30E70"/>
    <w:rsid w:val="00B85B8F"/>
    <w:rsid w:val="00C11DD1"/>
    <w:rsid w:val="00C75507"/>
    <w:rsid w:val="00CE55C5"/>
    <w:rsid w:val="00D12506"/>
    <w:rsid w:val="00D566A9"/>
    <w:rsid w:val="00D91D98"/>
    <w:rsid w:val="00D96C1D"/>
    <w:rsid w:val="00DB620A"/>
    <w:rsid w:val="00DD2C7C"/>
    <w:rsid w:val="00E05FB1"/>
    <w:rsid w:val="00E63C08"/>
    <w:rsid w:val="00E96142"/>
    <w:rsid w:val="00EF7F47"/>
    <w:rsid w:val="00F13937"/>
    <w:rsid w:val="00F61915"/>
    <w:rsid w:val="012E33A5"/>
    <w:rsid w:val="01DD381F"/>
    <w:rsid w:val="01F804EF"/>
    <w:rsid w:val="04013BB4"/>
    <w:rsid w:val="040E788E"/>
    <w:rsid w:val="047229AC"/>
    <w:rsid w:val="0967782F"/>
    <w:rsid w:val="0A10664D"/>
    <w:rsid w:val="0AC74235"/>
    <w:rsid w:val="0B5C2609"/>
    <w:rsid w:val="0B9E2870"/>
    <w:rsid w:val="0CF66A8B"/>
    <w:rsid w:val="0EC60C77"/>
    <w:rsid w:val="1002762D"/>
    <w:rsid w:val="104273E2"/>
    <w:rsid w:val="13042F9A"/>
    <w:rsid w:val="18ED77AB"/>
    <w:rsid w:val="1A57571A"/>
    <w:rsid w:val="1D3E20A1"/>
    <w:rsid w:val="1E416F6F"/>
    <w:rsid w:val="1F0C2F35"/>
    <w:rsid w:val="1F4C3859"/>
    <w:rsid w:val="1F78178A"/>
    <w:rsid w:val="23DC752A"/>
    <w:rsid w:val="26B3777A"/>
    <w:rsid w:val="270A729B"/>
    <w:rsid w:val="2771550E"/>
    <w:rsid w:val="293240A0"/>
    <w:rsid w:val="2B102C44"/>
    <w:rsid w:val="2BCE39D0"/>
    <w:rsid w:val="2C940C7B"/>
    <w:rsid w:val="2CEE46F7"/>
    <w:rsid w:val="30922ABB"/>
    <w:rsid w:val="312C5B2F"/>
    <w:rsid w:val="35DB6C41"/>
    <w:rsid w:val="36941164"/>
    <w:rsid w:val="385A117C"/>
    <w:rsid w:val="393473FA"/>
    <w:rsid w:val="39420F85"/>
    <w:rsid w:val="3AE57B93"/>
    <w:rsid w:val="3D347BEC"/>
    <w:rsid w:val="3D577D02"/>
    <w:rsid w:val="3F1120AF"/>
    <w:rsid w:val="3F2A358A"/>
    <w:rsid w:val="40C93222"/>
    <w:rsid w:val="42174DD1"/>
    <w:rsid w:val="44B74F0A"/>
    <w:rsid w:val="45B94617"/>
    <w:rsid w:val="465B2915"/>
    <w:rsid w:val="46E73D01"/>
    <w:rsid w:val="49D36F0E"/>
    <w:rsid w:val="4BE973D8"/>
    <w:rsid w:val="4C5744DE"/>
    <w:rsid w:val="4C9542FC"/>
    <w:rsid w:val="4CC240CC"/>
    <w:rsid w:val="50D05A28"/>
    <w:rsid w:val="52BC5CA5"/>
    <w:rsid w:val="5D4C79EB"/>
    <w:rsid w:val="5E027406"/>
    <w:rsid w:val="5E4404C1"/>
    <w:rsid w:val="5E9B4ED2"/>
    <w:rsid w:val="5F7A0AA7"/>
    <w:rsid w:val="60237B32"/>
    <w:rsid w:val="603152F6"/>
    <w:rsid w:val="60E118EC"/>
    <w:rsid w:val="613E3B16"/>
    <w:rsid w:val="63134658"/>
    <w:rsid w:val="67693225"/>
    <w:rsid w:val="680606A9"/>
    <w:rsid w:val="6A5A3A04"/>
    <w:rsid w:val="6AB50380"/>
    <w:rsid w:val="6AE609CB"/>
    <w:rsid w:val="6D291EE0"/>
    <w:rsid w:val="6D4A5FFE"/>
    <w:rsid w:val="6D580192"/>
    <w:rsid w:val="6E8C791E"/>
    <w:rsid w:val="7626704F"/>
    <w:rsid w:val="780C7FF3"/>
    <w:rsid w:val="7BCE1FC1"/>
    <w:rsid w:val="7CC44CF2"/>
    <w:rsid w:val="7DC31676"/>
    <w:rsid w:val="7E857CA4"/>
    <w:rsid w:val="7EA815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2">
    <w:name w:val="heading 1"/>
    <w:basedOn w:val="1"/>
    <w:next w:val="1"/>
    <w:link w:val="14"/>
    <w:qFormat/>
    <w:locked/>
    <w:uiPriority w:val="99"/>
    <w:pPr>
      <w:keepNext/>
      <w:keepLines/>
      <w:spacing w:before="340" w:after="330" w:line="576" w:lineRule="auto"/>
      <w:outlineLvl w:val="0"/>
    </w:pPr>
    <w:rPr>
      <w:b/>
      <w:kern w:val="44"/>
      <w:sz w:val="44"/>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21"/>
    <w:qFormat/>
    <w:uiPriority w:val="99"/>
    <w:pPr>
      <w:ind w:left="100" w:leftChars="100" w:right="100" w:rightChars="100"/>
    </w:pPr>
    <w:rPr>
      <w:rFonts w:ascii="Calibri" w:hAnsi="Calibri" w:eastAsia="宋体"/>
      <w:kern w:val="0"/>
      <w:sz w:val="20"/>
      <w:szCs w:val="24"/>
    </w:rPr>
  </w:style>
  <w:style w:type="paragraph" w:styleId="5">
    <w:name w:val="Plain Text"/>
    <w:basedOn w:val="1"/>
    <w:link w:val="24"/>
    <w:qFormat/>
    <w:uiPriority w:val="99"/>
    <w:rPr>
      <w:rFonts w:ascii="宋体" w:hAnsi="Courier New" w:eastAsia="宋体"/>
      <w:sz w:val="21"/>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sz w:val="24"/>
      <w:szCs w:val="32"/>
    </w:rPr>
  </w:style>
  <w:style w:type="paragraph" w:styleId="9">
    <w:name w:val="annotation subject"/>
    <w:basedOn w:val="3"/>
    <w:next w:val="3"/>
    <w:link w:val="19"/>
    <w:semiHidden/>
    <w:qFormat/>
    <w:uiPriority w:val="99"/>
    <w:rPr>
      <w:b/>
      <w:bCs/>
    </w:rPr>
  </w:style>
  <w:style w:type="character" w:styleId="12">
    <w:name w:val="page number"/>
    <w:basedOn w:val="11"/>
    <w:qFormat/>
    <w:uiPriority w:val="99"/>
    <w:rPr>
      <w:rFonts w:cs="Times New Roman"/>
    </w:rPr>
  </w:style>
  <w:style w:type="character" w:styleId="13">
    <w:name w:val="annotation reference"/>
    <w:basedOn w:val="11"/>
    <w:semiHidden/>
    <w:qFormat/>
    <w:uiPriority w:val="99"/>
    <w:rPr>
      <w:rFonts w:cs="Times New Roman"/>
      <w:sz w:val="21"/>
      <w:szCs w:val="21"/>
    </w:rPr>
  </w:style>
  <w:style w:type="character" w:customStyle="1" w:styleId="14">
    <w:name w:val="Heading 1 Char"/>
    <w:basedOn w:val="11"/>
    <w:link w:val="2"/>
    <w:qFormat/>
    <w:locked/>
    <w:uiPriority w:val="99"/>
    <w:rPr>
      <w:rFonts w:eastAsia="方正仿宋_GBK" w:cs="Times New Roman"/>
      <w:b/>
      <w:bCs/>
      <w:kern w:val="44"/>
      <w:sz w:val="44"/>
      <w:szCs w:val="44"/>
    </w:rPr>
  </w:style>
  <w:style w:type="character" w:customStyle="1" w:styleId="15">
    <w:name w:val="Comment Text Char"/>
    <w:basedOn w:val="11"/>
    <w:link w:val="3"/>
    <w:semiHidden/>
    <w:qFormat/>
    <w:locked/>
    <w:uiPriority w:val="99"/>
    <w:rPr>
      <w:rFonts w:eastAsia="方正仿宋_GBK" w:cs="Times New Roman"/>
      <w:kern w:val="2"/>
      <w:sz w:val="32"/>
    </w:rPr>
  </w:style>
  <w:style w:type="character" w:customStyle="1" w:styleId="16">
    <w:name w:val="Body Text Char"/>
    <w:basedOn w:val="11"/>
    <w:link w:val="4"/>
    <w:semiHidden/>
    <w:qFormat/>
    <w:locked/>
    <w:uiPriority w:val="99"/>
    <w:rPr>
      <w:rFonts w:ascii="Times New Roman" w:hAnsi="Times New Roman" w:eastAsia="方正仿宋_GBK" w:cs="Times New Roman"/>
      <w:sz w:val="20"/>
      <w:szCs w:val="20"/>
    </w:rPr>
  </w:style>
  <w:style w:type="character" w:customStyle="1" w:styleId="17">
    <w:name w:val="Footer Char"/>
    <w:basedOn w:val="11"/>
    <w:link w:val="6"/>
    <w:qFormat/>
    <w:locked/>
    <w:uiPriority w:val="99"/>
    <w:rPr>
      <w:rFonts w:ascii="Times New Roman" w:hAnsi="Times New Roman" w:eastAsia="方正仿宋_GBK" w:cs="Times New Roman"/>
      <w:sz w:val="18"/>
      <w:szCs w:val="18"/>
    </w:rPr>
  </w:style>
  <w:style w:type="character" w:customStyle="1" w:styleId="18">
    <w:name w:val="Header Char"/>
    <w:basedOn w:val="11"/>
    <w:link w:val="7"/>
    <w:semiHidden/>
    <w:locked/>
    <w:uiPriority w:val="99"/>
    <w:rPr>
      <w:rFonts w:ascii="Times New Roman" w:hAnsi="Times New Roman" w:eastAsia="方正仿宋_GBK" w:cs="Times New Roman"/>
      <w:sz w:val="18"/>
      <w:szCs w:val="18"/>
    </w:rPr>
  </w:style>
  <w:style w:type="character" w:customStyle="1" w:styleId="19">
    <w:name w:val="Comment Subject Char"/>
    <w:basedOn w:val="15"/>
    <w:link w:val="9"/>
    <w:semiHidden/>
    <w:qFormat/>
    <w:locked/>
    <w:uiPriority w:val="99"/>
    <w:rPr>
      <w:b/>
      <w:bCs/>
    </w:rPr>
  </w:style>
  <w:style w:type="paragraph" w:customStyle="1" w:styleId="20">
    <w:name w:val="Default"/>
    <w:basedOn w:val="1"/>
    <w:qFormat/>
    <w:uiPriority w:val="99"/>
    <w:pPr>
      <w:autoSpaceDE w:val="0"/>
      <w:autoSpaceDN w:val="0"/>
      <w:adjustRightInd w:val="0"/>
      <w:jc w:val="left"/>
    </w:pPr>
    <w:rPr>
      <w:rFonts w:ascii="方正小标宋简体" w:hAnsi="Calibri" w:eastAsia="宋体" w:cs="宋体"/>
      <w:color w:val="000000"/>
      <w:kern w:val="0"/>
      <w:sz w:val="24"/>
      <w:szCs w:val="24"/>
    </w:rPr>
  </w:style>
  <w:style w:type="character" w:customStyle="1" w:styleId="21">
    <w:name w:val="Body Text Char1"/>
    <w:basedOn w:val="11"/>
    <w:link w:val="4"/>
    <w:qFormat/>
    <w:locked/>
    <w:uiPriority w:val="99"/>
    <w:rPr>
      <w:rFonts w:ascii="Calibri" w:hAnsi="Calibri" w:eastAsia="宋体" w:cs="Times New Roman"/>
      <w:sz w:val="24"/>
      <w:szCs w:val="24"/>
      <w:lang w:bidi="ar-SA"/>
    </w:rPr>
  </w:style>
  <w:style w:type="paragraph" w:customStyle="1" w:styleId="22">
    <w:name w:val="Revision1"/>
    <w:hidden/>
    <w:semiHidden/>
    <w:qFormat/>
    <w:uiPriority w:val="99"/>
    <w:rPr>
      <w:rFonts w:ascii="Times New Roman" w:hAnsi="Times New Roman" w:eastAsia="方正仿宋_GBK" w:cs="Times New Roman"/>
      <w:kern w:val="2"/>
      <w:sz w:val="32"/>
      <w:szCs w:val="20"/>
      <w:lang w:val="en-US" w:eastAsia="zh-CN" w:bidi="ar-SA"/>
    </w:rPr>
  </w:style>
  <w:style w:type="character" w:customStyle="1" w:styleId="23">
    <w:name w:val="Plain Text Char"/>
    <w:basedOn w:val="11"/>
    <w:link w:val="5"/>
    <w:semiHidden/>
    <w:qFormat/>
    <w:locked/>
    <w:uiPriority w:val="99"/>
    <w:rPr>
      <w:rFonts w:ascii="宋体" w:hAnsi="Courier New" w:cs="Courier New"/>
      <w:sz w:val="21"/>
      <w:szCs w:val="21"/>
    </w:rPr>
  </w:style>
  <w:style w:type="character" w:customStyle="1" w:styleId="24">
    <w:name w:val="Plain Text Char1"/>
    <w:link w:val="5"/>
    <w:qFormat/>
    <w:locked/>
    <w:uiPriority w:val="99"/>
    <w:rPr>
      <w:rFonts w:ascii="宋体" w:hAnsi="Courier New" w:eastAsia="宋体"/>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HP</Company>
  <Pages>7</Pages>
  <Words>382</Words>
  <Characters>2182</Characters>
  <Lines>0</Lines>
  <Paragraphs>0</Paragraphs>
  <TotalTime>7</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2021-12-27T03:15:00Z</dcterms:created>
  <dc:creator>h'p</dc:creator>
  <cp:lastModifiedBy>SFJ1</cp:lastModifiedBy>
  <cp:lastPrinted>2021-12-27T03:15:00Z</cp:lastPrinted>
  <dcterms:modified xsi:type="dcterms:W3CDTF">2022-06-10T01:41:13Z</dcterms:modified>
  <dc:title>潼南府办发〔2021〕77号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0452D3DFA8A84E1C80ED92BB59497255</vt:lpwstr>
  </property>
</Properties>
</file>