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黑体_GBK"/>
          <w:color w:val="FFFFFF"/>
        </w:rPr>
      </w:pPr>
    </w:p>
    <w:p>
      <w:pPr>
        <w:spacing w:line="400" w:lineRule="exact"/>
        <w:jc w:val="both"/>
        <w:rPr>
          <w:rFonts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重庆市潼南区人民政府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关于印发《重庆市潼南区农业品种品质品牌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hint="eastAsia" w:ascii="方正小标宋_GBK" w:hAnsi="方正小标宋_GBK" w:eastAsia="方正小标宋_GBK" w:cs="方正小标宋_GBK"/>
          <w:color w:val="000000"/>
          <w:sz w:val="44"/>
          <w:szCs w:val="44"/>
        </w:rPr>
        <w:t>建设工程</w:t>
      </w:r>
      <w:r>
        <w:rPr>
          <w:rFonts w:hint="eastAsia" w:hAnsi="方正小标宋_GBK" w:eastAsia="方正小标宋_GBK"/>
          <w:color w:val="000000"/>
          <w:sz w:val="44"/>
          <w:szCs w:val="44"/>
        </w:rPr>
        <w:t>实施方案（</w:t>
      </w:r>
      <w:r>
        <w:rPr>
          <w:rFonts w:eastAsia="方正小标宋_GBK"/>
          <w:color w:val="000000"/>
          <w:sz w:val="44"/>
          <w:szCs w:val="44"/>
        </w:rPr>
        <w:t>2019—2022</w:t>
      </w:r>
      <w:r>
        <w:rPr>
          <w:rFonts w:hint="eastAsia" w:hAnsi="方正小标宋_GBK" w:eastAsia="方正小标宋_GBK"/>
          <w:color w:val="000000"/>
          <w:sz w:val="44"/>
          <w:szCs w:val="44"/>
        </w:rPr>
        <w:t>年）》的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hint="eastAsia" w:hAnsi="方正小标宋_GBK" w:eastAsia="方正小标宋_GBK"/>
          <w:color w:val="000000"/>
          <w:sz w:val="44"/>
          <w:szCs w:val="44"/>
        </w:rPr>
        <w:t>通</w:t>
      </w:r>
      <w:r>
        <w:rPr>
          <w:rFonts w:eastAsia="方正小标宋_GBK"/>
          <w:color w:val="000000"/>
          <w:sz w:val="44"/>
          <w:szCs w:val="44"/>
        </w:rPr>
        <w:t xml:space="preserve">    </w:t>
      </w:r>
      <w:r>
        <w:rPr>
          <w:rFonts w:hint="eastAsia" w:hAnsi="方正小标宋_GBK" w:eastAsia="方正小标宋_GBK"/>
          <w:color w:val="000000"/>
          <w:sz w:val="44"/>
          <w:szCs w:val="44"/>
        </w:rPr>
        <w:t>知</w:t>
      </w:r>
    </w:p>
    <w:p>
      <w:pPr>
        <w:keepNext w:val="0"/>
        <w:keepLines w:val="0"/>
        <w:pageBreakBefore w:val="0"/>
        <w:widowControl w:val="0"/>
        <w:kinsoku/>
        <w:overflowPunct/>
        <w:topLinePunct w:val="0"/>
        <w:bidi w:val="0"/>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潼南府发〔2019〕4号</w:t>
      </w:r>
    </w:p>
    <w:p>
      <w:pPr>
        <w:keepNext w:val="0"/>
        <w:keepLines w:val="0"/>
        <w:pageBreakBefore w:val="0"/>
        <w:widowControl w:val="0"/>
        <w:kinsoku/>
        <w:overflowPunct/>
        <w:topLinePunct w:val="0"/>
        <w:bidi w:val="0"/>
        <w:snapToGrid/>
        <w:spacing w:line="600" w:lineRule="exact"/>
        <w:jc w:val="center"/>
        <w:textAlignment w:val="auto"/>
        <w:rPr>
          <w:rFonts w:eastAsia="方正小标宋_GBK"/>
          <w:color w:val="000000"/>
          <w:sz w:val="44"/>
          <w:szCs w:val="44"/>
        </w:rPr>
      </w:pPr>
    </w:p>
    <w:p>
      <w:pPr>
        <w:keepNext w:val="0"/>
        <w:keepLines w:val="0"/>
        <w:pageBreakBefore w:val="0"/>
        <w:widowControl w:val="0"/>
        <w:kinsoku/>
        <w:overflowPunct/>
        <w:topLinePunct w:val="0"/>
        <w:bidi w:val="0"/>
        <w:snapToGrid/>
        <w:spacing w:line="600" w:lineRule="exact"/>
        <w:textAlignment w:val="auto"/>
        <w:rPr>
          <w:rFonts w:eastAsia="方正仿宋_GBK"/>
          <w:color w:val="000000"/>
          <w:sz w:val="32"/>
          <w:szCs w:val="32"/>
        </w:rPr>
      </w:pPr>
      <w:r>
        <w:rPr>
          <w:rFonts w:hint="eastAsia" w:eastAsia="方正仿宋_GBK"/>
          <w:color w:val="000000"/>
          <w:sz w:val="32"/>
          <w:szCs w:val="32"/>
        </w:rPr>
        <w:t>各镇人民政府、街道办事处，区政府各部门，有关单位：</w:t>
      </w:r>
      <w:r>
        <w:rPr>
          <w:rFonts w:eastAsia="方正仿宋_GBK"/>
          <w:color w:val="000000"/>
          <w:sz w:val="32"/>
          <w:szCs w:val="32"/>
        </w:rPr>
        <w:t xml:space="preserve">  </w:t>
      </w:r>
    </w:p>
    <w:p>
      <w:pPr>
        <w:keepNext w:val="0"/>
        <w:keepLines w:val="0"/>
        <w:pageBreakBefore w:val="0"/>
        <w:widowControl w:val="0"/>
        <w:kinsoku/>
        <w:overflowPunct/>
        <w:topLinePunct w:val="0"/>
        <w:bidi w:val="0"/>
        <w:snapToGrid/>
        <w:spacing w:line="600" w:lineRule="exact"/>
        <w:ind w:firstLine="640" w:firstLineChars="200"/>
        <w:textAlignment w:val="auto"/>
        <w:rPr>
          <w:rFonts w:eastAsia="方正仿宋_GBK"/>
          <w:color w:val="000000"/>
          <w:sz w:val="32"/>
          <w:szCs w:val="32"/>
        </w:rPr>
      </w:pPr>
      <w:r>
        <w:rPr>
          <w:rFonts w:hint="eastAsia" w:eastAsia="方正仿宋_GBK"/>
          <w:color w:val="000000"/>
          <w:sz w:val="32"/>
          <w:szCs w:val="32"/>
        </w:rPr>
        <w:t>现将《重庆市潼南区农业品种品质品牌建设工程实施方案（</w:t>
      </w:r>
      <w:r>
        <w:rPr>
          <w:rFonts w:eastAsia="方正仿宋_GBK"/>
          <w:color w:val="000000"/>
          <w:sz w:val="32"/>
          <w:szCs w:val="32"/>
        </w:rPr>
        <w:t>2019—2022</w:t>
      </w:r>
      <w:r>
        <w:rPr>
          <w:rFonts w:hint="eastAsia" w:eastAsia="方正仿宋_GBK"/>
          <w:color w:val="000000"/>
          <w:sz w:val="32"/>
          <w:szCs w:val="32"/>
        </w:rPr>
        <w:t>年）》印发给你们，请认真贯彻执行。《重庆市潼南区人民政府关于加强农产品品牌建设工作的实施意见》（潼南府发〔</w:t>
      </w:r>
      <w:r>
        <w:rPr>
          <w:rFonts w:eastAsia="方正仿宋_GBK"/>
          <w:color w:val="000000"/>
          <w:sz w:val="32"/>
          <w:szCs w:val="32"/>
        </w:rPr>
        <w:t>2018</w:t>
      </w:r>
      <w:r>
        <w:rPr>
          <w:rFonts w:hint="eastAsia" w:eastAsia="方正仿宋_GBK"/>
          <w:color w:val="000000"/>
          <w:sz w:val="32"/>
          <w:szCs w:val="32"/>
        </w:rPr>
        <w:t>〕</w:t>
      </w:r>
      <w:r>
        <w:rPr>
          <w:rFonts w:eastAsia="方正仿宋_GBK"/>
          <w:color w:val="000000"/>
          <w:sz w:val="32"/>
          <w:szCs w:val="32"/>
        </w:rPr>
        <w:t>6</w:t>
      </w:r>
      <w:r>
        <w:rPr>
          <w:rFonts w:hint="eastAsia" w:eastAsia="方正仿宋_GBK"/>
          <w:color w:val="000000"/>
          <w:sz w:val="32"/>
          <w:szCs w:val="32"/>
        </w:rPr>
        <w:t>号）同时废止。</w:t>
      </w:r>
      <w:r>
        <w:rPr>
          <w:rFonts w:eastAsia="方正仿宋_GBK"/>
          <w:color w:val="000000"/>
          <w:sz w:val="32"/>
          <w:szCs w:val="32"/>
        </w:rPr>
        <w:t xml:space="preserve">                                      </w:t>
      </w:r>
    </w:p>
    <w:p>
      <w:pPr>
        <w:keepNext w:val="0"/>
        <w:keepLines w:val="0"/>
        <w:pageBreakBefore w:val="0"/>
        <w:widowControl w:val="0"/>
        <w:kinsoku/>
        <w:overflowPunct/>
        <w:topLinePunct w:val="0"/>
        <w:bidi w:val="0"/>
        <w:snapToGrid/>
        <w:spacing w:line="600" w:lineRule="exact"/>
        <w:ind w:firstLine="640" w:firstLineChars="200"/>
        <w:textAlignment w:val="auto"/>
        <w:rPr>
          <w:rFonts w:eastAsia="方正仿宋_GBK"/>
          <w:color w:val="000000"/>
          <w:sz w:val="32"/>
          <w:szCs w:val="32"/>
        </w:rPr>
      </w:pPr>
    </w:p>
    <w:p>
      <w:pPr>
        <w:keepNext w:val="0"/>
        <w:keepLines w:val="0"/>
        <w:pageBreakBefore w:val="0"/>
        <w:widowControl w:val="0"/>
        <w:kinsoku/>
        <w:wordWrap w:val="0"/>
        <w:overflowPunct/>
        <w:topLinePunct w:val="0"/>
        <w:bidi w:val="0"/>
        <w:snapToGrid/>
        <w:spacing w:line="600" w:lineRule="exact"/>
        <w:ind w:firstLine="4800" w:firstLineChars="1500"/>
        <w:jc w:val="right"/>
        <w:textAlignment w:val="auto"/>
        <w:rPr>
          <w:rFonts w:hint="default" w:eastAsia="方正仿宋_GBK"/>
          <w:color w:val="000000"/>
          <w:sz w:val="32"/>
          <w:szCs w:val="32"/>
          <w:lang w:val="en-US" w:eastAsia="zh-CN"/>
        </w:rPr>
      </w:pPr>
      <w:r>
        <w:rPr>
          <w:rFonts w:hint="eastAsia" w:eastAsia="方正仿宋_GBK"/>
          <w:color w:val="000000"/>
          <w:sz w:val="32"/>
          <w:szCs w:val="32"/>
        </w:rPr>
        <w:t>重庆市潼南区人民政府</w:t>
      </w:r>
      <w:r>
        <w:rPr>
          <w:rFonts w:hint="eastAsia" w:eastAsia="方正仿宋_GBK"/>
          <w:color w:val="000000"/>
          <w:sz w:val="32"/>
          <w:szCs w:val="32"/>
          <w:lang w:val="en-US" w:eastAsia="zh-CN"/>
        </w:rPr>
        <w:t xml:space="preserve">  </w:t>
      </w:r>
    </w:p>
    <w:p>
      <w:pPr>
        <w:keepNext w:val="0"/>
        <w:keepLines w:val="0"/>
        <w:pageBreakBefore w:val="0"/>
        <w:widowControl w:val="0"/>
        <w:tabs>
          <w:tab w:val="left" w:pos="7560"/>
        </w:tabs>
        <w:kinsoku/>
        <w:overflowPunct/>
        <w:topLinePunct w:val="0"/>
        <w:bidi w:val="0"/>
        <w:snapToGrid/>
        <w:spacing w:line="600" w:lineRule="exact"/>
        <w:ind w:firstLine="5920" w:firstLineChars="1850"/>
        <w:textAlignment w:val="auto"/>
        <w:rPr>
          <w:rFonts w:eastAsia="方正仿宋_GBK"/>
          <w:color w:val="000000"/>
          <w:sz w:val="32"/>
          <w:szCs w:val="32"/>
        </w:rPr>
      </w:pPr>
      <w:r>
        <w:rPr>
          <w:rFonts w:eastAsia="方正仿宋_GBK"/>
          <w:color w:val="000000"/>
          <w:sz w:val="32"/>
          <w:szCs w:val="32"/>
        </w:rPr>
        <w:t>2019</w:t>
      </w:r>
      <w:r>
        <w:rPr>
          <w:rFonts w:hint="eastAsia" w:eastAsia="方正仿宋_GBK"/>
          <w:color w:val="000000"/>
          <w:sz w:val="32"/>
          <w:szCs w:val="32"/>
        </w:rPr>
        <w:t>年</w:t>
      </w:r>
      <w:r>
        <w:rPr>
          <w:rFonts w:eastAsia="方正仿宋_GBK"/>
          <w:color w:val="000000"/>
          <w:sz w:val="32"/>
          <w:szCs w:val="32"/>
        </w:rPr>
        <w:t>4</w:t>
      </w:r>
      <w:r>
        <w:rPr>
          <w:rFonts w:hint="eastAsia" w:eastAsia="方正仿宋_GBK"/>
          <w:color w:val="000000"/>
          <w:sz w:val="32"/>
          <w:szCs w:val="32"/>
        </w:rPr>
        <w:t>月</w:t>
      </w:r>
      <w:r>
        <w:rPr>
          <w:rFonts w:eastAsia="方正仿宋_GBK"/>
          <w:color w:val="000000"/>
          <w:sz w:val="32"/>
          <w:szCs w:val="32"/>
        </w:rPr>
        <w:t>8</w:t>
      </w:r>
      <w:r>
        <w:rPr>
          <w:rFonts w:hint="eastAsia" w:eastAsia="方正仿宋_GBK"/>
          <w:color w:val="000000"/>
          <w:sz w:val="32"/>
          <w:szCs w:val="32"/>
        </w:rPr>
        <w:t>日</w:t>
      </w:r>
    </w:p>
    <w:p>
      <w:pPr>
        <w:keepNext w:val="0"/>
        <w:keepLines w:val="0"/>
        <w:pageBreakBefore w:val="0"/>
        <w:widowControl w:val="0"/>
        <w:kinsoku/>
        <w:overflowPunct/>
        <w:topLinePunct w:val="0"/>
        <w:autoSpaceDE w:val="0"/>
        <w:autoSpaceDN w:val="0"/>
        <w:bidi w:val="0"/>
        <w:adjustRightInd w:val="0"/>
        <w:snapToGrid/>
        <w:spacing w:line="600" w:lineRule="exact"/>
        <w:jc w:val="center"/>
        <w:textAlignment w:val="auto"/>
        <w:rPr>
          <w:rFonts w:hint="eastAsia" w:eastAsia="方正小标宋_GBK"/>
          <w:color w:val="000000"/>
          <w:kern w:val="0"/>
          <w:sz w:val="44"/>
          <w:szCs w:val="44"/>
        </w:rPr>
      </w:pPr>
    </w:p>
    <w:p>
      <w:pPr>
        <w:keepNext w:val="0"/>
        <w:keepLines w:val="0"/>
        <w:pageBreakBefore w:val="0"/>
        <w:widowControl w:val="0"/>
        <w:kinsoku/>
        <w:overflowPunct/>
        <w:topLinePunct w:val="0"/>
        <w:autoSpaceDE w:val="0"/>
        <w:autoSpaceDN w:val="0"/>
        <w:bidi w:val="0"/>
        <w:adjustRightInd w:val="0"/>
        <w:snapToGrid/>
        <w:spacing w:line="600" w:lineRule="exact"/>
        <w:jc w:val="center"/>
        <w:textAlignment w:val="auto"/>
        <w:rPr>
          <w:rFonts w:hint="eastAsia" w:eastAsia="方正小标宋_GBK"/>
          <w:color w:val="000000"/>
          <w:kern w:val="0"/>
          <w:sz w:val="44"/>
          <w:szCs w:val="44"/>
        </w:rPr>
      </w:pPr>
    </w:p>
    <w:p>
      <w:pPr>
        <w:keepNext w:val="0"/>
        <w:keepLines w:val="0"/>
        <w:pageBreakBefore w:val="0"/>
        <w:widowControl w:val="0"/>
        <w:kinsoku/>
        <w:overflowPunct/>
        <w:topLinePunct w:val="0"/>
        <w:autoSpaceDE w:val="0"/>
        <w:autoSpaceDN w:val="0"/>
        <w:bidi w:val="0"/>
        <w:adjustRightInd w:val="0"/>
        <w:snapToGrid/>
        <w:spacing w:line="600" w:lineRule="exact"/>
        <w:jc w:val="center"/>
        <w:textAlignment w:val="auto"/>
        <w:rPr>
          <w:rFonts w:hint="eastAsia" w:eastAsia="方正小标宋_GBK"/>
          <w:color w:val="000000"/>
          <w:kern w:val="0"/>
          <w:sz w:val="44"/>
          <w:szCs w:val="44"/>
        </w:rPr>
      </w:pPr>
    </w:p>
    <w:p>
      <w:pPr>
        <w:keepNext w:val="0"/>
        <w:keepLines w:val="0"/>
        <w:pageBreakBefore w:val="0"/>
        <w:widowControl w:val="0"/>
        <w:kinsoku/>
        <w:overflowPunct/>
        <w:topLinePunct w:val="0"/>
        <w:autoSpaceDE w:val="0"/>
        <w:autoSpaceDN w:val="0"/>
        <w:bidi w:val="0"/>
        <w:adjustRightInd w:val="0"/>
        <w:snapToGrid/>
        <w:spacing w:line="600" w:lineRule="exact"/>
        <w:jc w:val="center"/>
        <w:textAlignment w:val="auto"/>
        <w:rPr>
          <w:rFonts w:hint="eastAsia" w:eastAsia="方正小标宋_GBK"/>
          <w:color w:val="000000"/>
          <w:kern w:val="0"/>
          <w:sz w:val="44"/>
          <w:szCs w:val="44"/>
        </w:rPr>
      </w:pPr>
    </w:p>
    <w:p>
      <w:pPr>
        <w:keepNext w:val="0"/>
        <w:keepLines w:val="0"/>
        <w:pageBreakBefore w:val="0"/>
        <w:widowControl w:val="0"/>
        <w:kinsoku/>
        <w:overflowPunct/>
        <w:topLinePunct w:val="0"/>
        <w:autoSpaceDE w:val="0"/>
        <w:autoSpaceDN w:val="0"/>
        <w:bidi w:val="0"/>
        <w:adjustRightInd w:val="0"/>
        <w:snapToGrid/>
        <w:spacing w:line="600" w:lineRule="exact"/>
        <w:jc w:val="center"/>
        <w:textAlignment w:val="auto"/>
        <w:rPr>
          <w:rFonts w:hint="eastAsia" w:eastAsia="方正小标宋_GBK"/>
          <w:color w:val="000000"/>
          <w:kern w:val="0"/>
          <w:sz w:val="44"/>
          <w:szCs w:val="44"/>
        </w:rPr>
      </w:pPr>
    </w:p>
    <w:p>
      <w:pPr>
        <w:keepNext w:val="0"/>
        <w:keepLines w:val="0"/>
        <w:pageBreakBefore w:val="0"/>
        <w:widowControl w:val="0"/>
        <w:kinsoku/>
        <w:overflowPunct/>
        <w:topLinePunct w:val="0"/>
        <w:autoSpaceDE w:val="0"/>
        <w:autoSpaceDN w:val="0"/>
        <w:bidi w:val="0"/>
        <w:adjustRightInd w:val="0"/>
        <w:snapToGrid/>
        <w:spacing w:line="600" w:lineRule="exact"/>
        <w:jc w:val="center"/>
        <w:textAlignment w:val="auto"/>
        <w:rPr>
          <w:rFonts w:hint="eastAsia" w:eastAsia="方正小标宋_GBK"/>
          <w:color w:val="000000"/>
          <w:kern w:val="0"/>
          <w:sz w:val="44"/>
          <w:szCs w:val="44"/>
        </w:rPr>
      </w:pPr>
    </w:p>
    <w:p>
      <w:pPr>
        <w:keepNext w:val="0"/>
        <w:keepLines w:val="0"/>
        <w:pageBreakBefore w:val="0"/>
        <w:widowControl w:val="0"/>
        <w:kinsoku/>
        <w:overflowPunct/>
        <w:topLinePunct w:val="0"/>
        <w:autoSpaceDE w:val="0"/>
        <w:autoSpaceDN w:val="0"/>
        <w:bidi w:val="0"/>
        <w:adjustRightInd w:val="0"/>
        <w:snapToGrid/>
        <w:spacing w:line="600" w:lineRule="exact"/>
        <w:jc w:val="center"/>
        <w:textAlignment w:val="auto"/>
        <w:rPr>
          <w:rFonts w:hint="eastAsia" w:eastAsia="方正小标宋_GBK"/>
          <w:color w:val="000000"/>
          <w:kern w:val="0"/>
          <w:sz w:val="44"/>
          <w:szCs w:val="44"/>
        </w:rPr>
      </w:pPr>
    </w:p>
    <w:p>
      <w:pPr>
        <w:keepNext w:val="0"/>
        <w:keepLines w:val="0"/>
        <w:pageBreakBefore w:val="0"/>
        <w:widowControl w:val="0"/>
        <w:kinsoku/>
        <w:overflowPunct/>
        <w:topLinePunct w:val="0"/>
        <w:autoSpaceDE w:val="0"/>
        <w:autoSpaceDN w:val="0"/>
        <w:bidi w:val="0"/>
        <w:adjustRightInd w:val="0"/>
        <w:snapToGrid/>
        <w:spacing w:line="600" w:lineRule="exact"/>
        <w:jc w:val="center"/>
        <w:textAlignment w:val="auto"/>
        <w:rPr>
          <w:rFonts w:eastAsia="方正小标宋_GBK"/>
          <w:color w:val="000000"/>
          <w:kern w:val="0"/>
          <w:sz w:val="44"/>
          <w:szCs w:val="44"/>
        </w:rPr>
      </w:pPr>
      <w:r>
        <w:rPr>
          <w:rFonts w:hint="eastAsia" w:eastAsia="方正小标宋_GBK"/>
          <w:color w:val="000000"/>
          <w:kern w:val="0"/>
          <w:sz w:val="44"/>
          <w:szCs w:val="44"/>
        </w:rPr>
        <w:t>重庆市潼南区农业品种品质品牌建设工程</w:t>
      </w:r>
    </w:p>
    <w:p>
      <w:pPr>
        <w:keepNext w:val="0"/>
        <w:keepLines w:val="0"/>
        <w:pageBreakBefore w:val="0"/>
        <w:widowControl w:val="0"/>
        <w:kinsoku/>
        <w:overflowPunct/>
        <w:topLinePunct w:val="0"/>
        <w:autoSpaceDE w:val="0"/>
        <w:autoSpaceDN w:val="0"/>
        <w:bidi w:val="0"/>
        <w:adjustRightInd w:val="0"/>
        <w:snapToGrid/>
        <w:spacing w:line="600" w:lineRule="exact"/>
        <w:jc w:val="center"/>
        <w:textAlignment w:val="auto"/>
        <w:rPr>
          <w:rFonts w:eastAsia="方正仿宋_GBK"/>
          <w:color w:val="000000"/>
          <w:kern w:val="0"/>
          <w:sz w:val="32"/>
          <w:szCs w:val="32"/>
        </w:rPr>
      </w:pPr>
      <w:r>
        <w:rPr>
          <w:rFonts w:hint="eastAsia" w:eastAsia="方正小标宋_GBK"/>
          <w:color w:val="000000"/>
          <w:kern w:val="0"/>
          <w:sz w:val="44"/>
          <w:szCs w:val="44"/>
        </w:rPr>
        <w:t>实施方案（</w:t>
      </w:r>
      <w:r>
        <w:rPr>
          <w:rFonts w:eastAsia="方正小标宋_GBK"/>
          <w:color w:val="000000"/>
          <w:kern w:val="0"/>
          <w:sz w:val="44"/>
          <w:szCs w:val="44"/>
        </w:rPr>
        <w:t>2019—2022</w:t>
      </w:r>
      <w:r>
        <w:rPr>
          <w:rFonts w:hint="eastAsia" w:eastAsia="方正小标宋_GBK"/>
          <w:color w:val="000000"/>
          <w:kern w:val="0"/>
          <w:sz w:val="44"/>
          <w:szCs w:val="44"/>
        </w:rPr>
        <w:t>年）</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hint="eastAsia" w:eastAsia="方正仿宋_GBK"/>
          <w:color w:val="000000"/>
          <w:kern w:val="0"/>
          <w:sz w:val="32"/>
          <w:szCs w:val="32"/>
        </w:rPr>
        <w:t>加强农业品种品质品牌建设，是推动乡村产业振兴的重要抓手，是推动高质量发展、创造高品质生活的重要举措。为深入贯彻落实《中共中央</w:t>
      </w:r>
      <w:r>
        <w:rPr>
          <w:rFonts w:eastAsia="方正仿宋_GBK"/>
          <w:color w:val="000000"/>
          <w:kern w:val="0"/>
          <w:sz w:val="32"/>
          <w:szCs w:val="32"/>
        </w:rPr>
        <w:t xml:space="preserve"> </w:t>
      </w:r>
      <w:r>
        <w:rPr>
          <w:rFonts w:hint="eastAsia" w:eastAsia="方正仿宋_GBK"/>
          <w:color w:val="000000"/>
          <w:kern w:val="0"/>
          <w:sz w:val="32"/>
          <w:szCs w:val="32"/>
        </w:rPr>
        <w:t>国务院关于实施乡村振兴战略的意见》和《中共重庆市委</w:t>
      </w:r>
      <w:r>
        <w:rPr>
          <w:rFonts w:eastAsia="方正仿宋_GBK"/>
          <w:color w:val="000000"/>
          <w:kern w:val="0"/>
          <w:sz w:val="32"/>
          <w:szCs w:val="32"/>
        </w:rPr>
        <w:t xml:space="preserve"> </w:t>
      </w:r>
      <w:r>
        <w:rPr>
          <w:rFonts w:hint="eastAsia" w:eastAsia="方正仿宋_GBK"/>
          <w:color w:val="000000"/>
          <w:kern w:val="0"/>
          <w:sz w:val="32"/>
          <w:szCs w:val="32"/>
        </w:rPr>
        <w:t>重庆市人民政府关于印发〈重庆市实施乡村振兴战略行动计划〉的通知》《中共重庆市委办公厅</w:t>
      </w:r>
      <w:r>
        <w:rPr>
          <w:rFonts w:eastAsia="方正仿宋_GBK"/>
          <w:color w:val="000000"/>
          <w:kern w:val="0"/>
          <w:sz w:val="32"/>
          <w:szCs w:val="32"/>
        </w:rPr>
        <w:t xml:space="preserve"> </w:t>
      </w:r>
      <w:r>
        <w:rPr>
          <w:rFonts w:hint="eastAsia" w:eastAsia="方正仿宋_GBK"/>
          <w:color w:val="000000"/>
          <w:kern w:val="0"/>
          <w:sz w:val="32"/>
          <w:szCs w:val="32"/>
        </w:rPr>
        <w:t>重庆市人民政府办公厅印发〈关于聚焦乡村发展难题精准落实</w:t>
      </w:r>
      <w:r>
        <w:rPr>
          <w:rFonts w:eastAsia="方正仿宋_GBK"/>
          <w:color w:val="000000"/>
          <w:kern w:val="0"/>
          <w:sz w:val="32"/>
          <w:szCs w:val="32"/>
        </w:rPr>
        <w:t>“</w:t>
      </w:r>
      <w:r>
        <w:rPr>
          <w:rFonts w:hint="eastAsia" w:eastAsia="方正仿宋_GBK"/>
          <w:color w:val="000000"/>
          <w:kern w:val="0"/>
          <w:sz w:val="32"/>
          <w:szCs w:val="32"/>
        </w:rPr>
        <w:t>五个振兴</w:t>
      </w:r>
      <w:r>
        <w:rPr>
          <w:rFonts w:eastAsia="方正仿宋_GBK"/>
          <w:color w:val="000000"/>
          <w:kern w:val="0"/>
          <w:sz w:val="32"/>
          <w:szCs w:val="32"/>
        </w:rPr>
        <w:t>”</w:t>
      </w:r>
      <w:r>
        <w:rPr>
          <w:rFonts w:hint="eastAsia" w:eastAsia="方正仿宋_GBK"/>
          <w:color w:val="000000"/>
          <w:kern w:val="0"/>
          <w:sz w:val="32"/>
          <w:szCs w:val="32"/>
        </w:rPr>
        <w:t>的意见〉的通知》精神，认真执行</w:t>
      </w:r>
      <w:r>
        <w:rPr>
          <w:rFonts w:hint="eastAsia" w:eastAsia="方正仿宋_GBK"/>
          <w:color w:val="000000"/>
          <w:sz w:val="32"/>
          <w:szCs w:val="32"/>
        </w:rPr>
        <w:t>重庆市人民政府《关于印发重庆市农业品种品质品牌建设工程实施方案（</w:t>
      </w:r>
      <w:r>
        <w:rPr>
          <w:rFonts w:eastAsia="方正仿宋_GBK"/>
          <w:color w:val="000000"/>
          <w:kern w:val="0"/>
          <w:sz w:val="32"/>
          <w:szCs w:val="32"/>
        </w:rPr>
        <w:t>2018—2022</w:t>
      </w:r>
      <w:r>
        <w:rPr>
          <w:rFonts w:hint="eastAsia" w:eastAsia="方正仿宋_GBK"/>
          <w:color w:val="000000"/>
          <w:sz w:val="32"/>
          <w:szCs w:val="32"/>
        </w:rPr>
        <w:t>年）的通知》（渝府发</w:t>
      </w:r>
      <w:r>
        <w:rPr>
          <w:rFonts w:hint="eastAsia" w:eastAsia="方正仿宋_GBK"/>
          <w:color w:val="000000"/>
          <w:kern w:val="0"/>
          <w:sz w:val="32"/>
          <w:szCs w:val="32"/>
        </w:rPr>
        <w:t>〔</w:t>
      </w:r>
      <w:r>
        <w:rPr>
          <w:rFonts w:eastAsia="方正仿宋_GBK"/>
          <w:color w:val="000000"/>
          <w:kern w:val="0"/>
          <w:sz w:val="32"/>
          <w:szCs w:val="32"/>
        </w:rPr>
        <w:t>2018</w:t>
      </w:r>
      <w:r>
        <w:rPr>
          <w:rFonts w:hint="eastAsia" w:eastAsia="方正仿宋_GBK"/>
          <w:color w:val="000000"/>
          <w:kern w:val="0"/>
          <w:sz w:val="32"/>
          <w:szCs w:val="32"/>
        </w:rPr>
        <w:t>〕</w:t>
      </w:r>
      <w:r>
        <w:rPr>
          <w:rFonts w:eastAsia="方正仿宋_GBK"/>
          <w:color w:val="000000"/>
          <w:kern w:val="0"/>
          <w:sz w:val="32"/>
          <w:szCs w:val="32"/>
        </w:rPr>
        <w:t>47</w:t>
      </w:r>
      <w:r>
        <w:rPr>
          <w:rFonts w:hint="eastAsia" w:eastAsia="方正仿宋_GBK"/>
          <w:color w:val="000000"/>
          <w:sz w:val="32"/>
          <w:szCs w:val="32"/>
        </w:rPr>
        <w:t>号），切实</w:t>
      </w:r>
      <w:r>
        <w:rPr>
          <w:rFonts w:hint="eastAsia" w:eastAsia="方正仿宋_GBK"/>
          <w:color w:val="000000"/>
          <w:kern w:val="0"/>
          <w:sz w:val="32"/>
          <w:szCs w:val="32"/>
        </w:rPr>
        <w:t>做好农业品种品质品牌建设有关工作，现结合潼南实际，制定本方案。</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黑体_GBK"/>
          <w:color w:val="000000"/>
          <w:kern w:val="0"/>
          <w:sz w:val="32"/>
          <w:szCs w:val="32"/>
        </w:rPr>
      </w:pPr>
      <w:r>
        <w:rPr>
          <w:rFonts w:hint="eastAsia" w:eastAsia="方正黑体_GBK"/>
          <w:color w:val="000000"/>
          <w:kern w:val="0"/>
          <w:sz w:val="32"/>
          <w:szCs w:val="32"/>
        </w:rPr>
        <w:t>一、总体要求</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hint="eastAsia" w:eastAsia="方正仿宋_GBK"/>
          <w:color w:val="000000"/>
          <w:kern w:val="0"/>
          <w:sz w:val="32"/>
          <w:szCs w:val="32"/>
        </w:rPr>
        <w:t>全面贯彻落实党的十九大和十九届二中、三中全会精神，以习近平新时代中国特色社会主义思想为指导，紧紧围绕习近平总书记对重庆提出的“两点”定位、“两地”“两高”目标和营造良好政治生态，做到“四个扎实”要求，紧扣实施乡村振兴战略，以深入推进农业供给侧结构性改革为主线，以绿色化、优质化、特色化、品牌化为引领，聚焦</w:t>
      </w:r>
      <w:r>
        <w:rPr>
          <w:rFonts w:hint="eastAsia" w:eastAsia="仿宋_GB2312"/>
          <w:color w:val="000000"/>
          <w:sz w:val="32"/>
          <w:szCs w:val="32"/>
        </w:rPr>
        <w:t>粮油、蔬菜、</w:t>
      </w:r>
      <w:r>
        <w:rPr>
          <w:rFonts w:hint="eastAsia" w:eastAsia="方正仿宋_GBK"/>
          <w:color w:val="000000"/>
          <w:kern w:val="0"/>
          <w:sz w:val="32"/>
          <w:szCs w:val="32"/>
        </w:rPr>
        <w:t>柠檬、</w:t>
      </w:r>
      <w:r>
        <w:rPr>
          <w:rFonts w:hint="eastAsia" w:eastAsia="仿宋_GB2312"/>
          <w:color w:val="000000"/>
          <w:sz w:val="32"/>
          <w:szCs w:val="32"/>
        </w:rPr>
        <w:t>生猪、渔业和小龙虾、特色经果、中药材七大特色产业，在品种优化、品质提升、品牌引领上下功夫，集中</w:t>
      </w:r>
      <w:r>
        <w:rPr>
          <w:rFonts w:hint="eastAsia" w:eastAsia="方正仿宋_GBK"/>
          <w:color w:val="000000"/>
          <w:kern w:val="0"/>
          <w:sz w:val="32"/>
          <w:szCs w:val="32"/>
        </w:rPr>
        <w:t>力量打造一批在市内外乃至国际市场上立得住、叫得响、卖得好的拳头农产品，促进潼南绿色农产品“走出去”。</w:t>
      </w:r>
      <w:r>
        <w:rPr>
          <w:rFonts w:eastAsia="方正仿宋_GBK"/>
          <w:color w:val="000000"/>
          <w:kern w:val="0"/>
          <w:sz w:val="32"/>
          <w:szCs w:val="32"/>
        </w:rPr>
        <w:t>2022</w:t>
      </w:r>
      <w:r>
        <w:rPr>
          <w:rFonts w:hint="eastAsia" w:eastAsia="方正仿宋_GBK"/>
          <w:color w:val="000000"/>
          <w:kern w:val="0"/>
          <w:sz w:val="32"/>
          <w:szCs w:val="32"/>
        </w:rPr>
        <w:t>年，力争全区标准化种植基地面积达到</w:t>
      </w:r>
      <w:r>
        <w:rPr>
          <w:rFonts w:eastAsia="方正仿宋_GBK"/>
          <w:color w:val="000000"/>
          <w:kern w:val="0"/>
          <w:sz w:val="32"/>
          <w:szCs w:val="32"/>
        </w:rPr>
        <w:t>40</w:t>
      </w:r>
      <w:r>
        <w:rPr>
          <w:rFonts w:hint="eastAsia" w:eastAsia="方正仿宋_GBK"/>
          <w:color w:val="000000"/>
          <w:kern w:val="0"/>
          <w:sz w:val="32"/>
          <w:szCs w:val="32"/>
        </w:rPr>
        <w:t>万亩，无公害农产品、绿色食品、有机农产品和农产品地理标志（以下统称“三品一标”）认证产品产量达到</w:t>
      </w:r>
      <w:r>
        <w:rPr>
          <w:rFonts w:eastAsia="方正仿宋_GBK"/>
          <w:color w:val="000000"/>
          <w:kern w:val="0"/>
          <w:sz w:val="32"/>
          <w:szCs w:val="32"/>
        </w:rPr>
        <w:t>63.5</w:t>
      </w:r>
      <w:r>
        <w:rPr>
          <w:rFonts w:hint="eastAsia" w:eastAsia="方正仿宋_GBK"/>
          <w:color w:val="000000"/>
          <w:kern w:val="0"/>
          <w:sz w:val="32"/>
          <w:szCs w:val="32"/>
        </w:rPr>
        <w:t>万吨以上，实现销售额</w:t>
      </w:r>
      <w:r>
        <w:rPr>
          <w:rFonts w:eastAsia="方正仿宋_GBK"/>
          <w:color w:val="000000"/>
          <w:kern w:val="0"/>
          <w:sz w:val="32"/>
          <w:szCs w:val="32"/>
        </w:rPr>
        <w:t>6</w:t>
      </w:r>
      <w:r>
        <w:rPr>
          <w:rFonts w:hint="eastAsia" w:eastAsia="方正仿宋_GBK"/>
          <w:color w:val="000000"/>
          <w:kern w:val="0"/>
          <w:sz w:val="32"/>
          <w:szCs w:val="32"/>
        </w:rPr>
        <w:t>亿元以上。特色农产品良种覆盖率达到</w:t>
      </w:r>
      <w:r>
        <w:rPr>
          <w:rFonts w:eastAsia="方正仿宋_GBK"/>
          <w:color w:val="000000"/>
          <w:kern w:val="0"/>
          <w:sz w:val="32"/>
          <w:szCs w:val="32"/>
        </w:rPr>
        <w:t>97%</w:t>
      </w:r>
      <w:r>
        <w:rPr>
          <w:rFonts w:hint="eastAsia" w:eastAsia="方正仿宋_GBK"/>
          <w:color w:val="000000"/>
          <w:kern w:val="0"/>
          <w:sz w:val="32"/>
          <w:szCs w:val="32"/>
        </w:rPr>
        <w:t>；主要农产品总体抽检合格率保持在</w:t>
      </w:r>
      <w:r>
        <w:rPr>
          <w:rFonts w:eastAsia="方正仿宋_GBK"/>
          <w:color w:val="000000"/>
          <w:kern w:val="0"/>
          <w:sz w:val="32"/>
          <w:szCs w:val="32"/>
        </w:rPr>
        <w:t>98%</w:t>
      </w:r>
      <w:r>
        <w:rPr>
          <w:rFonts w:hint="eastAsia" w:eastAsia="方正仿宋_GBK"/>
          <w:color w:val="000000"/>
          <w:kern w:val="0"/>
          <w:sz w:val="32"/>
          <w:szCs w:val="32"/>
        </w:rPr>
        <w:t>以上，确保不发生重大农产品质量安全事件；大力推动优质农产品入驻市级区域公用品牌“巴味渝珍”，获得授权使用的品牌农产品平均溢价</w:t>
      </w:r>
      <w:r>
        <w:rPr>
          <w:rFonts w:eastAsia="方正仿宋_GBK"/>
          <w:color w:val="000000"/>
          <w:kern w:val="0"/>
          <w:sz w:val="32"/>
          <w:szCs w:val="32"/>
        </w:rPr>
        <w:t>10%</w:t>
      </w:r>
      <w:r>
        <w:rPr>
          <w:rFonts w:hint="eastAsia" w:eastAsia="方正仿宋_GBK"/>
          <w:color w:val="000000"/>
          <w:kern w:val="0"/>
          <w:sz w:val="32"/>
          <w:szCs w:val="32"/>
        </w:rPr>
        <w:t>以上。</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黑体_GBK"/>
          <w:color w:val="000000"/>
          <w:kern w:val="0"/>
          <w:sz w:val="32"/>
          <w:szCs w:val="32"/>
        </w:rPr>
      </w:pPr>
      <w:r>
        <w:rPr>
          <w:rFonts w:hint="eastAsia" w:eastAsia="方正黑体_GBK"/>
          <w:color w:val="000000"/>
          <w:kern w:val="0"/>
          <w:sz w:val="32"/>
          <w:szCs w:val="32"/>
        </w:rPr>
        <w:t>二、重点任务</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楷体_GBK"/>
          <w:color w:val="000000"/>
          <w:kern w:val="0"/>
          <w:sz w:val="32"/>
          <w:szCs w:val="32"/>
        </w:rPr>
      </w:pPr>
      <w:r>
        <w:rPr>
          <w:rFonts w:hint="eastAsia" w:eastAsia="方正楷体_GBK"/>
          <w:color w:val="000000"/>
          <w:kern w:val="0"/>
          <w:sz w:val="32"/>
          <w:szCs w:val="32"/>
        </w:rPr>
        <w:t>（一）加快引进推广优良品种</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1.</w:t>
      </w:r>
      <w:r>
        <w:rPr>
          <w:rFonts w:hint="eastAsia" w:eastAsia="方正仿宋_GBK"/>
          <w:color w:val="000000"/>
          <w:kern w:val="0"/>
          <w:sz w:val="32"/>
          <w:szCs w:val="32"/>
        </w:rPr>
        <w:t>引进优良品种。注重农作物和畜禽种质资源收集、保护和利用，应用良种攻关科研创新平台成果，促进品种结构调整优化。</w:t>
      </w:r>
      <w:r>
        <w:rPr>
          <w:rFonts w:hint="eastAsia" w:hAnsi="方正仿宋_GBK" w:eastAsia="方正仿宋_GBK"/>
          <w:color w:val="000000"/>
          <w:sz w:val="32"/>
          <w:szCs w:val="32"/>
        </w:rPr>
        <w:t>引进具有特色品质、综合性状优良的粮油新品种</w:t>
      </w:r>
      <w:r>
        <w:rPr>
          <w:rFonts w:eastAsia="方正仿宋_GBK"/>
          <w:color w:val="000000"/>
          <w:sz w:val="32"/>
          <w:szCs w:val="32"/>
        </w:rPr>
        <w:t>10</w:t>
      </w:r>
      <w:r>
        <w:rPr>
          <w:rFonts w:hint="eastAsia" w:hAnsi="方正仿宋_GBK" w:eastAsia="方正仿宋_GBK"/>
          <w:color w:val="000000"/>
          <w:sz w:val="32"/>
          <w:szCs w:val="32"/>
        </w:rPr>
        <w:t>个，</w:t>
      </w:r>
      <w:r>
        <w:rPr>
          <w:rFonts w:hint="eastAsia" w:eastAsia="方正仿宋_GBK"/>
          <w:color w:val="000000"/>
          <w:kern w:val="0"/>
          <w:sz w:val="32"/>
          <w:szCs w:val="32"/>
        </w:rPr>
        <w:t>引进尤力克柠檬、鲜食柑橘、中药材等优质高产高效品种，开发对虾、鳜鱼、沙鳅、松浦镜鲤、长丰鲢、小龙虾等优质高产高效水产品种，加强罗盘山黑猪、渝荣</w:t>
      </w:r>
      <w:r>
        <w:rPr>
          <w:rFonts w:eastAsia="方正仿宋_GBK"/>
          <w:color w:val="000000"/>
          <w:kern w:val="0"/>
          <w:sz w:val="32"/>
          <w:szCs w:val="32"/>
        </w:rPr>
        <w:t>I</w:t>
      </w:r>
      <w:r>
        <w:rPr>
          <w:rFonts w:hint="eastAsia" w:eastAsia="方正仿宋_GBK"/>
          <w:color w:val="000000"/>
          <w:kern w:val="0"/>
          <w:sz w:val="32"/>
          <w:szCs w:val="32"/>
        </w:rPr>
        <w:t>号生猪品系的选种选育。调味品重点发展辣椒、生姜、花椒三大原料产业。特色水果主要以李子、葡萄、枇杷为主。特色经济林产业要围绕核桃、花椒等木本油料，着力培育良种壮苗，引进优良品种。</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2.</w:t>
      </w:r>
      <w:r>
        <w:rPr>
          <w:rFonts w:hint="eastAsia" w:eastAsia="方正仿宋_GBK"/>
          <w:color w:val="000000"/>
          <w:kern w:val="0"/>
          <w:sz w:val="32"/>
          <w:szCs w:val="32"/>
        </w:rPr>
        <w:t>建设扩繁基地。新建或改造标准化优势农作物良种生产基地</w:t>
      </w:r>
      <w:r>
        <w:rPr>
          <w:rFonts w:eastAsia="方正仿宋_GBK"/>
          <w:color w:val="000000"/>
          <w:kern w:val="0"/>
          <w:sz w:val="32"/>
          <w:szCs w:val="32"/>
        </w:rPr>
        <w:t>8000</w:t>
      </w:r>
      <w:r>
        <w:rPr>
          <w:rFonts w:hint="eastAsia" w:eastAsia="方正仿宋_GBK"/>
          <w:color w:val="000000"/>
          <w:kern w:val="0"/>
          <w:sz w:val="32"/>
          <w:szCs w:val="32"/>
        </w:rPr>
        <w:t>亩以上。加强潼南国家区域性柠檬良种繁育基地建设，建成柠檬无病毒三级良繁体系，建成全国最大的柠檬育苗创新高地。将现有的重庆市神禹水产引育种有限公司进行改扩建，建成现代渔业种业示范场。加强我区畜禽扩繁基地的建设，完善猪、牛、羊、家禽的良种繁育体系。建成林木良种壮苗扩繁基地</w:t>
      </w:r>
      <w:r>
        <w:rPr>
          <w:rFonts w:eastAsia="方正仿宋_GBK"/>
          <w:color w:val="000000"/>
          <w:kern w:val="0"/>
          <w:sz w:val="32"/>
          <w:szCs w:val="32"/>
        </w:rPr>
        <w:t>1</w:t>
      </w:r>
      <w:r>
        <w:rPr>
          <w:rFonts w:hint="eastAsia" w:eastAsia="方正仿宋_GBK"/>
          <w:color w:val="000000"/>
          <w:kern w:val="0"/>
          <w:sz w:val="32"/>
          <w:szCs w:val="32"/>
        </w:rPr>
        <w:t>个、示范基地</w:t>
      </w:r>
      <w:r>
        <w:rPr>
          <w:rFonts w:eastAsia="方正仿宋_GBK"/>
          <w:color w:val="000000"/>
          <w:kern w:val="0"/>
          <w:sz w:val="32"/>
          <w:szCs w:val="32"/>
        </w:rPr>
        <w:t>1</w:t>
      </w:r>
      <w:r>
        <w:rPr>
          <w:rFonts w:hint="eastAsia" w:eastAsia="方正仿宋_GBK"/>
          <w:color w:val="000000"/>
          <w:kern w:val="0"/>
          <w:sz w:val="32"/>
          <w:szCs w:val="32"/>
        </w:rPr>
        <w:t>处以上，林木良种推广使用率达到</w:t>
      </w:r>
      <w:r>
        <w:rPr>
          <w:rFonts w:eastAsia="方正仿宋_GBK"/>
          <w:color w:val="000000"/>
          <w:kern w:val="0"/>
          <w:sz w:val="32"/>
          <w:szCs w:val="32"/>
        </w:rPr>
        <w:t>70%</w:t>
      </w:r>
      <w:r>
        <w:rPr>
          <w:rFonts w:hint="eastAsia" w:eastAsia="方正仿宋_GBK"/>
          <w:color w:val="000000"/>
          <w:kern w:val="0"/>
          <w:sz w:val="32"/>
          <w:szCs w:val="32"/>
        </w:rPr>
        <w:t>以上。建设道地中药材基地</w:t>
      </w:r>
      <w:r>
        <w:rPr>
          <w:rFonts w:eastAsia="方正仿宋_GBK"/>
          <w:color w:val="000000"/>
          <w:kern w:val="0"/>
          <w:sz w:val="32"/>
          <w:szCs w:val="32"/>
        </w:rPr>
        <w:t>6</w:t>
      </w:r>
      <w:r>
        <w:rPr>
          <w:rFonts w:hint="eastAsia" w:eastAsia="方正仿宋_GBK"/>
          <w:color w:val="000000"/>
          <w:kern w:val="0"/>
          <w:sz w:val="32"/>
          <w:szCs w:val="32"/>
        </w:rPr>
        <w:t>个。</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3.</w:t>
      </w:r>
      <w:r>
        <w:rPr>
          <w:rFonts w:hint="eastAsia" w:eastAsia="方正仿宋_GBK"/>
          <w:color w:val="000000"/>
          <w:kern w:val="0"/>
          <w:sz w:val="32"/>
          <w:szCs w:val="32"/>
        </w:rPr>
        <w:t>推广优良品种。积极对接全市筛选出的</w:t>
      </w:r>
      <w:r>
        <w:rPr>
          <w:rFonts w:eastAsia="方正仿宋_GBK"/>
          <w:color w:val="000000"/>
          <w:kern w:val="0"/>
          <w:sz w:val="32"/>
          <w:szCs w:val="32"/>
        </w:rPr>
        <w:t>100</w:t>
      </w:r>
      <w:r>
        <w:rPr>
          <w:rFonts w:hint="eastAsia" w:eastAsia="方正仿宋_GBK"/>
          <w:color w:val="000000"/>
          <w:kern w:val="0"/>
          <w:sz w:val="32"/>
          <w:szCs w:val="32"/>
        </w:rPr>
        <w:t>个农业主导品种，结合潼南实际，切实加大推广力度。</w:t>
      </w:r>
      <w:bookmarkStart w:id="0" w:name="OLE_LINK5"/>
      <w:bookmarkStart w:id="1" w:name="OLE_LINK4"/>
      <w:r>
        <w:rPr>
          <w:rFonts w:hint="eastAsia" w:hAnsi="方正仿宋_GBK" w:eastAsia="方正仿宋_GBK"/>
          <w:color w:val="000000"/>
          <w:sz w:val="32"/>
          <w:szCs w:val="32"/>
        </w:rPr>
        <w:t>粮油新品种</w:t>
      </w:r>
      <w:r>
        <w:rPr>
          <w:rFonts w:hint="eastAsia" w:eastAsia="方正仿宋_GBK"/>
          <w:color w:val="000000"/>
          <w:kern w:val="0"/>
          <w:sz w:val="32"/>
          <w:szCs w:val="32"/>
        </w:rPr>
        <w:t>重点发展优质稻、加工及菜用薯类、高蛋白豆类、优质生态杂粮等，</w:t>
      </w:r>
      <w:r>
        <w:rPr>
          <w:rFonts w:hint="eastAsia" w:hAnsi="方正仿宋_GBK" w:eastAsia="方正仿宋_GBK"/>
          <w:color w:val="000000"/>
          <w:sz w:val="32"/>
          <w:szCs w:val="32"/>
        </w:rPr>
        <w:t>包括水稻、糯玉米、鲜食小麦、黑绿豆</w:t>
      </w:r>
      <w:bookmarkEnd w:id="0"/>
      <w:bookmarkEnd w:id="1"/>
      <w:r>
        <w:rPr>
          <w:rFonts w:hint="eastAsia" w:hAnsi="方正仿宋_GBK" w:eastAsia="方正仿宋_GBK"/>
          <w:color w:val="000000"/>
          <w:sz w:val="32"/>
          <w:szCs w:val="32"/>
        </w:rPr>
        <w:t>等。</w:t>
      </w:r>
      <w:r>
        <w:rPr>
          <w:rFonts w:hint="eastAsia" w:eastAsia="方正仿宋_GBK"/>
          <w:color w:val="000000"/>
          <w:kern w:val="0"/>
          <w:sz w:val="32"/>
          <w:szCs w:val="32"/>
        </w:rPr>
        <w:t>新推广优质尤力克柠檬</w:t>
      </w:r>
      <w:r>
        <w:rPr>
          <w:rFonts w:eastAsia="方正仿宋_GBK"/>
          <w:color w:val="000000"/>
          <w:kern w:val="0"/>
          <w:sz w:val="32"/>
          <w:szCs w:val="32"/>
        </w:rPr>
        <w:t>40</w:t>
      </w:r>
      <w:r>
        <w:rPr>
          <w:rFonts w:hint="eastAsia" w:eastAsia="方正仿宋_GBK"/>
          <w:color w:val="000000"/>
          <w:kern w:val="0"/>
          <w:sz w:val="32"/>
          <w:szCs w:val="32"/>
        </w:rPr>
        <w:t>万亩，建成中药材种植示范基地</w:t>
      </w:r>
      <w:r>
        <w:rPr>
          <w:rFonts w:eastAsia="方正仿宋_GBK"/>
          <w:color w:val="000000"/>
          <w:kern w:val="0"/>
          <w:sz w:val="32"/>
          <w:szCs w:val="32"/>
        </w:rPr>
        <w:t>5</w:t>
      </w:r>
      <w:r>
        <w:rPr>
          <w:rFonts w:hint="eastAsia" w:eastAsia="方正仿宋_GBK"/>
          <w:color w:val="000000"/>
          <w:kern w:val="0"/>
          <w:sz w:val="32"/>
          <w:szCs w:val="32"/>
        </w:rPr>
        <w:t>万亩。加强长白猪、约克猪、杜洛克猪、中华蜜蜂等优良畜禽品种的推广。筛选</w:t>
      </w:r>
      <w:r>
        <w:rPr>
          <w:rFonts w:eastAsia="方正仿宋_GBK"/>
          <w:color w:val="000000"/>
          <w:kern w:val="0"/>
          <w:sz w:val="32"/>
          <w:szCs w:val="32"/>
        </w:rPr>
        <w:t>30</w:t>
      </w:r>
      <w:r>
        <w:rPr>
          <w:rFonts w:hint="eastAsia" w:eastAsia="方正仿宋_GBK"/>
          <w:color w:val="000000"/>
          <w:kern w:val="0"/>
          <w:sz w:val="32"/>
          <w:szCs w:val="32"/>
        </w:rPr>
        <w:t>个新特优蔬菜品种，推广茄果类蔬菜品种</w:t>
      </w:r>
      <w:r>
        <w:rPr>
          <w:rFonts w:eastAsia="方正仿宋_GBK"/>
          <w:color w:val="000000"/>
          <w:kern w:val="0"/>
          <w:sz w:val="32"/>
          <w:szCs w:val="32"/>
        </w:rPr>
        <w:t>7</w:t>
      </w:r>
      <w:r>
        <w:rPr>
          <w:rFonts w:hint="eastAsia" w:eastAsia="方正仿宋_GBK"/>
          <w:color w:val="000000"/>
          <w:kern w:val="0"/>
          <w:sz w:val="32"/>
          <w:szCs w:val="32"/>
        </w:rPr>
        <w:t>个、瓜类品种</w:t>
      </w:r>
      <w:r>
        <w:rPr>
          <w:rFonts w:eastAsia="方正仿宋_GBK"/>
          <w:color w:val="000000"/>
          <w:kern w:val="0"/>
          <w:sz w:val="32"/>
          <w:szCs w:val="32"/>
        </w:rPr>
        <w:t>10</w:t>
      </w:r>
      <w:r>
        <w:rPr>
          <w:rFonts w:hint="eastAsia" w:eastAsia="方正仿宋_GBK"/>
          <w:color w:val="000000"/>
          <w:kern w:val="0"/>
          <w:sz w:val="32"/>
          <w:szCs w:val="32"/>
        </w:rPr>
        <w:t>个、甘蓝类蔬菜品种</w:t>
      </w:r>
      <w:r>
        <w:rPr>
          <w:rFonts w:eastAsia="方正仿宋_GBK"/>
          <w:color w:val="000000"/>
          <w:kern w:val="0"/>
          <w:sz w:val="32"/>
          <w:szCs w:val="32"/>
        </w:rPr>
        <w:t>5</w:t>
      </w:r>
      <w:r>
        <w:rPr>
          <w:rFonts w:hint="eastAsia" w:eastAsia="方正仿宋_GBK"/>
          <w:color w:val="000000"/>
          <w:kern w:val="0"/>
          <w:sz w:val="32"/>
          <w:szCs w:val="32"/>
        </w:rPr>
        <w:t>个、萝卜品种</w:t>
      </w:r>
      <w:r>
        <w:rPr>
          <w:rFonts w:eastAsia="方正仿宋_GBK"/>
          <w:color w:val="000000"/>
          <w:kern w:val="0"/>
          <w:sz w:val="32"/>
          <w:szCs w:val="32"/>
        </w:rPr>
        <w:t>3</w:t>
      </w:r>
      <w:r>
        <w:rPr>
          <w:rFonts w:hint="eastAsia" w:eastAsia="方正仿宋_GBK"/>
          <w:color w:val="000000"/>
          <w:kern w:val="0"/>
          <w:sz w:val="32"/>
          <w:szCs w:val="32"/>
        </w:rPr>
        <w:t>个，推广面积</w:t>
      </w:r>
      <w:r>
        <w:rPr>
          <w:rFonts w:eastAsia="方正仿宋_GBK"/>
          <w:color w:val="000000"/>
          <w:kern w:val="0"/>
          <w:sz w:val="32"/>
          <w:szCs w:val="32"/>
        </w:rPr>
        <w:t>2</w:t>
      </w:r>
      <w:r>
        <w:rPr>
          <w:rFonts w:hint="eastAsia" w:eastAsia="方正仿宋_GBK"/>
          <w:color w:val="000000"/>
          <w:kern w:val="0"/>
          <w:sz w:val="32"/>
          <w:szCs w:val="32"/>
        </w:rPr>
        <w:t>万亩以上；推广特色保健类蔬菜品种</w:t>
      </w:r>
      <w:r>
        <w:rPr>
          <w:rFonts w:eastAsia="方正仿宋_GBK"/>
          <w:color w:val="000000"/>
          <w:kern w:val="0"/>
          <w:sz w:val="32"/>
          <w:szCs w:val="32"/>
        </w:rPr>
        <w:t>5</w:t>
      </w:r>
      <w:r>
        <w:rPr>
          <w:rFonts w:hint="eastAsia" w:eastAsia="方正仿宋_GBK"/>
          <w:color w:val="000000"/>
          <w:kern w:val="0"/>
          <w:sz w:val="32"/>
          <w:szCs w:val="32"/>
        </w:rPr>
        <w:t>个，建示范基地</w:t>
      </w:r>
      <w:r>
        <w:rPr>
          <w:rFonts w:eastAsia="方正仿宋_GBK"/>
          <w:color w:val="000000"/>
          <w:kern w:val="0"/>
          <w:sz w:val="32"/>
          <w:szCs w:val="32"/>
        </w:rPr>
        <w:t>50</w:t>
      </w:r>
      <w:r>
        <w:rPr>
          <w:rFonts w:hint="eastAsia" w:eastAsia="方正仿宋_GBK"/>
          <w:color w:val="000000"/>
          <w:kern w:val="0"/>
          <w:sz w:val="32"/>
          <w:szCs w:val="32"/>
        </w:rPr>
        <w:t>亩、推广</w:t>
      </w:r>
      <w:r>
        <w:rPr>
          <w:rFonts w:eastAsia="方正仿宋_GBK"/>
          <w:color w:val="000000"/>
          <w:kern w:val="0"/>
          <w:sz w:val="32"/>
          <w:szCs w:val="32"/>
        </w:rPr>
        <w:t>500</w:t>
      </w:r>
      <w:r>
        <w:rPr>
          <w:rFonts w:hint="eastAsia" w:eastAsia="方正仿宋_GBK"/>
          <w:color w:val="000000"/>
          <w:kern w:val="0"/>
          <w:sz w:val="32"/>
          <w:szCs w:val="32"/>
        </w:rPr>
        <w:t>亩以上。建成生态渔场</w:t>
      </w:r>
      <w:r>
        <w:rPr>
          <w:rFonts w:eastAsia="方正仿宋_GBK"/>
          <w:color w:val="000000"/>
          <w:kern w:val="0"/>
          <w:sz w:val="32"/>
          <w:szCs w:val="32"/>
        </w:rPr>
        <w:t>1.5</w:t>
      </w:r>
      <w:r>
        <w:rPr>
          <w:rFonts w:hint="eastAsia" w:eastAsia="方正仿宋_GBK"/>
          <w:color w:val="000000"/>
          <w:kern w:val="0"/>
          <w:sz w:val="32"/>
          <w:szCs w:val="32"/>
        </w:rPr>
        <w:t>万亩，创建</w:t>
      </w:r>
      <w:r>
        <w:rPr>
          <w:rFonts w:eastAsia="方正仿宋_GBK"/>
          <w:color w:val="000000"/>
          <w:kern w:val="0"/>
          <w:sz w:val="32"/>
          <w:szCs w:val="32"/>
        </w:rPr>
        <w:t>200</w:t>
      </w:r>
      <w:r>
        <w:rPr>
          <w:rFonts w:hint="eastAsia" w:eastAsia="方正仿宋_GBK"/>
          <w:color w:val="000000"/>
          <w:kern w:val="0"/>
          <w:sz w:val="32"/>
          <w:szCs w:val="32"/>
        </w:rPr>
        <w:t>亩以上规模的标准化稻渔（虾、蟹）种养基地</w:t>
      </w:r>
      <w:r>
        <w:rPr>
          <w:rFonts w:eastAsia="方正仿宋_GBK"/>
          <w:color w:val="000000"/>
          <w:kern w:val="0"/>
          <w:sz w:val="32"/>
          <w:szCs w:val="32"/>
        </w:rPr>
        <w:t>10</w:t>
      </w:r>
      <w:r>
        <w:rPr>
          <w:rFonts w:hint="eastAsia" w:eastAsia="方正仿宋_GBK"/>
          <w:color w:val="000000"/>
          <w:kern w:val="0"/>
          <w:sz w:val="32"/>
          <w:szCs w:val="32"/>
        </w:rPr>
        <w:t>个。</w:t>
      </w:r>
    </w:p>
    <w:p>
      <w:pPr>
        <w:keepNext w:val="0"/>
        <w:keepLines w:val="0"/>
        <w:pageBreakBefore w:val="0"/>
        <w:widowControl w:val="0"/>
        <w:numPr>
          <w:ilvl w:val="0"/>
          <w:numId w:val="1"/>
        </w:numPr>
        <w:kinsoku/>
        <w:overflowPunct/>
        <w:topLinePunct w:val="0"/>
        <w:autoSpaceDE w:val="0"/>
        <w:autoSpaceDN w:val="0"/>
        <w:bidi w:val="0"/>
        <w:adjustRightInd w:val="0"/>
        <w:snapToGrid/>
        <w:spacing w:line="600" w:lineRule="exact"/>
        <w:ind w:firstLine="640" w:firstLineChars="200"/>
        <w:textAlignment w:val="auto"/>
        <w:rPr>
          <w:rFonts w:eastAsia="方正仿宋_GBK"/>
          <w:b/>
          <w:bCs/>
          <w:color w:val="000000"/>
          <w:kern w:val="0"/>
          <w:sz w:val="32"/>
          <w:szCs w:val="32"/>
        </w:rPr>
      </w:pPr>
      <w:r>
        <w:rPr>
          <w:rFonts w:hint="eastAsia" w:eastAsia="方正楷体_GBK"/>
          <w:color w:val="000000"/>
          <w:kern w:val="0"/>
          <w:sz w:val="32"/>
          <w:szCs w:val="32"/>
        </w:rPr>
        <w:t>全面提升农产品品质</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黑体_GBK"/>
          <w:color w:val="000000"/>
          <w:kern w:val="0"/>
          <w:sz w:val="32"/>
          <w:szCs w:val="32"/>
        </w:rPr>
      </w:pPr>
      <w:r>
        <w:rPr>
          <w:rFonts w:eastAsia="方正仿宋_GBK"/>
          <w:color w:val="000000"/>
          <w:kern w:val="0"/>
          <w:sz w:val="32"/>
          <w:szCs w:val="32"/>
        </w:rPr>
        <w:t>1.</w:t>
      </w:r>
      <w:r>
        <w:rPr>
          <w:rFonts w:hint="eastAsia" w:eastAsia="方正仿宋_GBK"/>
          <w:color w:val="000000"/>
          <w:kern w:val="0"/>
          <w:sz w:val="32"/>
          <w:szCs w:val="32"/>
        </w:rPr>
        <w:t>制定、修订农业标准。坚持绿色导向，瞄准市场需求，加快农业标准制定、修订步伐。到</w:t>
      </w:r>
      <w:r>
        <w:rPr>
          <w:rFonts w:eastAsia="方正仿宋_GBK"/>
          <w:color w:val="000000"/>
          <w:kern w:val="0"/>
          <w:sz w:val="32"/>
          <w:szCs w:val="32"/>
        </w:rPr>
        <w:t>2022</w:t>
      </w:r>
      <w:r>
        <w:rPr>
          <w:rFonts w:hint="eastAsia" w:eastAsia="方正仿宋_GBK"/>
          <w:color w:val="000000"/>
          <w:kern w:val="0"/>
          <w:sz w:val="32"/>
          <w:szCs w:val="32"/>
        </w:rPr>
        <w:t>年底，有效期内的“三品一标”认证数量稳定在</w:t>
      </w:r>
      <w:r>
        <w:rPr>
          <w:rFonts w:eastAsia="方正仿宋_GBK"/>
          <w:color w:val="000000"/>
          <w:kern w:val="0"/>
          <w:sz w:val="32"/>
          <w:szCs w:val="32"/>
        </w:rPr>
        <w:t>170</w:t>
      </w:r>
      <w:r>
        <w:rPr>
          <w:rFonts w:hint="eastAsia" w:eastAsia="方正仿宋_GBK"/>
          <w:color w:val="000000"/>
          <w:kern w:val="0"/>
          <w:sz w:val="32"/>
          <w:szCs w:val="32"/>
        </w:rPr>
        <w:t>个以上，</w:t>
      </w:r>
      <w:r>
        <w:rPr>
          <w:rFonts w:hint="eastAsia" w:eastAsia="方正仿宋_GBK"/>
          <w:color w:val="000000"/>
          <w:sz w:val="32"/>
          <w:szCs w:val="32"/>
        </w:rPr>
        <w:t>大力开展绿色产品认证</w:t>
      </w:r>
      <w:r>
        <w:rPr>
          <w:rFonts w:hint="eastAsia" w:eastAsia="方正仿宋_GBK"/>
          <w:color w:val="000000"/>
          <w:kern w:val="0"/>
          <w:sz w:val="32"/>
          <w:szCs w:val="32"/>
        </w:rPr>
        <w:t>。</w:t>
      </w:r>
      <w:r>
        <w:rPr>
          <w:rFonts w:hint="eastAsia" w:eastAsia="方正仿宋_GBK"/>
          <w:color w:val="000000"/>
          <w:sz w:val="32"/>
          <w:szCs w:val="32"/>
        </w:rPr>
        <w:t>鼓励龙头企业、行业协会、科研机构等积极参与国家、行业和地方标准制定、修订工作。</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2.</w:t>
      </w:r>
      <w:r>
        <w:rPr>
          <w:rFonts w:hint="eastAsia" w:eastAsia="方正仿宋_GBK"/>
          <w:color w:val="000000"/>
          <w:kern w:val="0"/>
          <w:sz w:val="32"/>
          <w:szCs w:val="32"/>
        </w:rPr>
        <w:t>开展标准实施示范。按照全市筛选的</w:t>
      </w:r>
      <w:r>
        <w:rPr>
          <w:rFonts w:eastAsia="方正仿宋_GBK"/>
          <w:color w:val="000000"/>
          <w:kern w:val="0"/>
          <w:sz w:val="32"/>
          <w:szCs w:val="32"/>
        </w:rPr>
        <w:t>100</w:t>
      </w:r>
      <w:r>
        <w:rPr>
          <w:rFonts w:hint="eastAsia" w:eastAsia="方正仿宋_GBK"/>
          <w:color w:val="000000"/>
          <w:kern w:val="0"/>
          <w:sz w:val="32"/>
          <w:szCs w:val="32"/>
        </w:rPr>
        <w:t>项农业推广技术要求，重点加强畜禽养殖废弃物资源化利用技术、绿色生态综合种养技术等一批先进实用技术的推广运用，确保农产品源头绿色生态。筛选多项蔬菜主推技术，重点加强病虫害绿色防控技术、化肥农药双减技术等先进实用技术的推广运用，蔬菜规模生产主体全部实现标准化生产，每年创建蔬菜标准园</w:t>
      </w:r>
      <w:r>
        <w:rPr>
          <w:rFonts w:eastAsia="方正仿宋_GBK"/>
          <w:color w:val="000000"/>
          <w:kern w:val="0"/>
          <w:sz w:val="32"/>
          <w:szCs w:val="32"/>
        </w:rPr>
        <w:t>1</w:t>
      </w:r>
      <w:r>
        <w:rPr>
          <w:rFonts w:hint="eastAsia" w:eastAsia="方正仿宋_GBK"/>
          <w:color w:val="000000"/>
          <w:kern w:val="0"/>
          <w:sz w:val="32"/>
          <w:szCs w:val="32"/>
        </w:rPr>
        <w:t>个。巩固国家农业标准化示范区创建成果，新建特色经果标准化示范区</w:t>
      </w:r>
      <w:r>
        <w:rPr>
          <w:rFonts w:eastAsia="方正仿宋_GBK"/>
          <w:color w:val="000000"/>
          <w:kern w:val="0"/>
          <w:sz w:val="32"/>
          <w:szCs w:val="32"/>
        </w:rPr>
        <w:t>10</w:t>
      </w:r>
      <w:r>
        <w:rPr>
          <w:rFonts w:hint="eastAsia" w:eastAsia="方正仿宋_GBK"/>
          <w:color w:val="000000"/>
          <w:kern w:val="0"/>
          <w:sz w:val="32"/>
          <w:szCs w:val="32"/>
        </w:rPr>
        <w:t>个。全区每年创建蔬菜标准园、水果标准园、水产健康养殖示范场（全市统称为“三园两场”）</w:t>
      </w:r>
      <w:r>
        <w:rPr>
          <w:rFonts w:eastAsia="方正仿宋_GBK"/>
          <w:color w:val="000000"/>
          <w:kern w:val="0"/>
          <w:sz w:val="32"/>
          <w:szCs w:val="32"/>
        </w:rPr>
        <w:t>3</w:t>
      </w:r>
      <w:r>
        <w:rPr>
          <w:rFonts w:hint="eastAsia" w:eastAsia="方正仿宋_GBK"/>
          <w:color w:val="000000"/>
          <w:kern w:val="0"/>
          <w:sz w:val="32"/>
          <w:szCs w:val="32"/>
        </w:rPr>
        <w:t>个以上，到</w:t>
      </w:r>
      <w:r>
        <w:rPr>
          <w:rFonts w:eastAsia="方正仿宋_GBK"/>
          <w:color w:val="000000"/>
          <w:kern w:val="0"/>
          <w:sz w:val="32"/>
          <w:szCs w:val="32"/>
        </w:rPr>
        <w:t>2022</w:t>
      </w:r>
      <w:r>
        <w:rPr>
          <w:rFonts w:hint="eastAsia" w:eastAsia="方正仿宋_GBK"/>
          <w:color w:val="000000"/>
          <w:kern w:val="0"/>
          <w:sz w:val="32"/>
          <w:szCs w:val="32"/>
        </w:rPr>
        <w:t>年，全区“三园两场”总量达</w:t>
      </w:r>
      <w:r>
        <w:rPr>
          <w:rFonts w:eastAsia="方正仿宋_GBK"/>
          <w:color w:val="000000"/>
          <w:kern w:val="0"/>
          <w:sz w:val="32"/>
          <w:szCs w:val="32"/>
        </w:rPr>
        <w:t>12</w:t>
      </w:r>
      <w:r>
        <w:rPr>
          <w:rFonts w:hint="eastAsia" w:eastAsia="方正仿宋_GBK"/>
          <w:color w:val="000000"/>
          <w:kern w:val="0"/>
          <w:sz w:val="32"/>
          <w:szCs w:val="32"/>
        </w:rPr>
        <w:t>个以上。</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3.</w:t>
      </w:r>
      <w:r>
        <w:rPr>
          <w:rFonts w:hint="eastAsia" w:eastAsia="方正仿宋_GBK"/>
          <w:color w:val="000000"/>
          <w:kern w:val="0"/>
          <w:sz w:val="32"/>
          <w:szCs w:val="32"/>
        </w:rPr>
        <w:t>强化投入品监管。推进化肥农药减量使用。严格执行《农药管理条例》，认真执行农药生产二维码追溯制度，开展农药监管追溯平台建设工作，兽药经营企业入网追溯实现全覆盖，全面禁止销售和使用高毒高残留农药。继续开展试点区域低毒低残留农药补贴工作。以柠檬、蔬菜为重点品种，在果蔬基地开展农产品监督抽检工作。深入开展农药残留超标、兽用抗菌药滥用、私屠滥宰、水产品非法添加、生鲜乳违禁物质使用等专项整治。</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sz w:val="32"/>
          <w:szCs w:val="32"/>
        </w:rPr>
      </w:pPr>
      <w:r>
        <w:rPr>
          <w:rFonts w:eastAsia="方正仿宋_GBK"/>
          <w:color w:val="000000"/>
          <w:kern w:val="0"/>
          <w:sz w:val="32"/>
          <w:szCs w:val="32"/>
        </w:rPr>
        <w:t>4.</w:t>
      </w:r>
      <w:r>
        <w:rPr>
          <w:rFonts w:hint="eastAsia" w:eastAsia="方正仿宋_GBK"/>
          <w:color w:val="000000"/>
          <w:kern w:val="0"/>
          <w:sz w:val="32"/>
          <w:szCs w:val="32"/>
        </w:rPr>
        <w:t>加快追溯体系建设。积极对接融入国家或重庆市农产品质量安全追溯综合管理信息平台，落实“市、区、镇街”三级追溯管理。</w:t>
      </w:r>
      <w:r>
        <w:rPr>
          <w:rFonts w:hint="eastAsia" w:eastAsia="方正仿宋_GBK"/>
          <w:color w:val="000000"/>
          <w:sz w:val="32"/>
          <w:szCs w:val="32"/>
        </w:rPr>
        <w:t>将农产品追溯与农业项目安排、农产品品牌评定、“三品一标”认证登记、政府组织的农业展会、财政投资的电商平台等挂钩，建立追溯挂钩机制，按照相关规定实施追溯审查和退出机制。推进追溯点建设，鼓励镇街监管机构和农产品规模化生产主体上线应用。到</w:t>
      </w:r>
      <w:r>
        <w:rPr>
          <w:rFonts w:eastAsia="方正仿宋_GBK"/>
          <w:color w:val="000000"/>
          <w:sz w:val="32"/>
          <w:szCs w:val="32"/>
        </w:rPr>
        <w:t>2020</w:t>
      </w:r>
      <w:r>
        <w:rPr>
          <w:rFonts w:hint="eastAsia" w:eastAsia="方正仿宋_GBK"/>
          <w:color w:val="000000"/>
          <w:sz w:val="32"/>
          <w:szCs w:val="32"/>
        </w:rPr>
        <w:t>年，农业农村系统认定的绿色食品、有机农产品和地理标志农产品</w:t>
      </w:r>
      <w:r>
        <w:rPr>
          <w:rFonts w:eastAsia="方正仿宋_GBK"/>
          <w:color w:val="000000"/>
          <w:sz w:val="32"/>
          <w:szCs w:val="32"/>
        </w:rPr>
        <w:t>100%</w:t>
      </w:r>
      <w:r>
        <w:rPr>
          <w:rFonts w:hint="eastAsia" w:eastAsia="方正仿宋_GBK"/>
          <w:color w:val="000000"/>
          <w:sz w:val="32"/>
          <w:szCs w:val="32"/>
        </w:rPr>
        <w:t>纳入追溯平台管理，实现“带证上网、带码上线、带标上市”；到</w:t>
      </w:r>
      <w:r>
        <w:rPr>
          <w:rFonts w:eastAsia="方正仿宋_GBK"/>
          <w:color w:val="000000"/>
          <w:sz w:val="32"/>
          <w:szCs w:val="32"/>
        </w:rPr>
        <w:t>2022</w:t>
      </w:r>
      <w:r>
        <w:rPr>
          <w:rFonts w:hint="eastAsia" w:eastAsia="方正仿宋_GBK"/>
          <w:color w:val="000000"/>
          <w:sz w:val="32"/>
          <w:szCs w:val="32"/>
        </w:rPr>
        <w:t>年，基本实现“三品一标”生产基地示范应用全覆盖。</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sz w:val="32"/>
          <w:szCs w:val="32"/>
        </w:rPr>
      </w:pPr>
      <w:r>
        <w:rPr>
          <w:rFonts w:eastAsia="方正仿宋_GBK"/>
          <w:color w:val="000000"/>
          <w:kern w:val="0"/>
          <w:sz w:val="32"/>
          <w:szCs w:val="32"/>
        </w:rPr>
        <w:t>5.</w:t>
      </w:r>
      <w:r>
        <w:rPr>
          <w:rFonts w:hint="eastAsia" w:eastAsia="方正仿宋_GBK"/>
          <w:color w:val="000000"/>
          <w:kern w:val="0"/>
          <w:sz w:val="32"/>
          <w:szCs w:val="32"/>
        </w:rPr>
        <w:t>加大执法监管力度。实施农产品质量安全保障工程，健全区、镇街农产品质量安全监管服务机构，提升基层监管执法能力。加大对农产品质量安全违法行为的打击力度，推进种植业、养殖业、食用农产品质量安全执法专项行动常态化，深入开展</w:t>
      </w:r>
      <w:r>
        <w:rPr>
          <w:rFonts w:hint="eastAsia" w:eastAsia="方正仿宋_GBK"/>
          <w:color w:val="000000"/>
          <w:sz w:val="32"/>
          <w:szCs w:val="32"/>
        </w:rPr>
        <w:t>农资打假专项整治行动，重点整顿种子、农药、肥料、兽药、饲料及饲料添加剂的违法违规行为。推行规模主体名录管理和网格化监管，将全区新型农业经营主体全部纳入监管名录管理。根据全市加强农产品质量安全执法工作的意见，认真做好落实工作。</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6.</w:t>
      </w:r>
      <w:r>
        <w:rPr>
          <w:rFonts w:hint="eastAsia" w:eastAsia="方正仿宋_GBK"/>
          <w:color w:val="000000"/>
          <w:kern w:val="0"/>
          <w:sz w:val="32"/>
          <w:szCs w:val="32"/>
        </w:rPr>
        <w:t>强化动植物疫病防控。深入推行兽医工作“三项制度”，切实加强动物疫病预防控制，全面落实动物疫病强制免疫、动物疫病监测净化、动物卫生监督管理、动物疫情应急处置等防控措施，努力确保不发生区域性重大动物疫情和重大畜产品质量安全事故。开展专业化统配统施、统防统治服务，在水稻、玉米、蔬菜、柠檬等全区主要农作物上继续大力实施太阳能杀虫灯、色板、稻田养鸭、生物农药、捕食螨等绿色防控技术，确保主要农作物绿色防控技术覆盖率达</w:t>
      </w:r>
      <w:r>
        <w:rPr>
          <w:rFonts w:eastAsia="方正仿宋_GBK"/>
          <w:color w:val="000000"/>
          <w:kern w:val="0"/>
          <w:sz w:val="32"/>
          <w:szCs w:val="32"/>
        </w:rPr>
        <w:t>30%</w:t>
      </w:r>
      <w:r>
        <w:rPr>
          <w:rFonts w:hint="eastAsia" w:eastAsia="方正仿宋_GBK"/>
          <w:color w:val="000000"/>
          <w:kern w:val="0"/>
          <w:sz w:val="32"/>
          <w:szCs w:val="32"/>
        </w:rPr>
        <w:t>以上，专业化统防统治覆盖率达</w:t>
      </w:r>
      <w:r>
        <w:rPr>
          <w:rFonts w:eastAsia="方正仿宋_GBK"/>
          <w:color w:val="000000"/>
          <w:kern w:val="0"/>
          <w:sz w:val="32"/>
          <w:szCs w:val="32"/>
        </w:rPr>
        <w:t>40%</w:t>
      </w:r>
      <w:r>
        <w:rPr>
          <w:rFonts w:hint="eastAsia" w:eastAsia="方正仿宋_GBK"/>
          <w:color w:val="000000"/>
          <w:kern w:val="0"/>
          <w:sz w:val="32"/>
          <w:szCs w:val="32"/>
        </w:rPr>
        <w:t>以上，总体危害损失控制在</w:t>
      </w:r>
      <w:r>
        <w:rPr>
          <w:rFonts w:eastAsia="方正仿宋_GBK"/>
          <w:color w:val="000000"/>
          <w:kern w:val="0"/>
          <w:sz w:val="32"/>
          <w:szCs w:val="32"/>
        </w:rPr>
        <w:t>3%</w:t>
      </w:r>
      <w:r>
        <w:rPr>
          <w:rFonts w:hint="eastAsia" w:eastAsia="方正仿宋_GBK"/>
          <w:color w:val="000000"/>
          <w:kern w:val="0"/>
          <w:sz w:val="32"/>
          <w:szCs w:val="32"/>
        </w:rPr>
        <w:t>以内。</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7.</w:t>
      </w:r>
      <w:r>
        <w:rPr>
          <w:rFonts w:hint="eastAsia" w:eastAsia="方正仿宋_GBK"/>
          <w:color w:val="000000"/>
          <w:kern w:val="0"/>
          <w:sz w:val="32"/>
          <w:szCs w:val="32"/>
        </w:rPr>
        <w:t>推行绿色生产方式。加强农村面源污染防控，强化农产品产地环境监测，开展污染修复治理。开展绿色防控技术与统防统治融合示范试验。完善、修正和发布农作物测土配方施肥方案，提高测土配方施肥技术覆盖面。加大农业资源高效利用、废弃物减量化和资源化、农产品加工副产物综合利用等农林牧渔循环经济的共性和关键技术装备研发及转化推广力度。以畜禽规模养殖场为重点，全面推进畜禽养殖废弃物资源化利用。开展秸秆机械粉碎还田肥料化、机械粉碎饲料化示范，推广秸秆（尾菜）肥料化、饲料化、基料化、燃料化等综合利用技术。启动废旧农膜回收试点，</w:t>
      </w:r>
      <w:r>
        <w:rPr>
          <w:rFonts w:hint="eastAsia" w:eastAsia="方正仿宋_GBK"/>
          <w:color w:val="000000"/>
          <w:sz w:val="32"/>
          <w:szCs w:val="32"/>
        </w:rPr>
        <w:t>鼓励引导农民自觉回收田间废弃农膜，</w:t>
      </w:r>
      <w:r>
        <w:rPr>
          <w:rFonts w:hint="eastAsia" w:eastAsia="方正仿宋_GBK"/>
          <w:color w:val="000000"/>
          <w:kern w:val="0"/>
          <w:sz w:val="32"/>
          <w:szCs w:val="32"/>
        </w:rPr>
        <w:t>大力推广符合国家标准的农用地膜和生物降解膜，探索建立废旧农膜回收加工体系。</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楷体_GBK"/>
          <w:color w:val="000000"/>
          <w:kern w:val="0"/>
          <w:sz w:val="32"/>
          <w:szCs w:val="32"/>
        </w:rPr>
      </w:pPr>
      <w:r>
        <w:rPr>
          <w:rFonts w:hint="eastAsia" w:eastAsia="方正楷体_GBK"/>
          <w:color w:val="000000"/>
          <w:kern w:val="0"/>
          <w:sz w:val="32"/>
          <w:szCs w:val="32"/>
        </w:rPr>
        <w:t>（三）大力培育农产品品牌</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1.</w:t>
      </w:r>
      <w:r>
        <w:rPr>
          <w:rFonts w:hint="eastAsia" w:eastAsia="方正仿宋_GBK"/>
          <w:color w:val="000000"/>
          <w:kern w:val="0"/>
          <w:sz w:val="32"/>
          <w:szCs w:val="32"/>
        </w:rPr>
        <w:t>健全农业品牌体系。构建以市级农产品区域公用品牌为依托、区级农产品区域公用品牌为龙头、农业龙头企业产品品牌为主体、“三品一标”品牌为基础的农产品品牌体系，完善管理体系和营销体系，打造潼南农产品整体品牌形象。到</w:t>
      </w:r>
      <w:r>
        <w:rPr>
          <w:rFonts w:eastAsia="方正仿宋_GBK"/>
          <w:color w:val="000000"/>
          <w:kern w:val="0"/>
          <w:sz w:val="32"/>
          <w:szCs w:val="32"/>
        </w:rPr>
        <w:t>2022</w:t>
      </w:r>
      <w:r>
        <w:rPr>
          <w:rFonts w:hint="eastAsia" w:eastAsia="方正仿宋_GBK"/>
          <w:color w:val="000000"/>
          <w:kern w:val="0"/>
          <w:sz w:val="32"/>
          <w:szCs w:val="32"/>
        </w:rPr>
        <w:t>年，依托市级农产品区域公用品牌，做亮叫响</w:t>
      </w:r>
      <w:r>
        <w:rPr>
          <w:rFonts w:hint="eastAsia" w:eastAsia="方正仿宋_GBK"/>
          <w:color w:val="000000"/>
          <w:sz w:val="32"/>
        </w:rPr>
        <w:t>潼南绿、潼南柠檬等</w:t>
      </w:r>
      <w:r>
        <w:rPr>
          <w:rFonts w:hint="eastAsia" w:eastAsia="方正仿宋_GBK"/>
          <w:color w:val="000000"/>
          <w:kern w:val="0"/>
          <w:sz w:val="32"/>
          <w:szCs w:val="32"/>
        </w:rPr>
        <w:t>区域公用品牌，新认定重庆名牌农产品</w:t>
      </w:r>
      <w:r>
        <w:rPr>
          <w:rFonts w:eastAsia="方正仿宋_GBK"/>
          <w:color w:val="000000"/>
          <w:kern w:val="0"/>
          <w:sz w:val="32"/>
          <w:szCs w:val="32"/>
        </w:rPr>
        <w:t>10</w:t>
      </w:r>
      <w:r>
        <w:rPr>
          <w:rFonts w:hint="eastAsia" w:eastAsia="方正仿宋_GBK"/>
          <w:color w:val="000000"/>
          <w:kern w:val="0"/>
          <w:sz w:val="32"/>
          <w:szCs w:val="32"/>
        </w:rPr>
        <w:t>个以上，全面提升潼南农产品品牌的知名度和影响力。</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2.</w:t>
      </w:r>
      <w:r>
        <w:rPr>
          <w:rFonts w:hint="eastAsia" w:eastAsia="方正仿宋_GBK"/>
          <w:color w:val="000000"/>
          <w:kern w:val="0"/>
          <w:sz w:val="32"/>
          <w:szCs w:val="32"/>
        </w:rPr>
        <w:t>整合做优知名品牌。紧紧围绕粮油，蔬菜，柠檬，生猪，渔业、小龙虾，特色经果，中药材等七大特色产业，重点打造一批知名度高、影响力大的农产品，整合提升“潼南绿”“潼南柠檬”等重点农产品品牌价值。加大对优势农产品和特色农产品商标的重视和培育力度，不断延伸产业链、提升产品附加值和市场竞争力，打造潼南农产品整体形象。深度挖掘潼南传统美食、加工技艺、农业非物质文化遗产内涵，复兴传统老字号品牌。</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3.</w:t>
      </w:r>
      <w:r>
        <w:rPr>
          <w:rFonts w:hint="eastAsia" w:eastAsia="方正仿宋_GBK"/>
          <w:color w:val="000000"/>
          <w:kern w:val="0"/>
          <w:sz w:val="32"/>
          <w:szCs w:val="32"/>
        </w:rPr>
        <w:t>鼓励新型农业经营主体加强品牌建设。引导新型农业经营主体强化品牌意识，积极参与品牌农产品评选认定，鼓励和支持其申报使用重庆市农产品区域公用品牌“巴味渝珍”，统一标识、统一包装、统一营销，并严格执行相关要求。支持其申报国家级品牌，培育一批影响力大、比较效益好、辐射带动能力强的农业企业。鼓励农业企业进行品牌整合，引进国内外知名品牌企业参与兼并重组，通过股权投资等方式，组建大企业大集团，构建集群发展格局。</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4.</w:t>
      </w:r>
      <w:r>
        <w:rPr>
          <w:rFonts w:hint="eastAsia" w:eastAsia="方正仿宋_GBK"/>
          <w:color w:val="000000"/>
          <w:kern w:val="0"/>
          <w:sz w:val="32"/>
          <w:szCs w:val="32"/>
        </w:rPr>
        <w:t>做实品牌宣传推介。推荐更多潼南品牌农产品纳入重庆农产品品牌目录。强化农产品品牌的文化内涵，注重产品包装设计，规范产品包装标识，促进产品深度开发和增值。加大对市级品牌“巴味渝珍”和区级区域公用品牌“潼南绿”“潼南柠檬”的宣传力度，充分利用农产品交易会、博览会、展销会、线下运营店、电子商务等平台，开展全方位多层次的宣传推介。加大在国家级媒体、省级平台、区域性交通枢纽及城市区域中心广告投放力度。积极参与全市百亿品牌农产品上京东行动，加大潼南品牌农产品网络营销推广力度。</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黑体_GBK"/>
          <w:color w:val="000000"/>
          <w:kern w:val="0"/>
          <w:sz w:val="32"/>
          <w:szCs w:val="32"/>
        </w:rPr>
      </w:pPr>
      <w:r>
        <w:rPr>
          <w:rFonts w:hint="eastAsia" w:eastAsia="方正黑体_GBK"/>
          <w:color w:val="000000"/>
          <w:kern w:val="0"/>
          <w:sz w:val="32"/>
          <w:szCs w:val="32"/>
        </w:rPr>
        <w:t>三、保障措施</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hint="eastAsia" w:eastAsia="方正楷体_GBK"/>
          <w:color w:val="000000"/>
          <w:kern w:val="0"/>
          <w:sz w:val="32"/>
          <w:szCs w:val="32"/>
        </w:rPr>
        <w:t>（一）加强组织领导。</w:t>
      </w:r>
      <w:r>
        <w:rPr>
          <w:rFonts w:hint="eastAsia" w:eastAsia="方正仿宋_GBK"/>
          <w:color w:val="000000"/>
          <w:kern w:val="0"/>
          <w:sz w:val="32"/>
          <w:szCs w:val="32"/>
        </w:rPr>
        <w:t>农业品种品质品牌建设工作在区委实施乡村振兴战略工作领导小组的统筹组织下，区农业农村委、区商务委、区文化旅游委、区林业局、</w:t>
      </w:r>
      <w:r>
        <w:rPr>
          <w:rFonts w:hint="eastAsia" w:eastAsia="方正仿宋_GBK"/>
          <w:color w:val="000000"/>
          <w:sz w:val="32"/>
          <w:szCs w:val="32"/>
        </w:rPr>
        <w:t>区农业科技园区管委会、</w:t>
      </w:r>
      <w:r>
        <w:rPr>
          <w:rFonts w:hint="eastAsia" w:eastAsia="方正仿宋_GBK"/>
          <w:color w:val="000000"/>
          <w:kern w:val="0"/>
          <w:sz w:val="32"/>
          <w:szCs w:val="32"/>
        </w:rPr>
        <w:t>潼南市场监管局等单位各司其职，形成齐抓共管、整体推进的工作格局。各镇人民政府、街道办事处要将农业品种品质品牌建设工作纳入重要议事日程，制定本地区实施方案，主要领导亲自抓、分管领导具体抓，并在农服中心明确专门人员，积极推进落实。农产品品牌建设工作纳入镇街和有关部门综合目标考核内容，由区农业农村委牵头负责组织考核工作。</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eastAsia="方正仿宋_GBK"/>
          <w:color w:val="000000"/>
          <w:kern w:val="0"/>
          <w:sz w:val="32"/>
          <w:szCs w:val="32"/>
        </w:rPr>
      </w:pPr>
      <w:r>
        <w:rPr>
          <w:rFonts w:hint="eastAsia" w:eastAsia="方正楷体_GBK"/>
          <w:color w:val="000000"/>
          <w:kern w:val="0"/>
          <w:sz w:val="32"/>
          <w:szCs w:val="32"/>
        </w:rPr>
        <w:t>（二）加强要素保障。</w:t>
      </w:r>
      <w:r>
        <w:rPr>
          <w:rFonts w:hint="eastAsia" w:eastAsia="方正仿宋_GBK"/>
          <w:color w:val="000000"/>
          <w:kern w:val="0"/>
          <w:sz w:val="32"/>
          <w:szCs w:val="32"/>
        </w:rPr>
        <w:t>乡村振兴专项资金要向农业品种品质品牌建设倾斜。通过基金、贴息、担保等方式撬动更多金融和社会资本。进一步完善农业担保体系，加大涉农贷款贴息力度。将农业优势特色新品种纳入政策性保险及天气指数保险范围。完善农业用地保障机制，合理安排优势特色产业用地，积极争取农村一二三产业融合发展用地专项指标，重点保障农产品生产加工销售、乡村旅游配套设施、农业与服务业融合发展等项目用地。</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eastAsia="方正仿宋_GBK"/>
          <w:color w:val="000000"/>
          <w:kern w:val="0"/>
          <w:sz w:val="32"/>
          <w:szCs w:val="32"/>
        </w:rPr>
        <w:t>继续实施农产品品牌认证奖励和扶持政策。凡在我区行政区域内登记注册的农业经营主体或申报主体，自本文件发出之日起到</w:t>
      </w:r>
      <w:r>
        <w:rPr>
          <w:rFonts w:eastAsia="方正仿宋_GBK"/>
          <w:color w:val="000000"/>
          <w:kern w:val="0"/>
          <w:sz w:val="32"/>
          <w:szCs w:val="32"/>
        </w:rPr>
        <w:t>2022</w:t>
      </w:r>
      <w:r>
        <w:rPr>
          <w:rFonts w:hint="eastAsia" w:eastAsia="方正仿宋_GBK"/>
          <w:color w:val="000000"/>
          <w:kern w:val="0"/>
          <w:sz w:val="32"/>
          <w:szCs w:val="32"/>
        </w:rPr>
        <w:t>年</w:t>
      </w:r>
      <w:r>
        <w:rPr>
          <w:rFonts w:eastAsia="方正仿宋_GBK"/>
          <w:color w:val="000000"/>
          <w:kern w:val="0"/>
          <w:sz w:val="32"/>
          <w:szCs w:val="32"/>
        </w:rPr>
        <w:t>12</w:t>
      </w:r>
      <w:r>
        <w:rPr>
          <w:rFonts w:hint="eastAsia" w:eastAsia="方正仿宋_GBK"/>
          <w:color w:val="000000"/>
          <w:kern w:val="0"/>
          <w:sz w:val="32"/>
          <w:szCs w:val="32"/>
        </w:rPr>
        <w:t>月</w:t>
      </w:r>
      <w:r>
        <w:rPr>
          <w:rFonts w:eastAsia="方正仿宋_GBK"/>
          <w:color w:val="000000"/>
          <w:kern w:val="0"/>
          <w:sz w:val="32"/>
          <w:szCs w:val="32"/>
        </w:rPr>
        <w:t>31</w:t>
      </w:r>
      <w:r>
        <w:rPr>
          <w:rFonts w:hint="eastAsia" w:eastAsia="方正仿宋_GBK"/>
          <w:color w:val="000000"/>
          <w:kern w:val="0"/>
          <w:sz w:val="32"/>
          <w:szCs w:val="32"/>
        </w:rPr>
        <w:t>日止，其产品被农业农村部认证机构认定为“三品一标”（无公害农产品、绿色食品、有机农产品和农产品地理标志）的，分别给予</w:t>
      </w:r>
      <w:r>
        <w:rPr>
          <w:rFonts w:eastAsia="方正仿宋_GBK"/>
          <w:color w:val="000000"/>
          <w:kern w:val="0"/>
          <w:sz w:val="32"/>
          <w:szCs w:val="32"/>
        </w:rPr>
        <w:t>1</w:t>
      </w:r>
      <w:r>
        <w:rPr>
          <w:rFonts w:hint="eastAsia" w:eastAsia="方正仿宋_GBK"/>
          <w:color w:val="000000"/>
          <w:kern w:val="0"/>
          <w:sz w:val="32"/>
          <w:szCs w:val="32"/>
        </w:rPr>
        <w:t>万元、</w:t>
      </w:r>
      <w:r>
        <w:rPr>
          <w:rFonts w:eastAsia="方正仿宋_GBK"/>
          <w:color w:val="000000"/>
          <w:kern w:val="0"/>
          <w:sz w:val="32"/>
          <w:szCs w:val="32"/>
        </w:rPr>
        <w:t>2</w:t>
      </w:r>
      <w:r>
        <w:rPr>
          <w:rFonts w:hint="eastAsia" w:eastAsia="方正仿宋_GBK"/>
          <w:color w:val="000000"/>
          <w:kern w:val="0"/>
          <w:sz w:val="32"/>
          <w:szCs w:val="32"/>
        </w:rPr>
        <w:t>万元、</w:t>
      </w:r>
      <w:r>
        <w:rPr>
          <w:rFonts w:eastAsia="方正仿宋_GBK"/>
          <w:color w:val="000000"/>
          <w:kern w:val="0"/>
          <w:sz w:val="32"/>
          <w:szCs w:val="32"/>
        </w:rPr>
        <w:t>5</w:t>
      </w:r>
      <w:r>
        <w:rPr>
          <w:rFonts w:hint="eastAsia" w:eastAsia="方正仿宋_GBK"/>
          <w:color w:val="000000"/>
          <w:kern w:val="0"/>
          <w:sz w:val="32"/>
          <w:szCs w:val="32"/>
        </w:rPr>
        <w:t>万元、</w:t>
      </w:r>
      <w:r>
        <w:rPr>
          <w:rFonts w:eastAsia="方正仿宋_GBK"/>
          <w:color w:val="000000"/>
          <w:kern w:val="0"/>
          <w:sz w:val="32"/>
          <w:szCs w:val="32"/>
        </w:rPr>
        <w:t>10</w:t>
      </w:r>
      <w:r>
        <w:rPr>
          <w:rFonts w:hint="eastAsia" w:eastAsia="方正仿宋_GBK"/>
          <w:color w:val="000000"/>
          <w:kern w:val="0"/>
          <w:sz w:val="32"/>
          <w:szCs w:val="32"/>
        </w:rPr>
        <w:t>万元人民币的一次性补助；到期续展和复查换证享受同等待遇；对于获得中国名特优新农产品、重庆名牌农产品评选认定委员会认定的重庆市名牌农产品的，分别给予</w:t>
      </w:r>
      <w:r>
        <w:rPr>
          <w:rFonts w:eastAsia="方正仿宋_GBK"/>
          <w:color w:val="000000"/>
          <w:kern w:val="0"/>
          <w:sz w:val="32"/>
          <w:szCs w:val="32"/>
        </w:rPr>
        <w:t>3</w:t>
      </w:r>
      <w:r>
        <w:rPr>
          <w:rFonts w:hint="eastAsia" w:eastAsia="方正仿宋_GBK"/>
          <w:color w:val="000000"/>
          <w:kern w:val="0"/>
          <w:sz w:val="32"/>
          <w:szCs w:val="32"/>
        </w:rPr>
        <w:t>万、</w:t>
      </w:r>
      <w:r>
        <w:rPr>
          <w:rFonts w:eastAsia="方正仿宋_GBK"/>
          <w:color w:val="000000"/>
          <w:kern w:val="0"/>
          <w:sz w:val="32"/>
          <w:szCs w:val="32"/>
        </w:rPr>
        <w:t>2</w:t>
      </w:r>
      <w:r>
        <w:rPr>
          <w:rFonts w:hint="eastAsia" w:eastAsia="方正仿宋_GBK"/>
          <w:color w:val="000000"/>
          <w:kern w:val="0"/>
          <w:sz w:val="32"/>
          <w:szCs w:val="32"/>
        </w:rPr>
        <w:t>万元的一次性补助；对于获得中国驰名商标和地理标志商标的，分别给予</w:t>
      </w:r>
      <w:r>
        <w:rPr>
          <w:rFonts w:eastAsia="方正仿宋_GBK"/>
          <w:color w:val="000000"/>
          <w:kern w:val="0"/>
          <w:sz w:val="32"/>
          <w:szCs w:val="32"/>
        </w:rPr>
        <w:t>15</w:t>
      </w:r>
      <w:r>
        <w:rPr>
          <w:rFonts w:hint="eastAsia" w:eastAsia="方正仿宋_GBK"/>
          <w:color w:val="000000"/>
          <w:kern w:val="0"/>
          <w:sz w:val="32"/>
          <w:szCs w:val="32"/>
        </w:rPr>
        <w:t>万元、</w:t>
      </w:r>
      <w:r>
        <w:rPr>
          <w:rFonts w:eastAsia="方正仿宋_GBK"/>
          <w:color w:val="000000"/>
          <w:kern w:val="0"/>
          <w:sz w:val="32"/>
          <w:szCs w:val="32"/>
        </w:rPr>
        <w:t>8</w:t>
      </w:r>
      <w:r>
        <w:rPr>
          <w:rFonts w:hint="eastAsia" w:eastAsia="方正仿宋_GBK"/>
          <w:color w:val="000000"/>
          <w:kern w:val="0"/>
          <w:sz w:val="32"/>
          <w:szCs w:val="32"/>
        </w:rPr>
        <w:t>万元的一次性补助；对于获得国家生态原产地产品保护证书的，给予</w:t>
      </w:r>
      <w:r>
        <w:rPr>
          <w:rFonts w:eastAsia="方正仿宋_GBK"/>
          <w:color w:val="000000"/>
          <w:kern w:val="0"/>
          <w:sz w:val="32"/>
          <w:szCs w:val="32"/>
        </w:rPr>
        <w:t>5</w:t>
      </w:r>
      <w:r>
        <w:rPr>
          <w:rFonts w:hint="eastAsia" w:eastAsia="方正仿宋_GBK"/>
          <w:color w:val="000000"/>
          <w:kern w:val="0"/>
          <w:sz w:val="32"/>
          <w:szCs w:val="32"/>
        </w:rPr>
        <w:t>万元的一次性补助。符合补助条件的农业经营主体或申报主体自行申报，凭获得的认证证书、营业执照、法人代表证件、申请书、相关部门证明材料等资料，于每年</w:t>
      </w:r>
      <w:r>
        <w:rPr>
          <w:rFonts w:eastAsia="方正仿宋_GBK"/>
          <w:color w:val="000000"/>
          <w:kern w:val="0"/>
          <w:sz w:val="32"/>
          <w:szCs w:val="32"/>
        </w:rPr>
        <w:t>11</w:t>
      </w:r>
      <w:r>
        <w:rPr>
          <w:rFonts w:hint="eastAsia" w:eastAsia="方正仿宋_GBK"/>
          <w:color w:val="000000"/>
          <w:kern w:val="0"/>
          <w:sz w:val="32"/>
          <w:szCs w:val="32"/>
        </w:rPr>
        <w:t>月</w:t>
      </w:r>
      <w:r>
        <w:rPr>
          <w:rFonts w:eastAsia="方正仿宋_GBK"/>
          <w:color w:val="000000"/>
          <w:kern w:val="0"/>
          <w:sz w:val="32"/>
          <w:szCs w:val="32"/>
        </w:rPr>
        <w:t>20</w:t>
      </w:r>
      <w:r>
        <w:rPr>
          <w:rFonts w:hint="eastAsia" w:eastAsia="方正仿宋_GBK"/>
          <w:color w:val="000000"/>
          <w:kern w:val="0"/>
          <w:sz w:val="32"/>
          <w:szCs w:val="32"/>
        </w:rPr>
        <w:t>日前向区农业农村委申报（</w:t>
      </w:r>
      <w:r>
        <w:rPr>
          <w:rFonts w:eastAsia="方正仿宋_GBK"/>
          <w:color w:val="000000"/>
          <w:kern w:val="0"/>
          <w:sz w:val="32"/>
          <w:szCs w:val="32"/>
        </w:rPr>
        <w:t>11</w:t>
      </w:r>
      <w:r>
        <w:rPr>
          <w:rFonts w:hint="eastAsia" w:eastAsia="方正仿宋_GBK"/>
          <w:color w:val="000000"/>
          <w:kern w:val="0"/>
          <w:sz w:val="32"/>
          <w:szCs w:val="32"/>
        </w:rPr>
        <w:t>月</w:t>
      </w:r>
      <w:r>
        <w:rPr>
          <w:rFonts w:eastAsia="方正仿宋_GBK"/>
          <w:color w:val="000000"/>
          <w:kern w:val="0"/>
          <w:sz w:val="32"/>
          <w:szCs w:val="32"/>
        </w:rPr>
        <w:t>20</w:t>
      </w:r>
      <w:r>
        <w:rPr>
          <w:rFonts w:hint="eastAsia" w:eastAsia="方正仿宋_GBK"/>
          <w:color w:val="000000"/>
          <w:kern w:val="0"/>
          <w:sz w:val="32"/>
          <w:szCs w:val="32"/>
        </w:rPr>
        <w:t>日后获得认证的纳入次年申报），区农业农村委会同有关部门对真实性进行审查后公示，公示无异议的兑现补助。</w:t>
      </w:r>
      <w:r>
        <w:rPr>
          <w:rFonts w:hint="eastAsia" w:ascii="方正楷体_GBK" w:hAnsi="方正楷体_GBK" w:eastAsia="方正楷体_GBK" w:cs="方正楷体_GBK"/>
          <w:color w:val="000000"/>
          <w:kern w:val="0"/>
          <w:sz w:val="32"/>
          <w:szCs w:val="32"/>
        </w:rPr>
        <w:t>（责任单位：区农业农村委、区财政局、区规划自然资源局）</w:t>
      </w:r>
    </w:p>
    <w:p>
      <w:pPr>
        <w:keepNext w:val="0"/>
        <w:keepLines w:val="0"/>
        <w:pageBreakBefore w:val="0"/>
        <w:widowControl w:val="0"/>
        <w:kinsoku/>
        <w:overflowPunct/>
        <w:topLinePunct w:val="0"/>
        <w:bidi w:val="0"/>
        <w:snapToGrid/>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eastAsia="方正楷体_GBK"/>
          <w:color w:val="000000"/>
          <w:kern w:val="0"/>
          <w:sz w:val="32"/>
          <w:szCs w:val="32"/>
        </w:rPr>
        <w:t>（三）加强改革创新。</w:t>
      </w:r>
      <w:r>
        <w:rPr>
          <w:rFonts w:hint="eastAsia" w:eastAsia="方正仿宋_GBK"/>
          <w:color w:val="000000"/>
          <w:kern w:val="0"/>
          <w:sz w:val="32"/>
          <w:szCs w:val="32"/>
        </w:rPr>
        <w:t>稳妥开展农村“三变”改革试点，在总结试点经验基础上向面上推开。建立健全农村“三变”改革的长效机制，持久释放改革红利。深入推进财政补助资金股权化改革，密切利益联结，推进小农户和现代农业发展有机衔接。做实产业扶贫，支持贫困村和扶贫重点村的特色农产品走品牌化道路，努力提高贫困群众收入。根据农业科研评价机制，探索开展农业科研“后补助”试点。探索公益性和经营性农技推广融合发展机制，允许农技人员通过提供增值服务合理取酬。积极培育农产品品牌评价研究机构，支持其开展品牌价值评价、发展指数等研究。发展一批品牌建设中介服务企业，提供设计、营销、包装和咨询等方面的专业服务。</w:t>
      </w:r>
      <w:r>
        <w:rPr>
          <w:rFonts w:hint="eastAsia" w:hAnsi="方正仿宋_GBK" w:eastAsia="方正仿宋_GBK"/>
          <w:color w:val="000000"/>
          <w:sz w:val="32"/>
          <w:szCs w:val="32"/>
        </w:rPr>
        <w:t>大力实施科技特派员制度，鼓励科技特派员创办、协办新品种示范基地。加大农业新品种、新技术示范基地立项支持力度，鼓励农业科技创新。</w:t>
      </w:r>
      <w:r>
        <w:rPr>
          <w:rFonts w:hint="eastAsia" w:ascii="方正楷体_GBK" w:hAnsi="方正楷体_GBK" w:eastAsia="方正楷体_GBK" w:cs="方正楷体_GBK"/>
          <w:color w:val="000000"/>
          <w:sz w:val="32"/>
          <w:szCs w:val="32"/>
        </w:rPr>
        <w:t>（责任单位：区农业农村委、区财政局、区科技局）</w:t>
      </w:r>
    </w:p>
    <w:p>
      <w:pPr>
        <w:keepNext w:val="0"/>
        <w:keepLines w:val="0"/>
        <w:pageBreakBefore w:val="0"/>
        <w:widowControl w:val="0"/>
        <w:kinsoku/>
        <w:overflowPunct/>
        <w:topLinePunct w:val="0"/>
        <w:bidi w:val="0"/>
        <w:snapToGrid/>
        <w:spacing w:line="600" w:lineRule="exact"/>
        <w:ind w:firstLine="640" w:firstLineChars="200"/>
        <w:textAlignment w:val="auto"/>
        <w:rPr>
          <w:rFonts w:ascii="方正楷体_GBK" w:hAnsi="方正楷体_GBK" w:eastAsia="方正楷体_GBK" w:cs="方正楷体_GBK"/>
          <w:color w:val="000000"/>
          <w:sz w:val="32"/>
          <w:szCs w:val="32"/>
        </w:rPr>
      </w:pPr>
      <w:r>
        <w:rPr>
          <w:rFonts w:hint="eastAsia" w:eastAsia="仿宋_GB2312"/>
          <w:color w:val="000000"/>
          <w:kern w:val="0"/>
          <w:sz w:val="32"/>
          <w:szCs w:val="32"/>
        </w:rPr>
        <w:t>（</w:t>
      </w:r>
      <w:r>
        <w:rPr>
          <w:rFonts w:hint="eastAsia" w:eastAsia="方正楷体_GBK"/>
          <w:color w:val="000000"/>
          <w:kern w:val="0"/>
          <w:sz w:val="32"/>
          <w:szCs w:val="32"/>
        </w:rPr>
        <w:t>四）加强基础建设</w:t>
      </w:r>
      <w:r>
        <w:rPr>
          <w:rFonts w:hint="eastAsia" w:eastAsia="仿宋_GB2312"/>
          <w:color w:val="000000"/>
          <w:kern w:val="0"/>
          <w:sz w:val="32"/>
          <w:szCs w:val="32"/>
        </w:rPr>
        <w:t>。</w:t>
      </w:r>
      <w:r>
        <w:rPr>
          <w:rFonts w:hint="eastAsia" w:eastAsia="方正仿宋_GBK"/>
          <w:color w:val="000000"/>
          <w:kern w:val="0"/>
          <w:sz w:val="32"/>
          <w:szCs w:val="32"/>
        </w:rPr>
        <w:t>强化农村公路与农业基地、乡村旅游有效对接，与供销、邮政快递等农村物流基础设施衔接，建设旅游道路、产业道路</w:t>
      </w:r>
      <w:r>
        <w:rPr>
          <w:rFonts w:eastAsia="方正仿宋_GBK"/>
          <w:color w:val="000000"/>
          <w:kern w:val="0"/>
          <w:sz w:val="32"/>
          <w:szCs w:val="32"/>
        </w:rPr>
        <w:t>100</w:t>
      </w:r>
      <w:r>
        <w:rPr>
          <w:rFonts w:hint="eastAsia" w:eastAsia="方正仿宋_GBK"/>
          <w:color w:val="000000"/>
          <w:kern w:val="0"/>
          <w:sz w:val="32"/>
          <w:szCs w:val="32"/>
        </w:rPr>
        <w:t>公里，完成“四好农村路”通畅工程</w:t>
      </w:r>
      <w:r>
        <w:rPr>
          <w:rFonts w:eastAsia="方正仿宋_GBK"/>
          <w:color w:val="000000"/>
          <w:kern w:val="0"/>
          <w:sz w:val="32"/>
          <w:szCs w:val="32"/>
        </w:rPr>
        <w:t>747</w:t>
      </w:r>
      <w:r>
        <w:rPr>
          <w:rFonts w:hint="eastAsia" w:eastAsia="方正仿宋_GBK"/>
          <w:color w:val="000000"/>
          <w:kern w:val="0"/>
          <w:sz w:val="32"/>
          <w:szCs w:val="32"/>
        </w:rPr>
        <w:t>公里。</w:t>
      </w:r>
      <w:r>
        <w:rPr>
          <w:rFonts w:hint="eastAsia" w:eastAsia="方正仿宋_GBK"/>
          <w:color w:val="000000"/>
          <w:sz w:val="32"/>
          <w:szCs w:val="32"/>
        </w:rPr>
        <w:t>加快光纤和</w:t>
      </w:r>
      <w:r>
        <w:rPr>
          <w:rFonts w:eastAsia="方正仿宋_GBK"/>
          <w:color w:val="000000"/>
          <w:sz w:val="32"/>
          <w:szCs w:val="32"/>
        </w:rPr>
        <w:t>4G</w:t>
      </w:r>
      <w:r>
        <w:rPr>
          <w:rFonts w:hint="eastAsia" w:eastAsia="方正仿宋_GBK"/>
          <w:color w:val="000000"/>
          <w:sz w:val="32"/>
          <w:szCs w:val="32"/>
        </w:rPr>
        <w:t>网络由行政村</w:t>
      </w:r>
      <w:r>
        <w:rPr>
          <w:rFonts w:hint="eastAsia" w:hAnsi="方正仿宋_GBK" w:eastAsia="方正仿宋_GBK"/>
          <w:color w:val="000000"/>
          <w:sz w:val="32"/>
          <w:szCs w:val="32"/>
        </w:rPr>
        <w:t>向自然村落延伸</w:t>
      </w:r>
      <w:r>
        <w:rPr>
          <w:rFonts w:hint="eastAsia" w:eastAsia="方正仿宋_GBK"/>
          <w:color w:val="000000"/>
          <w:sz w:val="32"/>
          <w:szCs w:val="32"/>
        </w:rPr>
        <w:t>，到</w:t>
      </w:r>
      <w:r>
        <w:rPr>
          <w:rFonts w:eastAsia="方正仿宋_GBK"/>
          <w:color w:val="000000"/>
          <w:sz w:val="32"/>
          <w:szCs w:val="32"/>
        </w:rPr>
        <w:t>2022</w:t>
      </w:r>
      <w:r>
        <w:rPr>
          <w:rFonts w:hint="eastAsia" w:eastAsia="方正仿宋_GBK"/>
          <w:color w:val="000000"/>
          <w:sz w:val="32"/>
          <w:szCs w:val="32"/>
        </w:rPr>
        <w:t>年，农村居民集聚点建设</w:t>
      </w:r>
      <w:r>
        <w:rPr>
          <w:rFonts w:eastAsia="方正仿宋_GBK"/>
          <w:color w:val="000000"/>
          <w:sz w:val="32"/>
          <w:szCs w:val="32"/>
        </w:rPr>
        <w:t>4G</w:t>
      </w:r>
      <w:r>
        <w:rPr>
          <w:rFonts w:hint="eastAsia" w:eastAsia="方正仿宋_GBK"/>
          <w:color w:val="000000"/>
          <w:sz w:val="32"/>
          <w:szCs w:val="32"/>
        </w:rPr>
        <w:t>基站达到</w:t>
      </w:r>
      <w:r>
        <w:rPr>
          <w:rFonts w:eastAsia="方正仿宋_GBK"/>
          <w:color w:val="000000"/>
          <w:sz w:val="32"/>
          <w:szCs w:val="32"/>
        </w:rPr>
        <w:t>310</w:t>
      </w:r>
      <w:r>
        <w:rPr>
          <w:rFonts w:hint="eastAsia" w:eastAsia="方正仿宋_GBK"/>
          <w:color w:val="000000"/>
          <w:sz w:val="32"/>
          <w:szCs w:val="32"/>
        </w:rPr>
        <w:t>个，进一步提高农村地区光网覆盖广度和深度，构建城乡布局合理、均衡发展、功能完善、安全高效的信息通信网络。加快推进农业生产、农产品销售、农村金融服务等领域的大数据建设和信息化服务，到</w:t>
      </w:r>
      <w:r>
        <w:rPr>
          <w:rFonts w:eastAsia="方正仿宋_GBK"/>
          <w:color w:val="000000"/>
          <w:sz w:val="32"/>
          <w:szCs w:val="32"/>
        </w:rPr>
        <w:t>2022</w:t>
      </w:r>
      <w:r>
        <w:rPr>
          <w:rFonts w:hint="eastAsia" w:eastAsia="方正仿宋_GBK"/>
          <w:color w:val="000000"/>
          <w:sz w:val="32"/>
          <w:szCs w:val="32"/>
        </w:rPr>
        <w:t>年，建成“移动互联网村”</w:t>
      </w:r>
      <w:r>
        <w:rPr>
          <w:rFonts w:eastAsia="方正仿宋_GBK"/>
          <w:color w:val="000000"/>
          <w:sz w:val="32"/>
          <w:szCs w:val="32"/>
        </w:rPr>
        <w:t>40</w:t>
      </w:r>
      <w:r>
        <w:rPr>
          <w:rFonts w:hint="eastAsia" w:eastAsia="方正仿宋_GBK"/>
          <w:color w:val="000000"/>
          <w:sz w:val="32"/>
          <w:szCs w:val="32"/>
        </w:rPr>
        <w:t>个、“互联网小镇”</w:t>
      </w:r>
      <w:r>
        <w:rPr>
          <w:rFonts w:eastAsia="方正仿宋_GBK"/>
          <w:color w:val="000000"/>
          <w:sz w:val="32"/>
          <w:szCs w:val="32"/>
        </w:rPr>
        <w:t>3</w:t>
      </w:r>
      <w:r>
        <w:rPr>
          <w:rFonts w:hint="eastAsia" w:eastAsia="方正仿宋_GBK"/>
          <w:color w:val="000000"/>
          <w:sz w:val="32"/>
          <w:szCs w:val="32"/>
        </w:rPr>
        <w:t>个。重点实施农田水利建设，扎实推进农业节水行动，构建符合丘陵山区特点的农业灌溉供水网络体系。推进新一轮农网升级改造工程，优化电网结构，加强低电压线路改造、增加配变数量，提高无功补偿容量。</w:t>
      </w:r>
      <w:r>
        <w:rPr>
          <w:rFonts w:hint="eastAsia" w:ascii="方正楷体_GBK" w:hAnsi="方正楷体_GBK" w:eastAsia="方正楷体_GBK" w:cs="方正楷体_GBK"/>
          <w:color w:val="000000"/>
          <w:sz w:val="32"/>
          <w:szCs w:val="32"/>
        </w:rPr>
        <w:t>（责任单位：区交通局、区经济信息委、区水利局、区发展改革委）</w:t>
      </w:r>
    </w:p>
    <w:p>
      <w:pPr>
        <w:keepNext w:val="0"/>
        <w:keepLines w:val="0"/>
        <w:pageBreakBefore w:val="0"/>
        <w:widowControl w:val="0"/>
        <w:kinsoku/>
        <w:overflowPunct/>
        <w:topLinePunct w:val="0"/>
        <w:bidi w:val="0"/>
        <w:snapToGrid/>
        <w:spacing w:line="600" w:lineRule="exact"/>
        <w:ind w:firstLine="640" w:firstLineChars="200"/>
        <w:textAlignment w:val="auto"/>
        <w:rPr>
          <w:rFonts w:ascii="方正楷体_GBK" w:hAnsi="方正楷体_GBK" w:eastAsia="方正楷体_GBK" w:cs="方正楷体_GBK"/>
          <w:color w:val="000000"/>
          <w:sz w:val="32"/>
          <w:szCs w:val="32"/>
        </w:rPr>
      </w:pPr>
    </w:p>
    <w:p>
      <w:pPr>
        <w:keepNext w:val="0"/>
        <w:keepLines w:val="0"/>
        <w:pageBreakBefore w:val="0"/>
        <w:widowControl w:val="0"/>
        <w:kinsoku/>
        <w:overflowPunct/>
        <w:topLinePunct w:val="0"/>
        <w:bidi w:val="0"/>
        <w:snapToGrid/>
        <w:spacing w:line="600" w:lineRule="exact"/>
        <w:ind w:firstLine="640" w:firstLineChars="200"/>
        <w:textAlignment w:val="auto"/>
        <w:rPr>
          <w:rFonts w:eastAsia="方正黑体_GBK"/>
          <w:color w:val="000000"/>
          <w:kern w:val="0"/>
          <w:sz w:val="32"/>
          <w:szCs w:val="32"/>
        </w:rPr>
      </w:pPr>
      <w:r>
        <w:rPr>
          <w:rFonts w:hint="eastAsia" w:eastAsia="方正仿宋_GBK"/>
          <w:color w:val="000000"/>
          <w:sz w:val="32"/>
          <w:szCs w:val="32"/>
        </w:rPr>
        <w:t>附件：潼南区农业品种品质品牌建设工程项目清单</w:t>
      </w:r>
    </w:p>
    <w:p>
      <w:pPr>
        <w:snapToGrid w:val="0"/>
        <w:spacing w:line="600" w:lineRule="exact"/>
        <w:jc w:val="center"/>
        <w:rPr>
          <w:rFonts w:eastAsia="方正小标宋_GBK"/>
          <w:color w:val="000000"/>
          <w:sz w:val="36"/>
          <w:szCs w:val="36"/>
        </w:rPr>
      </w:pPr>
    </w:p>
    <w:p>
      <w:pPr>
        <w:snapToGrid w:val="0"/>
        <w:spacing w:line="600" w:lineRule="exact"/>
        <w:jc w:val="lef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附件</w:t>
      </w:r>
    </w:p>
    <w:p>
      <w:pPr>
        <w:snapToGrid w:val="0"/>
        <w:spacing w:line="600" w:lineRule="exact"/>
        <w:jc w:val="center"/>
        <w:rPr>
          <w:rFonts w:hint="eastAsia" w:ascii="方正小标宋_GBK" w:eastAsia="方正小标宋_GBK"/>
          <w:color w:val="000000"/>
          <w:sz w:val="44"/>
          <w:szCs w:val="44"/>
        </w:rPr>
      </w:pPr>
    </w:p>
    <w:p>
      <w:pPr>
        <w:snapToGrid w:val="0"/>
        <w:spacing w:line="600" w:lineRule="exact"/>
        <w:jc w:val="center"/>
        <w:rPr>
          <w:rFonts w:ascii="方正小标宋_GBK" w:eastAsia="方正小标宋_GBK"/>
          <w:color w:val="000000"/>
          <w:sz w:val="44"/>
          <w:szCs w:val="44"/>
        </w:rPr>
      </w:pPr>
      <w:bookmarkStart w:id="2" w:name="_GoBack"/>
      <w:r>
        <w:rPr>
          <w:rFonts w:hint="eastAsia" w:ascii="方正小标宋_GBK" w:eastAsia="方正小标宋_GBK"/>
          <w:color w:val="000000"/>
          <w:sz w:val="44"/>
          <w:szCs w:val="44"/>
        </w:rPr>
        <w:t>潼南区</w:t>
      </w:r>
      <w:bookmarkEnd w:id="2"/>
      <w:r>
        <w:rPr>
          <w:rFonts w:hint="eastAsia" w:ascii="方正小标宋_GBK" w:eastAsia="方正小标宋_GBK"/>
          <w:color w:val="000000"/>
          <w:sz w:val="44"/>
          <w:szCs w:val="44"/>
        </w:rPr>
        <w:t>农业品种品质品牌建设工程项目清单</w:t>
      </w:r>
    </w:p>
    <w:p>
      <w:pPr>
        <w:snapToGrid w:val="0"/>
        <w:spacing w:line="600" w:lineRule="exact"/>
        <w:rPr>
          <w:color w:val="000000"/>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7" w:type="dxa"/>
          <w:bottom w:w="0" w:type="dxa"/>
          <w:right w:w="57" w:type="dxa"/>
        </w:tblCellMar>
      </w:tblPr>
      <w:tblGrid>
        <w:gridCol w:w="318"/>
        <w:gridCol w:w="589"/>
        <w:gridCol w:w="2091"/>
        <w:gridCol w:w="1064"/>
        <w:gridCol w:w="1793"/>
        <w:gridCol w:w="1559"/>
        <w:gridCol w:w="154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40" w:hRule="atLeast"/>
          <w:tblHeader/>
          <w:jc w:val="center"/>
        </w:trPr>
        <w:tc>
          <w:tcPr>
            <w:tcW w:w="318" w:type="dxa"/>
            <w:vMerge w:val="restart"/>
            <w:tcBorders>
              <w:top w:val="single" w:color="auto" w:sz="6" w:space="0"/>
            </w:tcBorders>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r>
              <w:rPr>
                <w:rFonts w:hint="eastAsia" w:ascii="方正黑体_GBK" w:eastAsia="方正黑体_GBK"/>
                <w:snapToGrid w:val="0"/>
                <w:color w:val="000000"/>
                <w:spacing w:val="-4"/>
                <w:sz w:val="18"/>
                <w:szCs w:val="18"/>
              </w:rPr>
              <w:t>序号</w:t>
            </w:r>
          </w:p>
        </w:tc>
        <w:tc>
          <w:tcPr>
            <w:tcW w:w="589" w:type="dxa"/>
            <w:vMerge w:val="restart"/>
            <w:tcBorders>
              <w:top w:val="single" w:color="auto" w:sz="6" w:space="0"/>
            </w:tcBorders>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r>
              <w:rPr>
                <w:rFonts w:hint="eastAsia" w:ascii="方正黑体_GBK" w:eastAsia="方正黑体_GBK"/>
                <w:snapToGrid w:val="0"/>
                <w:color w:val="000000"/>
                <w:spacing w:val="-4"/>
                <w:sz w:val="18"/>
                <w:szCs w:val="18"/>
              </w:rPr>
              <w:t>工程</w:t>
            </w:r>
          </w:p>
          <w:p>
            <w:pPr>
              <w:adjustRightInd w:val="0"/>
              <w:snapToGrid w:val="0"/>
              <w:spacing w:line="240" w:lineRule="exact"/>
              <w:jc w:val="center"/>
              <w:rPr>
                <w:rFonts w:ascii="方正黑体_GBK" w:eastAsia="方正黑体_GBK"/>
                <w:snapToGrid w:val="0"/>
                <w:color w:val="000000"/>
                <w:spacing w:val="-4"/>
                <w:sz w:val="18"/>
                <w:szCs w:val="18"/>
              </w:rPr>
            </w:pPr>
            <w:r>
              <w:rPr>
                <w:rFonts w:hint="eastAsia" w:ascii="方正黑体_GBK" w:eastAsia="方正黑体_GBK"/>
                <w:snapToGrid w:val="0"/>
                <w:color w:val="000000"/>
                <w:spacing w:val="-4"/>
                <w:sz w:val="18"/>
                <w:szCs w:val="18"/>
              </w:rPr>
              <w:t>项目</w:t>
            </w:r>
          </w:p>
        </w:tc>
        <w:tc>
          <w:tcPr>
            <w:tcW w:w="2091" w:type="dxa"/>
            <w:vMerge w:val="restart"/>
            <w:tcBorders>
              <w:top w:val="single" w:color="auto" w:sz="6" w:space="0"/>
            </w:tcBorders>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r>
              <w:rPr>
                <w:rFonts w:hint="eastAsia" w:ascii="方正黑体_GBK" w:eastAsia="方正黑体_GBK"/>
                <w:snapToGrid w:val="0"/>
                <w:color w:val="000000"/>
                <w:spacing w:val="-4"/>
                <w:sz w:val="18"/>
                <w:szCs w:val="18"/>
              </w:rPr>
              <w:t>主要建设内容</w:t>
            </w:r>
          </w:p>
        </w:tc>
        <w:tc>
          <w:tcPr>
            <w:tcW w:w="1064" w:type="dxa"/>
            <w:vMerge w:val="restart"/>
            <w:tcBorders>
              <w:top w:val="single" w:color="auto" w:sz="6" w:space="0"/>
            </w:tcBorders>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r>
              <w:rPr>
                <w:rFonts w:hint="eastAsia" w:ascii="方正黑体_GBK" w:eastAsia="方正黑体_GBK"/>
                <w:snapToGrid w:val="0"/>
                <w:color w:val="000000"/>
                <w:spacing w:val="-4"/>
                <w:sz w:val="18"/>
                <w:szCs w:val="18"/>
              </w:rPr>
              <w:t>责任单位</w:t>
            </w:r>
          </w:p>
        </w:tc>
        <w:tc>
          <w:tcPr>
            <w:tcW w:w="4896" w:type="dxa"/>
            <w:gridSpan w:val="3"/>
            <w:tcBorders>
              <w:top w:val="single" w:color="auto" w:sz="6" w:space="0"/>
            </w:tcBorders>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r>
              <w:rPr>
                <w:rFonts w:hint="eastAsia" w:ascii="方正黑体_GBK" w:eastAsia="方正黑体_GBK"/>
                <w:snapToGrid w:val="0"/>
                <w:color w:val="000000"/>
                <w:spacing w:val="-4"/>
                <w:sz w:val="18"/>
                <w:szCs w:val="18"/>
              </w:rPr>
              <w:t>阶段目标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40" w:hRule="atLeast"/>
          <w:tblHeader/>
          <w:jc w:val="center"/>
        </w:trPr>
        <w:tc>
          <w:tcPr>
            <w:tcW w:w="318" w:type="dxa"/>
            <w:vMerge w:val="continue"/>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p>
        </w:tc>
        <w:tc>
          <w:tcPr>
            <w:tcW w:w="589" w:type="dxa"/>
            <w:vMerge w:val="continue"/>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p>
        </w:tc>
        <w:tc>
          <w:tcPr>
            <w:tcW w:w="2091" w:type="dxa"/>
            <w:vMerge w:val="continue"/>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p>
        </w:tc>
        <w:tc>
          <w:tcPr>
            <w:tcW w:w="1064" w:type="dxa"/>
            <w:vMerge w:val="continue"/>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p>
        </w:tc>
        <w:tc>
          <w:tcPr>
            <w:tcW w:w="1793" w:type="dxa"/>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r>
              <w:rPr>
                <w:rFonts w:ascii="方正黑体_GBK" w:eastAsia="方正黑体_GBK"/>
                <w:snapToGrid w:val="0"/>
                <w:color w:val="000000"/>
                <w:spacing w:val="-4"/>
                <w:sz w:val="18"/>
                <w:szCs w:val="18"/>
              </w:rPr>
              <w:t>2019</w:t>
            </w:r>
            <w:r>
              <w:rPr>
                <w:rFonts w:hint="eastAsia" w:ascii="方正黑体_GBK" w:eastAsia="方正黑体_GBK"/>
                <w:snapToGrid w:val="0"/>
                <w:color w:val="000000"/>
                <w:spacing w:val="-4"/>
                <w:sz w:val="18"/>
                <w:szCs w:val="18"/>
              </w:rPr>
              <w:t>年</w:t>
            </w:r>
          </w:p>
        </w:tc>
        <w:tc>
          <w:tcPr>
            <w:tcW w:w="1559" w:type="dxa"/>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r>
              <w:rPr>
                <w:rFonts w:ascii="方正黑体_GBK" w:eastAsia="方正黑体_GBK"/>
                <w:snapToGrid w:val="0"/>
                <w:color w:val="000000"/>
                <w:spacing w:val="-4"/>
                <w:sz w:val="18"/>
                <w:szCs w:val="18"/>
              </w:rPr>
              <w:t>2020</w:t>
            </w:r>
            <w:r>
              <w:rPr>
                <w:rFonts w:hint="eastAsia" w:ascii="方正黑体_GBK" w:eastAsia="方正黑体_GBK"/>
                <w:snapToGrid w:val="0"/>
                <w:color w:val="000000"/>
                <w:spacing w:val="-4"/>
                <w:sz w:val="18"/>
                <w:szCs w:val="18"/>
              </w:rPr>
              <w:t>年</w:t>
            </w:r>
          </w:p>
        </w:tc>
        <w:tc>
          <w:tcPr>
            <w:tcW w:w="1544" w:type="dxa"/>
            <w:noWrap w:val="0"/>
            <w:vAlign w:val="center"/>
          </w:tcPr>
          <w:p>
            <w:pPr>
              <w:adjustRightInd w:val="0"/>
              <w:snapToGrid w:val="0"/>
              <w:spacing w:line="240" w:lineRule="exact"/>
              <w:jc w:val="center"/>
              <w:rPr>
                <w:rFonts w:ascii="方正黑体_GBK" w:eastAsia="方正黑体_GBK"/>
                <w:snapToGrid w:val="0"/>
                <w:color w:val="000000"/>
                <w:spacing w:val="-4"/>
                <w:sz w:val="18"/>
                <w:szCs w:val="18"/>
              </w:rPr>
            </w:pPr>
            <w:r>
              <w:rPr>
                <w:rFonts w:ascii="方正黑体_GBK" w:eastAsia="方正黑体_GBK"/>
                <w:snapToGrid w:val="0"/>
                <w:color w:val="000000"/>
                <w:spacing w:val="-4"/>
                <w:sz w:val="18"/>
                <w:szCs w:val="18"/>
              </w:rPr>
              <w:t>2022</w:t>
            </w:r>
            <w:r>
              <w:rPr>
                <w:rFonts w:hint="eastAsia" w:ascii="方正黑体_GBK" w:eastAsia="方正黑体_GBK"/>
                <w:snapToGrid w:val="0"/>
                <w:color w:val="000000"/>
                <w:spacing w:val="-4"/>
                <w:sz w:val="18"/>
                <w:szCs w:val="18"/>
              </w:rPr>
              <w:t>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40" w:hRule="atLeast"/>
          <w:jc w:val="center"/>
        </w:trPr>
        <w:tc>
          <w:tcPr>
            <w:tcW w:w="318"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1</w:t>
            </w:r>
          </w:p>
        </w:tc>
        <w:tc>
          <w:tcPr>
            <w:tcW w:w="58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优良品种</w:t>
            </w:r>
          </w:p>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引进工程</w:t>
            </w:r>
          </w:p>
        </w:tc>
        <w:tc>
          <w:tcPr>
            <w:tcW w:w="2091"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引进柠檬、晚熟柑橘、生态畜禽、水产、中药材等优质高产高效品种32个。</w:t>
            </w:r>
          </w:p>
        </w:tc>
        <w:tc>
          <w:tcPr>
            <w:tcW w:w="106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区农业农村委、区科技局、区林业局</w:t>
            </w:r>
          </w:p>
        </w:tc>
        <w:tc>
          <w:tcPr>
            <w:tcW w:w="1793"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新引进特色粮油品种3个、尤力克柠檬1</w:t>
            </w:r>
            <w:r>
              <w:rPr>
                <w:rFonts w:hint="default" w:ascii="Times New Roman" w:hAnsi="Times New Roman" w:eastAsia="方正仿宋_GBK" w:cs="Times New Roman"/>
                <w:snapToGrid w:val="0"/>
                <w:color w:val="000000"/>
                <w:spacing w:val="-8"/>
                <w:sz w:val="18"/>
                <w:szCs w:val="18"/>
              </w:rPr>
              <w:t>个、晚熟柑橘品种1个；发展畜禽、水产品、</w:t>
            </w:r>
            <w:r>
              <w:rPr>
                <w:rFonts w:hint="default" w:ascii="Times New Roman" w:hAnsi="Times New Roman" w:eastAsia="方正仿宋_GBK" w:cs="Times New Roman"/>
                <w:snapToGrid w:val="0"/>
                <w:color w:val="000000"/>
                <w:spacing w:val="-4"/>
                <w:sz w:val="18"/>
                <w:szCs w:val="18"/>
              </w:rPr>
              <w:t>中药材</w:t>
            </w:r>
            <w:r>
              <w:rPr>
                <w:rFonts w:hint="default" w:ascii="Times New Roman" w:hAnsi="Times New Roman" w:eastAsia="方正仿宋_GBK" w:cs="Times New Roman"/>
                <w:snapToGrid w:val="0"/>
                <w:color w:val="000000"/>
                <w:spacing w:val="-8"/>
                <w:sz w:val="18"/>
                <w:szCs w:val="18"/>
              </w:rPr>
              <w:t>品种各1个。</w:t>
            </w:r>
          </w:p>
        </w:tc>
        <w:tc>
          <w:tcPr>
            <w:tcW w:w="155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6"/>
                <w:sz w:val="18"/>
                <w:szCs w:val="18"/>
              </w:rPr>
            </w:pPr>
            <w:r>
              <w:rPr>
                <w:rFonts w:hint="default" w:ascii="Times New Roman" w:hAnsi="Times New Roman" w:eastAsia="方正仿宋_GBK" w:cs="Times New Roman"/>
                <w:snapToGrid w:val="0"/>
                <w:color w:val="000000"/>
                <w:spacing w:val="-6"/>
                <w:sz w:val="18"/>
                <w:szCs w:val="18"/>
              </w:rPr>
              <w:t>新</w:t>
            </w:r>
            <w:r>
              <w:rPr>
                <w:rFonts w:hint="default" w:ascii="Times New Roman" w:hAnsi="Times New Roman" w:eastAsia="方正仿宋_GBK" w:cs="Times New Roman"/>
                <w:snapToGrid w:val="0"/>
                <w:color w:val="000000"/>
                <w:spacing w:val="-4"/>
                <w:sz w:val="18"/>
                <w:szCs w:val="18"/>
              </w:rPr>
              <w:t>引进特色粮油品种3个、</w:t>
            </w:r>
            <w:r>
              <w:rPr>
                <w:rFonts w:hint="default" w:ascii="Times New Roman" w:hAnsi="Times New Roman" w:eastAsia="方正仿宋_GBK" w:cs="Times New Roman"/>
                <w:snapToGrid w:val="0"/>
                <w:color w:val="000000"/>
                <w:spacing w:val="-8"/>
                <w:sz w:val="18"/>
                <w:szCs w:val="18"/>
              </w:rPr>
              <w:t>晚熟柑橘品种2个；新发展畜禽、水产品、</w:t>
            </w:r>
            <w:r>
              <w:rPr>
                <w:rFonts w:hint="default" w:ascii="Times New Roman" w:hAnsi="Times New Roman" w:eastAsia="方正仿宋_GBK" w:cs="Times New Roman"/>
                <w:snapToGrid w:val="0"/>
                <w:color w:val="000000"/>
                <w:spacing w:val="-4"/>
                <w:sz w:val="18"/>
                <w:szCs w:val="18"/>
              </w:rPr>
              <w:t>中药材</w:t>
            </w:r>
            <w:r>
              <w:rPr>
                <w:rFonts w:hint="default" w:ascii="Times New Roman" w:hAnsi="Times New Roman" w:eastAsia="方正仿宋_GBK" w:cs="Times New Roman"/>
                <w:snapToGrid w:val="0"/>
                <w:color w:val="000000"/>
                <w:spacing w:val="-8"/>
                <w:sz w:val="18"/>
                <w:szCs w:val="18"/>
              </w:rPr>
              <w:t>品种各2个。</w:t>
            </w:r>
          </w:p>
        </w:tc>
        <w:tc>
          <w:tcPr>
            <w:tcW w:w="154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6"/>
                <w:sz w:val="18"/>
                <w:szCs w:val="18"/>
              </w:rPr>
            </w:pPr>
            <w:r>
              <w:rPr>
                <w:rFonts w:hint="default" w:ascii="Times New Roman" w:hAnsi="Times New Roman" w:eastAsia="方正仿宋_GBK" w:cs="Times New Roman"/>
                <w:snapToGrid w:val="0"/>
                <w:color w:val="000000"/>
                <w:spacing w:val="-6"/>
                <w:sz w:val="18"/>
                <w:szCs w:val="18"/>
              </w:rPr>
              <w:t>新</w:t>
            </w:r>
            <w:r>
              <w:rPr>
                <w:rFonts w:hint="default" w:ascii="Times New Roman" w:hAnsi="Times New Roman" w:eastAsia="方正仿宋_GBK" w:cs="Times New Roman"/>
                <w:snapToGrid w:val="0"/>
                <w:color w:val="000000"/>
                <w:spacing w:val="-4"/>
                <w:sz w:val="18"/>
                <w:szCs w:val="18"/>
              </w:rPr>
              <w:t>引进特色粮油品种4个、</w:t>
            </w:r>
            <w:r>
              <w:rPr>
                <w:rFonts w:hint="default" w:ascii="Times New Roman" w:hAnsi="Times New Roman" w:eastAsia="方正仿宋_GBK" w:cs="Times New Roman"/>
                <w:snapToGrid w:val="0"/>
                <w:color w:val="000000"/>
                <w:spacing w:val="-8"/>
                <w:sz w:val="18"/>
                <w:szCs w:val="18"/>
              </w:rPr>
              <w:t>晚熟柑橘品种3个；新发展畜禽、水产品、</w:t>
            </w:r>
            <w:r>
              <w:rPr>
                <w:rFonts w:hint="default" w:ascii="Times New Roman" w:hAnsi="Times New Roman" w:eastAsia="方正仿宋_GBK" w:cs="Times New Roman"/>
                <w:snapToGrid w:val="0"/>
                <w:color w:val="000000"/>
                <w:spacing w:val="-4"/>
                <w:sz w:val="18"/>
                <w:szCs w:val="18"/>
              </w:rPr>
              <w:t>中药材</w:t>
            </w:r>
            <w:r>
              <w:rPr>
                <w:rFonts w:hint="default" w:ascii="Times New Roman" w:hAnsi="Times New Roman" w:eastAsia="方正仿宋_GBK" w:cs="Times New Roman"/>
                <w:snapToGrid w:val="0"/>
                <w:color w:val="000000"/>
                <w:spacing w:val="-8"/>
                <w:sz w:val="18"/>
                <w:szCs w:val="18"/>
              </w:rPr>
              <w:t>品种各2个。</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40" w:hRule="atLeast"/>
          <w:jc w:val="center"/>
        </w:trPr>
        <w:tc>
          <w:tcPr>
            <w:tcW w:w="318"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2</w:t>
            </w:r>
          </w:p>
        </w:tc>
        <w:tc>
          <w:tcPr>
            <w:tcW w:w="58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扩繁基地</w:t>
            </w:r>
          </w:p>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建设工程</w:t>
            </w:r>
          </w:p>
        </w:tc>
        <w:tc>
          <w:tcPr>
            <w:tcW w:w="2091"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新建或改造标准化优势农作物良种生产基地。加强潼南国家区域性柠檬良种繁育基地建设。将重庆市神禹水产引育种有限公司进行改扩建，建成现代渔业种业示范场。加强畜禽扩繁基地建设。建设林木良种壮苗扩繁基地、示范基地。</w:t>
            </w:r>
          </w:p>
        </w:tc>
        <w:tc>
          <w:tcPr>
            <w:tcW w:w="106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区农业农村委、区林业局</w:t>
            </w:r>
          </w:p>
        </w:tc>
        <w:tc>
          <w:tcPr>
            <w:tcW w:w="1793"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柠檬良种繁育基地开始提供种苗；启动重庆市神禹水产引育种有限公司改扩建工作。建设生猪扩繁基地4个、家禽扩繁基地1个。建成林木良种壮苗扩繁基地1个、示范基地1处以上。建设道地中药材基地2个。</w:t>
            </w:r>
          </w:p>
        </w:tc>
        <w:tc>
          <w:tcPr>
            <w:tcW w:w="155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柠檬良种繁育基地实现正常生产。推进重庆市神禹水产引育种有限公司改扩建工作，启动寿桥镇小龙虾良种培育基地建设。累计建设道地中药材基地4个。</w:t>
            </w:r>
          </w:p>
        </w:tc>
        <w:tc>
          <w:tcPr>
            <w:tcW w:w="154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柠檬良种繁育基地实现达产，对外辐射力和影响力显著增强。建成现代渔业种业示范场1个，完成小龙虾良种培育基地建设。累计建设道地中药材基地6个。</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4632" w:hRule="atLeast"/>
          <w:jc w:val="center"/>
        </w:trPr>
        <w:tc>
          <w:tcPr>
            <w:tcW w:w="318"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3</w:t>
            </w:r>
          </w:p>
        </w:tc>
        <w:tc>
          <w:tcPr>
            <w:tcW w:w="58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良种推广工程</w:t>
            </w:r>
          </w:p>
        </w:tc>
        <w:tc>
          <w:tcPr>
            <w:tcW w:w="2091"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结合潼南实际，切实推广全市筛选出的100个农业主导品种。新推广特色粮油品种10个、尤力克柠檬40万亩，建设中药材种植示范基地。加强长白猪等优良畜禽品种的推广。筛选30个新特优蔬菜品种。建成生态渔场，创建标准化稻渔种养基地。</w:t>
            </w:r>
          </w:p>
        </w:tc>
        <w:tc>
          <w:tcPr>
            <w:tcW w:w="106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区农业农村委、区林业局</w:t>
            </w:r>
          </w:p>
        </w:tc>
        <w:tc>
          <w:tcPr>
            <w:tcW w:w="1793"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新推广特色粮油品种3个、尤力克柠檬30万亩，建成中药材种植示范基地2万亩。加强长白猪等优良畜禽品种的推广，畜禽良种推广覆盖率达80%。筛选新特优蔬菜品种8个，包括茄果类蔬菜品种2个、瓜类品种3个、甘蓝类蔬菜品种1个、萝卜品种1个；推广特色保健类蔬菜品种1个。建成生态渔场0.2万亩，创建标准化稻渔种养基地3个。</w:t>
            </w:r>
          </w:p>
        </w:tc>
        <w:tc>
          <w:tcPr>
            <w:tcW w:w="155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累计新推广特色粮油品种6个、尤力克柠檬34万亩，建成中药材种植示范基地4万亩。畜禽良种推广覆盖率达90%。累计筛选新特优蔬菜品种18个，包括茄果类蔬菜品种4个、瓜类品种6个、甘蓝类蔬菜品种3个、萝卜品种2个；推广特色保健类蔬菜品种3个。累计建设生态渔场0.7万亩，创建标准化稻渔种养基地6个。</w:t>
            </w:r>
          </w:p>
        </w:tc>
        <w:tc>
          <w:tcPr>
            <w:tcW w:w="154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累计新推广特色粮油品种10个、尤力克柠檬40万亩，建成中药材种植示范基地5万亩。畜禽良种推广覆盖率达100%。累计筛选新特优蔬菜品种30个，包括茄果类蔬菜品种7个、瓜类品种10个、甘蓝类蔬菜品种5个、萝卜品种3个；推广特色保健类蔬菜品种5个。累计建设生态渔场1.5万亩，创建标准化稻渔种养基地10个。</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1705" w:hRule="atLeast"/>
          <w:jc w:val="center"/>
        </w:trPr>
        <w:tc>
          <w:tcPr>
            <w:tcW w:w="318"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4</w:t>
            </w:r>
          </w:p>
        </w:tc>
        <w:tc>
          <w:tcPr>
            <w:tcW w:w="58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农业标准制定、修订</w:t>
            </w:r>
          </w:p>
        </w:tc>
        <w:tc>
          <w:tcPr>
            <w:tcW w:w="2091"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坚持绿色导向，加快标准制修订步伐。强化“三品一标”认证推广。</w:t>
            </w:r>
          </w:p>
        </w:tc>
        <w:tc>
          <w:tcPr>
            <w:tcW w:w="106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区农业农村委、区林业局</w:t>
            </w:r>
          </w:p>
        </w:tc>
        <w:tc>
          <w:tcPr>
            <w:tcW w:w="1793"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柠檬地方标准达到1项以上。新认证 “三品一标”15个。</w:t>
            </w:r>
          </w:p>
        </w:tc>
        <w:tc>
          <w:tcPr>
            <w:tcW w:w="155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中药材地方种植规程达到1项以上。新认证 “三品一标15个。</w:t>
            </w:r>
          </w:p>
        </w:tc>
        <w:tc>
          <w:tcPr>
            <w:tcW w:w="154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累计农业地方标准（规程）达到2项以上。有效期内 “三品一标”总数在170个以上。</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40" w:hRule="atLeast"/>
          <w:jc w:val="center"/>
        </w:trPr>
        <w:tc>
          <w:tcPr>
            <w:tcW w:w="318"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5</w:t>
            </w:r>
          </w:p>
        </w:tc>
        <w:tc>
          <w:tcPr>
            <w:tcW w:w="58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农业标准实施示范工程</w:t>
            </w:r>
          </w:p>
        </w:tc>
        <w:tc>
          <w:tcPr>
            <w:tcW w:w="2091" w:type="dxa"/>
            <w:noWrap w:val="0"/>
            <w:vAlign w:val="center"/>
          </w:tcPr>
          <w:p>
            <w:pPr>
              <w:autoSpaceDE w:val="0"/>
              <w:autoSpaceDN w:val="0"/>
              <w:adjustRightInd w:val="0"/>
              <w:spacing w:line="240" w:lineRule="exact"/>
              <w:ind w:firstLine="344" w:firstLineChars="200"/>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结合实际推广应用全市筛选的100项农业主推技术。蔬菜规模生产主体全部实现标准化生产。巩固国家农业标准化示范区创建成果，新建特色经果标准化示范区10个。推进“三园两场”创建，到2022年，创建“三园两场”12个以上。</w:t>
            </w:r>
          </w:p>
        </w:tc>
        <w:tc>
          <w:tcPr>
            <w:tcW w:w="106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区农业</w:t>
            </w:r>
          </w:p>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农村委</w:t>
            </w:r>
          </w:p>
        </w:tc>
        <w:tc>
          <w:tcPr>
            <w:tcW w:w="1793" w:type="dxa"/>
            <w:noWrap w:val="0"/>
            <w:vAlign w:val="center"/>
          </w:tcPr>
          <w:p>
            <w:pPr>
              <w:autoSpaceDE w:val="0"/>
              <w:autoSpaceDN w:val="0"/>
              <w:adjustRightInd w:val="0"/>
              <w:spacing w:line="240" w:lineRule="exact"/>
              <w:ind w:firstLine="344" w:firstLineChars="200"/>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新建特色经果标准化示范区2个。创建“三园两场”3个，包括蔬菜标准园1个、水果标准园1个、水产健康养殖示范场1个。累计创建生猪标准化健康养殖场20个。</w:t>
            </w:r>
          </w:p>
        </w:tc>
        <w:tc>
          <w:tcPr>
            <w:tcW w:w="155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p>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累计新建特色经果标准化示范区7个。累计创建“三园两场”6个，包括蔬菜标准园2个、水果标准园2个、水产健康养殖示范场2个。累计创建生猪标准化健康养殖场40个。</w:t>
            </w:r>
          </w:p>
        </w:tc>
        <w:tc>
          <w:tcPr>
            <w:tcW w:w="154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累计新建特色经果标准化示范区10个。累计创建“三园两场”12个，包括蔬菜标准园4个、水果标准园4个、水产健康养殖示范场4个。累计创建生猪标准化健康养殖场50个。</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40" w:hRule="atLeast"/>
          <w:jc w:val="center"/>
        </w:trPr>
        <w:tc>
          <w:tcPr>
            <w:tcW w:w="318"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6</w:t>
            </w:r>
          </w:p>
        </w:tc>
        <w:tc>
          <w:tcPr>
            <w:tcW w:w="58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农业投入品监管</w:t>
            </w:r>
          </w:p>
        </w:tc>
        <w:tc>
          <w:tcPr>
            <w:tcW w:w="2091"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全面落实限制使用农药定点经营和实名购买制度。开展农药监管追溯平台建设工作。全面禁止销售和使用高毒高残留农药。兽药经营企业入网追溯实现全覆盖。</w:t>
            </w:r>
          </w:p>
        </w:tc>
        <w:tc>
          <w:tcPr>
            <w:tcW w:w="106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区农业</w:t>
            </w:r>
          </w:p>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农村委</w:t>
            </w:r>
          </w:p>
        </w:tc>
        <w:tc>
          <w:tcPr>
            <w:tcW w:w="1793"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桂林街道办事处双坝村开展农药监管追溯平台试点工作。</w:t>
            </w:r>
          </w:p>
        </w:tc>
        <w:tc>
          <w:tcPr>
            <w:tcW w:w="155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全区22个镇街农药经营点推广农药监管追溯平台。</w:t>
            </w:r>
          </w:p>
        </w:tc>
        <w:tc>
          <w:tcPr>
            <w:tcW w:w="154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全区22个镇街农业经营点使用农药监管追溯平台。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40" w:hRule="atLeast"/>
          <w:jc w:val="center"/>
        </w:trPr>
        <w:tc>
          <w:tcPr>
            <w:tcW w:w="318"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7</w:t>
            </w:r>
          </w:p>
        </w:tc>
        <w:tc>
          <w:tcPr>
            <w:tcW w:w="58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农产品质量安全追溯体系建设工程</w:t>
            </w:r>
          </w:p>
        </w:tc>
        <w:tc>
          <w:tcPr>
            <w:tcW w:w="2091"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落实“市、区、镇街”三级追溯管理。推进追溯点建设。</w:t>
            </w:r>
          </w:p>
        </w:tc>
        <w:tc>
          <w:tcPr>
            <w:tcW w:w="106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区农业</w:t>
            </w:r>
          </w:p>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农村委</w:t>
            </w:r>
          </w:p>
        </w:tc>
        <w:tc>
          <w:tcPr>
            <w:tcW w:w="1793"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累计完成30个追溯点建设。</w:t>
            </w:r>
          </w:p>
        </w:tc>
        <w:tc>
          <w:tcPr>
            <w:tcW w:w="155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累计完成45个追溯点建设。</w:t>
            </w:r>
          </w:p>
        </w:tc>
        <w:tc>
          <w:tcPr>
            <w:tcW w:w="154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累计完成80个追溯点建设。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156" w:hRule="atLeast"/>
          <w:jc w:val="center"/>
        </w:trPr>
        <w:tc>
          <w:tcPr>
            <w:tcW w:w="318"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8</w:t>
            </w:r>
          </w:p>
        </w:tc>
        <w:tc>
          <w:tcPr>
            <w:tcW w:w="58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动植物疫病防控</w:t>
            </w:r>
          </w:p>
        </w:tc>
        <w:tc>
          <w:tcPr>
            <w:tcW w:w="2091"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深入推行兽医工作“三项制度”，切实加强动物疫病预防控制，全面落实动物疫病强制免疫、动物疫病监测净化、动物卫生监督管理、动物疫情应急处置等防控措施，努力确保不发生区域性重大动物疫情和重大畜产品质量安全事故；开展专业化统配统施、统防统治服务。</w:t>
            </w:r>
          </w:p>
        </w:tc>
        <w:tc>
          <w:tcPr>
            <w:tcW w:w="106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区农业</w:t>
            </w:r>
          </w:p>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农村委</w:t>
            </w:r>
          </w:p>
        </w:tc>
        <w:tc>
          <w:tcPr>
            <w:tcW w:w="1793"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主要农作物绿色防控技术覆盖率达30%以上，专业化统防统治覆盖率达40%以上，总体危害损失控制在3%以内。</w:t>
            </w:r>
          </w:p>
        </w:tc>
        <w:tc>
          <w:tcPr>
            <w:tcW w:w="155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主要农作物绿色防控技术覆盖率达30%以上，专业化统防统治覆盖率达40%以上，总体危害损失控制在3%以内。</w:t>
            </w:r>
          </w:p>
        </w:tc>
        <w:tc>
          <w:tcPr>
            <w:tcW w:w="154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主要农作物绿色防控技术覆盖率达32%以上，专业化统防统治覆盖率达42%以上，总体危害损失控制在3%以内。农药利用率达到42%。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40" w:hRule="atLeast"/>
          <w:jc w:val="center"/>
        </w:trPr>
        <w:tc>
          <w:tcPr>
            <w:tcW w:w="318"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9</w:t>
            </w:r>
          </w:p>
        </w:tc>
        <w:tc>
          <w:tcPr>
            <w:tcW w:w="58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农业绿色发展行动</w:t>
            </w:r>
          </w:p>
        </w:tc>
        <w:tc>
          <w:tcPr>
            <w:tcW w:w="2091"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z w:val="18"/>
                <w:szCs w:val="18"/>
              </w:rPr>
            </w:pPr>
            <w:r>
              <w:rPr>
                <w:rFonts w:hint="default" w:ascii="Times New Roman" w:hAnsi="Times New Roman" w:eastAsia="方正仿宋_GBK" w:cs="Times New Roman"/>
                <w:snapToGrid w:val="0"/>
                <w:color w:val="000000"/>
                <w:sz w:val="18"/>
                <w:szCs w:val="18"/>
              </w:rPr>
              <w:t>加强农村面源污染防控，强化农产品产地环境监测。以畜禽规模养殖场为重点，全面推进畜禽养殖废弃物资源化利用。开展秸秆（尾菜）综合利用技术推广和废旧农膜回收试点。</w:t>
            </w:r>
          </w:p>
        </w:tc>
        <w:tc>
          <w:tcPr>
            <w:tcW w:w="106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区生态环境局、区农业农村委</w:t>
            </w:r>
          </w:p>
        </w:tc>
        <w:tc>
          <w:tcPr>
            <w:tcW w:w="1793"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完成2万头生猪当量的治理任务，全区畜禽粪污综合利用率达到70%以上；全区秸秆（尾菜）综合利用率达到83%；农膜回收率达到80%。</w:t>
            </w:r>
          </w:p>
        </w:tc>
        <w:tc>
          <w:tcPr>
            <w:tcW w:w="1559"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完成2万头生猪当量的治理任务，全区畜禽粪污综合利用率达到75%以上；全区秸秆（尾菜）综合利用率达到85%；农膜回收率达到85%。</w:t>
            </w:r>
          </w:p>
        </w:tc>
        <w:tc>
          <w:tcPr>
            <w:tcW w:w="1544" w:type="dxa"/>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全区畜禽粪污综合利用率达到78%以上；全区秸秆（尾菜）综合利用率达到87%；农膜回收率达到90%。</w:t>
            </w:r>
          </w:p>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cantSplit/>
          <w:trHeight w:val="3500" w:hRule="atLeast"/>
          <w:jc w:val="center"/>
        </w:trPr>
        <w:tc>
          <w:tcPr>
            <w:tcW w:w="318" w:type="dxa"/>
            <w:tcBorders>
              <w:bottom w:val="single" w:color="auto" w:sz="6" w:space="0"/>
            </w:tcBorders>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10</w:t>
            </w:r>
          </w:p>
        </w:tc>
        <w:tc>
          <w:tcPr>
            <w:tcW w:w="589" w:type="dxa"/>
            <w:tcBorders>
              <w:bottom w:val="single" w:color="auto" w:sz="6" w:space="0"/>
            </w:tcBorders>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农产品区域公用品牌培育工程</w:t>
            </w:r>
          </w:p>
        </w:tc>
        <w:tc>
          <w:tcPr>
            <w:tcW w:w="2091" w:type="dxa"/>
            <w:tcBorders>
              <w:bottom w:val="single" w:color="auto" w:sz="6" w:space="0"/>
            </w:tcBorders>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构建以市级农产品区域公用品牌为依托、区级农产品区域公用品牌为龙头、农业龙头企业产品品牌为主体、“三品一标”品牌为基础的农产品品牌体系。到2022年，做靓2个农产品区域公用品牌、新增10个重庆名牌农产品。</w:t>
            </w:r>
          </w:p>
        </w:tc>
        <w:tc>
          <w:tcPr>
            <w:tcW w:w="1064" w:type="dxa"/>
            <w:tcBorders>
              <w:bottom w:val="single" w:color="auto" w:sz="6" w:space="0"/>
            </w:tcBorders>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区农业农村委、区商务委、区经济信息委、潼南市场监管局等部门。</w:t>
            </w:r>
          </w:p>
        </w:tc>
        <w:tc>
          <w:tcPr>
            <w:tcW w:w="1793" w:type="dxa"/>
            <w:tcBorders>
              <w:bottom w:val="single" w:color="auto" w:sz="6" w:space="0"/>
            </w:tcBorders>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提升“潼南绿”区域公用品牌，成功注册“潼南柠檬”地理标志商标，新增3个重庆名牌农产品，累计有效注册涉农商标800件。</w:t>
            </w:r>
          </w:p>
        </w:tc>
        <w:tc>
          <w:tcPr>
            <w:tcW w:w="1559" w:type="dxa"/>
            <w:tcBorders>
              <w:bottom w:val="single" w:color="auto" w:sz="6" w:space="0"/>
            </w:tcBorders>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提升“潼南绿”“潼南柠檬”区域公用品牌，新增3个重庆名牌农产品，累计有效注册涉农商标1000件。</w:t>
            </w:r>
          </w:p>
        </w:tc>
        <w:tc>
          <w:tcPr>
            <w:tcW w:w="1544" w:type="dxa"/>
            <w:tcBorders>
              <w:bottom w:val="single" w:color="auto" w:sz="6" w:space="0"/>
            </w:tcBorders>
            <w:noWrap w:val="0"/>
            <w:vAlign w:val="center"/>
          </w:tcPr>
          <w:p>
            <w:pPr>
              <w:adjustRightInd w:val="0"/>
              <w:snapToGrid w:val="0"/>
              <w:spacing w:line="240" w:lineRule="exact"/>
              <w:jc w:val="center"/>
              <w:rPr>
                <w:rFonts w:hint="default" w:ascii="Times New Roman" w:hAnsi="Times New Roman" w:eastAsia="方正仿宋_GBK" w:cs="Times New Roman"/>
                <w:snapToGrid w:val="0"/>
                <w:color w:val="000000"/>
                <w:spacing w:val="-4"/>
                <w:sz w:val="18"/>
                <w:szCs w:val="18"/>
              </w:rPr>
            </w:pPr>
            <w:r>
              <w:rPr>
                <w:rFonts w:hint="default" w:ascii="Times New Roman" w:hAnsi="Times New Roman" w:eastAsia="方正仿宋_GBK" w:cs="Times New Roman"/>
                <w:snapToGrid w:val="0"/>
                <w:color w:val="000000"/>
                <w:spacing w:val="-4"/>
                <w:sz w:val="18"/>
                <w:szCs w:val="18"/>
              </w:rPr>
              <w:t>提升“潼南绿”“潼南柠檬”区域公用品牌，新增4个重庆名牌农产品，累计有效注册涉农商标1200件。</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24245"/>
    <w:multiLevelType w:val="singleLevel"/>
    <w:tmpl w:val="03E24245"/>
    <w:lvl w:ilvl="0" w:tentative="0">
      <w:start w:val="2"/>
      <w:numFmt w:val="chineseCounting"/>
      <w:suff w:val="nothing"/>
      <w:lvlText w:val="（%1）"/>
      <w:lvlJc w:val="left"/>
      <w:rPr>
        <w:rFonts w:hint="eastAsia" w:ascii="方正楷体_GBK" w:eastAsia="方正楷体_GBK" w:cs="Times New Roman"/>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87F7A3A"/>
    <w:rsid w:val="395347B5"/>
    <w:rsid w:val="39A232A0"/>
    <w:rsid w:val="39E745AA"/>
    <w:rsid w:val="3B4135B7"/>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iPriority w:val="99"/>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8412</Words>
  <Characters>8667</Characters>
  <Lines>1</Lines>
  <Paragraphs>1</Paragraphs>
  <TotalTime>2</TotalTime>
  <ScaleCrop>false</ScaleCrop>
  <LinksUpToDate>false</LinksUpToDate>
  <CharactersWithSpaces>8733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2022-06-11T03:58:14Z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