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478BE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0C3F933">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125002236635582324</w:t>
      </w:r>
      <w:r>
        <w:rPr>
          <w:rFonts w:eastAsia="楷体_GB2312"/>
          <w:b/>
          <w:bCs/>
          <w:sz w:val="30"/>
          <w:szCs w:val="24"/>
          <w:lang w:val="en-US"/>
        </w:rPr>
        <w:t xml:space="preserve">   </w:t>
      </w:r>
    </w:p>
    <w:p w14:paraId="26ACF06B">
      <w:pPr>
        <w:jc w:val="right"/>
        <w:rPr>
          <w:lang w:val="en-US"/>
        </w:rPr>
      </w:pPr>
    </w:p>
    <w:p w14:paraId="7BBDA907">
      <w:pPr>
        <w:jc w:val="right"/>
        <w:rPr>
          <w:lang w:val="en-US"/>
        </w:rPr>
      </w:pPr>
    </w:p>
    <w:p w14:paraId="301A6DEB">
      <w:pPr>
        <w:jc w:val="right"/>
        <w:rPr>
          <w:lang w:val="en-US"/>
        </w:rPr>
      </w:pPr>
    </w:p>
    <w:p w14:paraId="611A3EE0">
      <w:pPr>
        <w:jc w:val="right"/>
        <w:rPr>
          <w:lang w:val="en-US"/>
        </w:rPr>
      </w:pPr>
    </w:p>
    <w:p w14:paraId="2E1D31C9">
      <w:pPr>
        <w:jc w:val="right"/>
        <w:rPr>
          <w:lang w:val="en-US"/>
        </w:rPr>
      </w:pPr>
    </w:p>
    <w:p w14:paraId="6DF7740E">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56630D0">
      <w:pPr>
        <w:jc w:val="center"/>
        <w:rPr>
          <w:rFonts w:eastAsia="黑体"/>
          <w:b/>
          <w:bCs/>
          <w:spacing w:val="30"/>
          <w:lang w:val="en-US"/>
        </w:rPr>
      </w:pPr>
    </w:p>
    <w:p w14:paraId="6C56BFE5">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2020</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046185F">
      <w:pPr>
        <w:jc w:val="center"/>
        <w:rPr>
          <w:sz w:val="36"/>
          <w:szCs w:val="24"/>
          <w:lang w:val="en-US"/>
        </w:rPr>
      </w:pPr>
    </w:p>
    <w:p w14:paraId="7BF6A5EC">
      <w:pPr>
        <w:jc w:val="center"/>
        <w:rPr>
          <w:sz w:val="36"/>
          <w:szCs w:val="24"/>
          <w:lang w:val="en-US"/>
        </w:rPr>
      </w:pPr>
    </w:p>
    <w:p w14:paraId="55286F0D">
      <w:pPr>
        <w:jc w:val="center"/>
        <w:rPr>
          <w:sz w:val="36"/>
          <w:szCs w:val="24"/>
          <w:lang w:val="en-US"/>
        </w:rPr>
      </w:pPr>
    </w:p>
    <w:p w14:paraId="2BF7CABE">
      <w:pPr>
        <w:jc w:val="center"/>
        <w:rPr>
          <w:sz w:val="36"/>
          <w:szCs w:val="24"/>
          <w:lang w:val="en-US"/>
        </w:rPr>
      </w:pPr>
    </w:p>
    <w:p w14:paraId="60E97F31">
      <w:pPr>
        <w:jc w:val="center"/>
        <w:rPr>
          <w:sz w:val="36"/>
          <w:szCs w:val="24"/>
          <w:lang w:val="en-US"/>
        </w:rPr>
      </w:pPr>
    </w:p>
    <w:p w14:paraId="74A59326">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14:paraId="6F69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14:paraId="0C6008CA">
            <w:pPr>
              <w:jc w:val="distribute"/>
            </w:pPr>
            <w:r>
              <w:rPr>
                <w:rStyle w:val="18"/>
                <w:b/>
                <w:bCs/>
                <w:sz w:val="36"/>
                <w:szCs w:val="24"/>
              </w:rPr>
              <w:t>单 位 名 称</w:t>
            </w:r>
          </w:p>
        </w:tc>
        <w:tc>
          <w:tcPr>
            <w:tcW w:w="5294" w:type="dxa"/>
            <w:tcBorders>
              <w:top w:val="nil"/>
              <w:left w:val="nil"/>
              <w:bottom w:val="single" w:color="auto" w:sz="12" w:space="0"/>
              <w:right w:val="nil"/>
            </w:tcBorders>
            <w:shd w:val="clear" w:color="auto" w:fill="auto"/>
            <w:vAlign w:val="bottom"/>
          </w:tcPr>
          <w:p w14:paraId="25987A7D">
            <w:pPr>
              <w:jc w:val="center"/>
              <w:rPr>
                <w:rFonts w:hint="eastAsia" w:ascii="楷体_GB2312" w:eastAsia="楷体_GB2312" w:cs="楷体_GB2312"/>
                <w:sz w:val="32"/>
                <w:szCs w:val="24"/>
                <w:lang w:val="en-US"/>
              </w:rPr>
            </w:pPr>
            <w:r>
              <w:rPr>
                <w:rStyle w:val="19"/>
                <w:rFonts w:hint="eastAsia" w:ascii="楷体_GB2312" w:eastAsia="楷体_GB2312" w:cs="楷体_GB2312"/>
                <w:sz w:val="32"/>
                <w:szCs w:val="24"/>
                <w:lang w:val="en-US"/>
              </w:rPr>
              <w:t>重庆市潼南区</w:t>
            </w:r>
            <w:bookmarkStart w:id="0" w:name="_GoBack"/>
            <w:r>
              <w:rPr>
                <w:rStyle w:val="19"/>
                <w:rFonts w:hint="eastAsia" w:ascii="楷体_GB2312" w:eastAsia="楷体_GB2312" w:cs="楷体_GB2312"/>
                <w:sz w:val="32"/>
                <w:szCs w:val="24"/>
                <w:lang w:val="en-US"/>
              </w:rPr>
              <w:t>群力镇小学校</w:t>
            </w:r>
            <w:bookmarkEnd w:id="0"/>
          </w:p>
        </w:tc>
      </w:tr>
    </w:tbl>
    <w:p w14:paraId="5C56D194">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14:paraId="13F8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14:paraId="3F9DE639">
            <w:pPr>
              <w:jc w:val="distribute"/>
            </w:pPr>
            <w:r>
              <w:rPr>
                <w:rStyle w:val="18"/>
                <w:b/>
                <w:bCs/>
                <w:sz w:val="36"/>
                <w:szCs w:val="24"/>
              </w:rPr>
              <w:t>法</w:t>
            </w:r>
            <w:r>
              <w:rPr>
                <w:rStyle w:val="18"/>
                <w:b/>
                <w:bCs/>
                <w:spacing w:val="30"/>
                <w:sz w:val="36"/>
                <w:szCs w:val="24"/>
              </w:rPr>
              <w:t>定代表</w:t>
            </w:r>
            <w:r>
              <w:rPr>
                <w:rStyle w:val="18"/>
                <w:b/>
                <w:bCs/>
                <w:sz w:val="36"/>
                <w:szCs w:val="24"/>
              </w:rPr>
              <w:t>人</w:t>
            </w:r>
          </w:p>
        </w:tc>
        <w:tc>
          <w:tcPr>
            <w:tcW w:w="5254" w:type="dxa"/>
            <w:tcBorders>
              <w:top w:val="nil"/>
              <w:left w:val="nil"/>
              <w:bottom w:val="single" w:color="auto" w:sz="12" w:space="0"/>
              <w:right w:val="nil"/>
            </w:tcBorders>
            <w:shd w:val="clear" w:color="auto" w:fill="auto"/>
            <w:vAlign w:val="bottom"/>
          </w:tcPr>
          <w:p w14:paraId="535D2AA0">
            <w:pPr>
              <w:keepNext w:val="0"/>
              <w:keepLines w:val="0"/>
              <w:widowControl/>
              <w:suppressLineNumbers w:val="0"/>
              <w:jc w:val="left"/>
              <w:rPr>
                <w:kern w:val="0"/>
                <w:sz w:val="20"/>
                <w:szCs w:val="20"/>
                <w:lang w:val="en-US"/>
              </w:rPr>
            </w:pPr>
          </w:p>
        </w:tc>
      </w:tr>
    </w:tbl>
    <w:p w14:paraId="343B7229">
      <w:pPr>
        <w:ind w:left="0" w:firstLine="723" w:firstLineChars="300"/>
        <w:rPr>
          <w:rFonts w:hint="eastAsia" w:ascii="黑体" w:hAnsi="宋体" w:eastAsia="黑体" w:cs="黑体"/>
          <w:b/>
          <w:bCs/>
          <w:sz w:val="24"/>
          <w:szCs w:val="24"/>
          <w:u w:val="single"/>
          <w:lang w:val="en-US"/>
        </w:rPr>
      </w:pPr>
    </w:p>
    <w:p w14:paraId="5520E1A7">
      <w:pPr>
        <w:jc w:val="center"/>
        <w:rPr>
          <w:rFonts w:hint="eastAsia" w:ascii="黑体" w:hAnsi="宋体" w:eastAsia="黑体" w:cs="黑体"/>
          <w:b/>
          <w:bCs/>
          <w:sz w:val="30"/>
          <w:szCs w:val="24"/>
          <w:u w:val="single"/>
          <w:lang w:val="en-US"/>
        </w:rPr>
      </w:pPr>
    </w:p>
    <w:p w14:paraId="4DA8DA70">
      <w:pPr>
        <w:jc w:val="center"/>
        <w:rPr>
          <w:rFonts w:hint="eastAsia" w:ascii="黑体" w:hAnsi="宋体" w:eastAsia="黑体" w:cs="黑体"/>
          <w:b/>
          <w:bCs/>
          <w:sz w:val="30"/>
          <w:szCs w:val="24"/>
          <w:u w:val="single"/>
          <w:lang w:val="en-US"/>
        </w:rPr>
      </w:pPr>
    </w:p>
    <w:p w14:paraId="228B48EF">
      <w:pPr>
        <w:jc w:val="center"/>
        <w:rPr>
          <w:u w:val="single"/>
          <w:lang w:val="en-US"/>
        </w:rPr>
      </w:pPr>
    </w:p>
    <w:p w14:paraId="6C1C2082">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8C5536B">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14:paraId="0CBF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14:paraId="1B2AB846">
            <w:pPr>
              <w:jc w:val="center"/>
              <w:rPr>
                <w:rFonts w:eastAsia="楷体_GB2312"/>
                <w:b/>
                <w:bCs/>
                <w:sz w:val="32"/>
                <w:szCs w:val="24"/>
                <w:lang w:val="en-US"/>
              </w:rPr>
            </w:pPr>
            <w:r>
              <w:rPr>
                <w:rFonts w:hint="eastAsia" w:ascii="Times New Roman" w:eastAsia="楷体_GB2312" w:cs="楷体_GB2312"/>
                <w:b/>
                <w:bCs/>
                <w:sz w:val="32"/>
                <w:szCs w:val="24"/>
              </w:rPr>
              <w:t>《事业</w:t>
            </w:r>
          </w:p>
          <w:p w14:paraId="040D73AD">
            <w:pPr>
              <w:jc w:val="center"/>
              <w:rPr>
                <w:rFonts w:eastAsia="楷体_GB2312"/>
                <w:b/>
                <w:bCs/>
                <w:sz w:val="32"/>
                <w:szCs w:val="24"/>
                <w:lang w:val="en-US"/>
              </w:rPr>
            </w:pPr>
            <w:r>
              <w:rPr>
                <w:rFonts w:hint="eastAsia" w:ascii="Times New Roman" w:eastAsia="楷体_GB2312" w:cs="楷体_GB2312"/>
                <w:b/>
                <w:bCs/>
                <w:sz w:val="32"/>
                <w:szCs w:val="24"/>
              </w:rPr>
              <w:t>单位</w:t>
            </w:r>
          </w:p>
          <w:p w14:paraId="75364CEC">
            <w:pPr>
              <w:jc w:val="center"/>
              <w:rPr>
                <w:rFonts w:eastAsia="楷体_GB2312"/>
                <w:b/>
                <w:bCs/>
                <w:sz w:val="32"/>
                <w:szCs w:val="24"/>
                <w:lang w:val="en-US"/>
              </w:rPr>
            </w:pPr>
            <w:r>
              <w:rPr>
                <w:rFonts w:hint="eastAsia" w:ascii="Times New Roman" w:eastAsia="楷体_GB2312" w:cs="楷体_GB2312"/>
                <w:b/>
                <w:bCs/>
                <w:sz w:val="32"/>
                <w:szCs w:val="24"/>
              </w:rPr>
              <w:t>法人</w:t>
            </w:r>
          </w:p>
          <w:p w14:paraId="5D5AD9C9">
            <w:pPr>
              <w:jc w:val="center"/>
              <w:rPr>
                <w:rFonts w:eastAsia="楷体_GB2312"/>
                <w:b/>
                <w:bCs/>
                <w:sz w:val="32"/>
                <w:szCs w:val="24"/>
                <w:lang w:val="en-US"/>
              </w:rPr>
            </w:pPr>
            <w:r>
              <w:rPr>
                <w:rFonts w:hint="eastAsia" w:ascii="Times New Roman" w:eastAsia="楷体_GB2312" w:cs="楷体_GB2312"/>
                <w:b/>
                <w:bCs/>
                <w:sz w:val="32"/>
                <w:szCs w:val="24"/>
              </w:rPr>
              <w:t>证书》</w:t>
            </w:r>
          </w:p>
          <w:p w14:paraId="33E82FB0">
            <w:pPr>
              <w:jc w:val="center"/>
              <w:rPr>
                <w:rFonts w:eastAsia="楷体_GB2312"/>
                <w:b/>
                <w:bCs/>
                <w:sz w:val="32"/>
                <w:szCs w:val="24"/>
                <w:lang w:val="en-US"/>
              </w:rPr>
            </w:pPr>
            <w:r>
              <w:rPr>
                <w:rFonts w:hint="eastAsia" w:ascii="Times New Roman" w:eastAsia="楷体_GB2312" w:cs="楷体_GB2312"/>
                <w:b/>
                <w:bCs/>
                <w:sz w:val="32"/>
                <w:szCs w:val="24"/>
              </w:rPr>
              <w:t>登载</w:t>
            </w:r>
          </w:p>
          <w:p w14:paraId="7675C4DD">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14:paraId="356ECE25">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14:paraId="46D56315">
            <w:pPr>
              <w:spacing w:line="320" w:lineRule="exact"/>
              <w:jc w:val="left"/>
              <w:rPr>
                <w:rFonts w:hint="eastAsia" w:ascii="楷体_GB2312" w:eastAsia="楷体_GB2312" w:cs="楷体_GB2312"/>
                <w:sz w:val="28"/>
                <w:szCs w:val="28"/>
                <w:lang w:val="en-US"/>
              </w:rPr>
            </w:pPr>
            <w:r>
              <w:rPr>
                <w:rStyle w:val="15"/>
                <w:rFonts w:hint="eastAsia" w:ascii="楷体_GB2312" w:eastAsia="楷体_GB2312" w:cs="楷体_GB2312"/>
                <w:sz w:val="28"/>
                <w:szCs w:val="28"/>
                <w:lang w:val="en-US"/>
              </w:rPr>
              <w:t>重庆市潼南区群力镇小学校</w:t>
            </w:r>
          </w:p>
        </w:tc>
      </w:tr>
      <w:tr w14:paraId="5F2D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1CD7812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14:paraId="365C57DF">
            <w:pPr>
              <w:jc w:val="center"/>
              <w:rPr>
                <w:rFonts w:eastAsia="楷体_GB2312"/>
                <w:b/>
                <w:bCs/>
                <w:sz w:val="32"/>
                <w:szCs w:val="24"/>
                <w:lang w:val="en-US"/>
              </w:rPr>
            </w:pPr>
            <w:r>
              <w:rPr>
                <w:rFonts w:hint="eastAsia" w:ascii="Times New Roman" w:eastAsia="楷体_GB2312" w:cs="楷体_GB2312"/>
                <w:b/>
                <w:bCs/>
                <w:sz w:val="32"/>
                <w:szCs w:val="24"/>
              </w:rPr>
              <w:t>宗旨和</w:t>
            </w:r>
          </w:p>
          <w:p w14:paraId="1628284F">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14:paraId="1307745F">
            <w:pPr>
              <w:jc w:val="left"/>
              <w:rPr>
                <w:rFonts w:hint="eastAsia" w:ascii="楷体_GB2312" w:eastAsia="楷体_GB2312" w:cs="楷体_GB2312"/>
                <w:sz w:val="28"/>
                <w:szCs w:val="28"/>
                <w:lang w:val="en-US"/>
              </w:rPr>
            </w:pPr>
            <w:r>
              <w:rPr>
                <w:rStyle w:val="15"/>
                <w:rFonts w:hint="eastAsia" w:ascii="楷体_GB2312" w:eastAsia="楷体_GB2312" w:cs="楷体_GB2312"/>
                <w:sz w:val="28"/>
                <w:szCs w:val="28"/>
                <w:lang w:val="en-US"/>
              </w:rPr>
              <w:t>实施小学义务教育,促进学生全面发展。招收服务区域内的适龄儿童接受小学教育；开展学校教育教学工作，对学生进行德、智、体等方面的教育、训练和培养；按规定开展学前教育工作；从事小学义务教育及学前教育的相关社会服务。</w:t>
            </w:r>
          </w:p>
        </w:tc>
      </w:tr>
      <w:tr w14:paraId="4FA3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470D693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14:paraId="6237139F">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14:paraId="684EEDAD">
            <w:pPr>
              <w:jc w:val="left"/>
            </w:pPr>
            <w:r>
              <w:rPr>
                <w:rStyle w:val="15"/>
                <w:rFonts w:hint="eastAsia" w:ascii="楷体_GB2312" w:eastAsia="楷体_GB2312" w:cs="楷体_GB2312"/>
                <w:sz w:val="28"/>
                <w:szCs w:val="28"/>
                <w:lang w:val="en-US"/>
              </w:rPr>
              <w:t>重庆市潼南区群力镇利相街70号</w:t>
            </w:r>
          </w:p>
        </w:tc>
      </w:tr>
      <w:tr w14:paraId="7E8D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07462C4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14:paraId="184176CD">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14:paraId="5C92EB71">
            <w:pPr>
              <w:jc w:val="left"/>
            </w:pPr>
            <w:r>
              <w:rPr>
                <w:rStyle w:val="15"/>
                <w:rFonts w:hint="eastAsia" w:ascii="楷体_GB2312" w:eastAsia="楷体_GB2312" w:cs="楷体_GB2312"/>
                <w:sz w:val="28"/>
                <w:szCs w:val="28"/>
                <w:lang w:val="en-US"/>
              </w:rPr>
              <w:t>陈坤</w:t>
            </w:r>
          </w:p>
        </w:tc>
      </w:tr>
      <w:tr w14:paraId="3C9E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43A4BB2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14:paraId="1729A355">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14:paraId="2CE1BB83">
            <w:pPr>
              <w:jc w:val="left"/>
              <w:rPr>
                <w:rFonts w:hint="eastAsia" w:ascii="楷体_GB2312" w:eastAsia="楷体_GB2312" w:cs="楷体_GB2312"/>
                <w:sz w:val="28"/>
                <w:szCs w:val="28"/>
                <w:lang w:val="en-US"/>
              </w:rPr>
            </w:pPr>
            <w:r>
              <w:rPr>
                <w:rStyle w:val="15"/>
                <w:rFonts w:hint="eastAsia" w:ascii="楷体_GB2312" w:eastAsia="楷体_GB2312" w:cs="楷体_GB2312"/>
                <w:sz w:val="28"/>
                <w:szCs w:val="28"/>
                <w:lang w:val="en-US"/>
              </w:rPr>
              <w:t>452</w:t>
            </w:r>
            <w:r>
              <w:rPr>
                <w:rStyle w:val="15"/>
                <w:rFonts w:hint="eastAsia" w:ascii="楷体_GB2312" w:eastAsia="楷体_GB2312" w:cs="楷体_GB2312"/>
                <w:sz w:val="28"/>
                <w:szCs w:val="28"/>
              </w:rPr>
              <w:t>（万元）</w:t>
            </w:r>
          </w:p>
        </w:tc>
      </w:tr>
      <w:tr w14:paraId="5C3C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3F08BBA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14:paraId="3499636E">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5F2317E1">
            <w:pPr>
              <w:jc w:val="left"/>
              <w:rPr>
                <w:sz w:val="32"/>
                <w:szCs w:val="32"/>
                <w:lang w:val="en-US"/>
              </w:rPr>
            </w:pPr>
            <w:r>
              <w:rPr>
                <w:rStyle w:val="15"/>
                <w:rFonts w:hint="eastAsia" w:ascii="楷体_GB2312" w:eastAsia="楷体_GB2312" w:cs="楷体_GB2312"/>
                <w:sz w:val="28"/>
                <w:szCs w:val="28"/>
                <w:lang w:val="en-US"/>
              </w:rPr>
              <w:t>财政补助（全额拨款）</w:t>
            </w:r>
          </w:p>
        </w:tc>
      </w:tr>
      <w:tr w14:paraId="10F4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1C7EB03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14:paraId="1F7BE089">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6FAD51ED">
            <w:pPr>
              <w:jc w:val="left"/>
            </w:pPr>
            <w:r>
              <w:rPr>
                <w:rStyle w:val="15"/>
                <w:rFonts w:hint="eastAsia" w:ascii="楷体_GB2312" w:eastAsia="楷体_GB2312" w:cs="楷体_GB2312"/>
                <w:sz w:val="28"/>
                <w:szCs w:val="28"/>
                <w:lang w:val="en-US"/>
              </w:rPr>
              <w:t>重庆市潼南区教育委员会</w:t>
            </w:r>
          </w:p>
        </w:tc>
      </w:tr>
      <w:tr w14:paraId="0DB9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284F1520">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14:paraId="2978632E">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14:paraId="0ABEC4A6">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14:paraId="60FC8F6F">
            <w:pPr>
              <w:jc w:val="center"/>
              <w:rPr>
                <w:sz w:val="32"/>
                <w:szCs w:val="24"/>
                <w:lang w:val="en-US"/>
              </w:rPr>
            </w:pPr>
            <w:r>
              <w:rPr>
                <w:rStyle w:val="19"/>
                <w:rFonts w:hint="eastAsia" w:ascii="Times New Roman" w:eastAsia="楷体_GB2312" w:cs="楷体_GB2312"/>
                <w:sz w:val="32"/>
                <w:szCs w:val="24"/>
              </w:rPr>
              <w:t>净资产合计（所有者权益合计）</w:t>
            </w:r>
          </w:p>
        </w:tc>
      </w:tr>
      <w:tr w14:paraId="4B7E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B4242D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6FDAB5">
            <w:pPr>
              <w:jc w:val="center"/>
              <w:rPr>
                <w:sz w:val="32"/>
                <w:szCs w:val="24"/>
                <w:lang w:val="en-US"/>
              </w:rPr>
            </w:pPr>
            <w:r>
              <w:rPr>
                <w:rStyle w:val="19"/>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3A43B04B">
            <w:pPr>
              <w:jc w:val="center"/>
              <w:rPr>
                <w:sz w:val="32"/>
                <w:szCs w:val="24"/>
                <w:lang w:val="en-US"/>
              </w:rPr>
            </w:pPr>
            <w:r>
              <w:rPr>
                <w:rStyle w:val="19"/>
                <w:rFonts w:hint="eastAsia" w:ascii="Times New Roman" w:eastAsia="楷体_GB2312" w:cs="楷体_GB2312"/>
                <w:sz w:val="32"/>
                <w:szCs w:val="24"/>
              </w:rPr>
              <w:t>年末数（万元）</w:t>
            </w:r>
          </w:p>
        </w:tc>
      </w:tr>
      <w:tr w14:paraId="580A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E26E52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0BD426">
            <w:pPr>
              <w:jc w:val="center"/>
              <w:rPr>
                <w:sz w:val="32"/>
                <w:szCs w:val="24"/>
                <w:lang w:val="en-US"/>
              </w:rPr>
            </w:pPr>
            <w:r>
              <w:rPr>
                <w:rStyle w:val="19"/>
                <w:sz w:val="32"/>
                <w:szCs w:val="24"/>
                <w:lang w:val="en-US"/>
              </w:rPr>
              <w:t>296.87</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14:paraId="27DF1D26">
            <w:pPr>
              <w:jc w:val="center"/>
            </w:pPr>
            <w:r>
              <w:rPr>
                <w:rStyle w:val="15"/>
                <w:sz w:val="32"/>
                <w:szCs w:val="32"/>
                <w:lang w:val="en-US"/>
              </w:rPr>
              <w:t>280.86</w:t>
            </w:r>
          </w:p>
        </w:tc>
      </w:tr>
      <w:tr w14:paraId="365A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14:paraId="1EC1BA65">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25F50F">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重庆市潼南区群力镇小学校</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B725605">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14:paraId="2DB62F46">
            <w:pPr>
              <w:spacing w:line="0" w:lineRule="atLeast"/>
              <w:jc w:val="left"/>
              <w:rPr>
                <w:rFonts w:hint="eastAsia" w:ascii="楷体_GB2312" w:eastAsia="楷体_GB2312" w:cs="楷体_GB2312"/>
                <w:sz w:val="32"/>
                <w:szCs w:val="24"/>
                <w:lang w:val="en-US"/>
              </w:rPr>
            </w:pPr>
            <w:r>
              <w:rPr>
                <w:rStyle w:val="19"/>
                <w:sz w:val="32"/>
                <w:szCs w:val="24"/>
                <w:lang w:val="en-US"/>
              </w:rPr>
              <w:t>33</w:t>
            </w:r>
          </w:p>
        </w:tc>
      </w:tr>
      <w:tr w14:paraId="1C74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14:paraId="63348F90">
            <w:pPr>
              <w:jc w:val="center"/>
              <w:rPr>
                <w:rFonts w:eastAsia="楷体_GB2312"/>
                <w:b/>
                <w:bCs/>
                <w:sz w:val="32"/>
                <w:szCs w:val="24"/>
                <w:lang w:val="en-US"/>
              </w:rPr>
            </w:pPr>
            <w:r>
              <w:rPr>
                <w:rFonts w:hint="eastAsia" w:ascii="Times New Roman" w:eastAsia="楷体_GB2312" w:cs="楷体_GB2312"/>
                <w:b/>
                <w:bCs/>
                <w:sz w:val="32"/>
                <w:szCs w:val="24"/>
              </w:rPr>
              <w:t>对《条</w:t>
            </w:r>
          </w:p>
          <w:p w14:paraId="657E0BDC">
            <w:pPr>
              <w:jc w:val="center"/>
              <w:rPr>
                <w:rFonts w:eastAsia="楷体_GB2312"/>
                <w:b/>
                <w:bCs/>
                <w:sz w:val="32"/>
                <w:szCs w:val="24"/>
                <w:lang w:val="en-US"/>
              </w:rPr>
            </w:pPr>
            <w:r>
              <w:rPr>
                <w:rFonts w:hint="eastAsia" w:ascii="Times New Roman" w:eastAsia="楷体_GB2312" w:cs="楷体_GB2312"/>
                <w:b/>
                <w:bCs/>
                <w:sz w:val="32"/>
                <w:szCs w:val="24"/>
              </w:rPr>
              <w:t>例》和</w:t>
            </w:r>
          </w:p>
          <w:p w14:paraId="77E65BA2">
            <w:pPr>
              <w:jc w:val="center"/>
              <w:rPr>
                <w:rFonts w:eastAsia="楷体_GB2312"/>
                <w:b/>
                <w:bCs/>
                <w:sz w:val="32"/>
                <w:szCs w:val="24"/>
                <w:lang w:val="en-US"/>
              </w:rPr>
            </w:pPr>
            <w:r>
              <w:rPr>
                <w:rFonts w:hint="eastAsia" w:ascii="Times New Roman" w:eastAsia="楷体_GB2312" w:cs="楷体_GB2312"/>
                <w:b/>
                <w:bCs/>
                <w:sz w:val="32"/>
                <w:szCs w:val="24"/>
              </w:rPr>
              <w:t>实施细</w:t>
            </w:r>
          </w:p>
          <w:p w14:paraId="25BBB713">
            <w:pPr>
              <w:jc w:val="center"/>
              <w:rPr>
                <w:rFonts w:eastAsia="楷体_GB2312"/>
                <w:b/>
                <w:bCs/>
                <w:sz w:val="32"/>
                <w:szCs w:val="24"/>
                <w:lang w:val="en-US"/>
              </w:rPr>
            </w:pPr>
            <w:r>
              <w:rPr>
                <w:rFonts w:hint="eastAsia" w:ascii="Times New Roman" w:eastAsia="楷体_GB2312" w:cs="楷体_GB2312"/>
                <w:b/>
                <w:bCs/>
                <w:sz w:val="32"/>
                <w:szCs w:val="24"/>
              </w:rPr>
              <w:t>则有关</w:t>
            </w:r>
          </w:p>
          <w:p w14:paraId="4839FBD0">
            <w:pPr>
              <w:jc w:val="center"/>
              <w:rPr>
                <w:rFonts w:eastAsia="楷体_GB2312"/>
                <w:b/>
                <w:bCs/>
                <w:sz w:val="32"/>
                <w:szCs w:val="24"/>
                <w:lang w:val="en-US"/>
              </w:rPr>
            </w:pPr>
            <w:r>
              <w:rPr>
                <w:rFonts w:hint="eastAsia" w:ascii="Times New Roman" w:eastAsia="楷体_GB2312" w:cs="楷体_GB2312"/>
                <w:b/>
                <w:bCs/>
                <w:sz w:val="32"/>
                <w:szCs w:val="24"/>
              </w:rPr>
              <w:t>变更登</w:t>
            </w:r>
          </w:p>
          <w:p w14:paraId="7BAA54A9">
            <w:pPr>
              <w:jc w:val="center"/>
              <w:rPr>
                <w:rFonts w:eastAsia="楷体_GB2312"/>
                <w:b/>
                <w:bCs/>
                <w:sz w:val="32"/>
                <w:szCs w:val="24"/>
                <w:lang w:val="en-US"/>
              </w:rPr>
            </w:pPr>
            <w:r>
              <w:rPr>
                <w:rFonts w:hint="eastAsia" w:ascii="Times New Roman" w:eastAsia="楷体_GB2312" w:cs="楷体_GB2312"/>
                <w:b/>
                <w:bCs/>
                <w:sz w:val="32"/>
                <w:szCs w:val="24"/>
              </w:rPr>
              <w:t>记规定</w:t>
            </w:r>
          </w:p>
          <w:p w14:paraId="3A6E2E90">
            <w:pPr>
              <w:jc w:val="center"/>
              <w:rPr>
                <w:rFonts w:eastAsia="楷体_GB2312"/>
                <w:b/>
                <w:bCs/>
                <w:sz w:val="32"/>
                <w:szCs w:val="24"/>
                <w:lang w:val="en-US"/>
              </w:rPr>
            </w:pPr>
            <w:r>
              <w:rPr>
                <w:rFonts w:hint="eastAsia" w:ascii="Times New Roman" w:eastAsia="楷体_GB2312" w:cs="楷体_GB2312"/>
                <w:b/>
                <w:bCs/>
                <w:sz w:val="32"/>
                <w:szCs w:val="24"/>
              </w:rPr>
              <w:t>的执行</w:t>
            </w:r>
          </w:p>
          <w:p w14:paraId="5880DD0A">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14:paraId="753EEF1C">
            <w:pPr>
              <w:spacing w:line="320" w:lineRule="exact"/>
              <w:rPr>
                <w:rFonts w:hint="eastAsia" w:ascii="楷体_GB2312" w:eastAsia="楷体_GB2312" w:cs="楷体_GB2312"/>
                <w:sz w:val="28"/>
                <w:szCs w:val="28"/>
                <w:lang w:val="en-US"/>
              </w:rPr>
            </w:pPr>
            <w:r>
              <w:rPr>
                <w:rStyle w:val="15"/>
                <w:rFonts w:hint="eastAsia" w:ascii="楷体_GB2312" w:eastAsia="楷体_GB2312" w:cs="楷体_GB2312"/>
                <w:sz w:val="28"/>
                <w:szCs w:val="28"/>
                <w:lang w:val="en-US"/>
              </w:rPr>
              <w:t>按照《条例》和实施细则有关规定执行。</w:t>
            </w:r>
          </w:p>
        </w:tc>
      </w:tr>
      <w:tr w14:paraId="25F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14:paraId="5DB98CAE">
            <w:pPr>
              <w:jc w:val="center"/>
              <w:rPr>
                <w:rFonts w:eastAsia="楷体_GB2312"/>
                <w:b/>
                <w:bCs/>
                <w:sz w:val="32"/>
                <w:szCs w:val="24"/>
                <w:lang w:val="en-US"/>
              </w:rPr>
            </w:pPr>
            <w:r>
              <w:rPr>
                <w:rFonts w:hint="eastAsia" w:ascii="Times New Roman" w:eastAsia="楷体_GB2312" w:cs="楷体_GB2312"/>
                <w:b/>
                <w:bCs/>
                <w:sz w:val="32"/>
                <w:szCs w:val="24"/>
              </w:rPr>
              <w:t>开</w:t>
            </w:r>
          </w:p>
          <w:p w14:paraId="17F6CD0B">
            <w:pPr>
              <w:jc w:val="center"/>
              <w:rPr>
                <w:rFonts w:eastAsia="楷体_GB2312"/>
                <w:b/>
                <w:bCs/>
                <w:sz w:val="32"/>
                <w:szCs w:val="24"/>
                <w:lang w:val="en-US"/>
              </w:rPr>
            </w:pPr>
            <w:r>
              <w:rPr>
                <w:rFonts w:hint="eastAsia" w:ascii="Times New Roman" w:eastAsia="楷体_GB2312" w:cs="楷体_GB2312"/>
                <w:b/>
                <w:bCs/>
                <w:sz w:val="32"/>
                <w:szCs w:val="24"/>
              </w:rPr>
              <w:t>展</w:t>
            </w:r>
          </w:p>
          <w:p w14:paraId="2C00937D">
            <w:pPr>
              <w:jc w:val="center"/>
              <w:rPr>
                <w:rFonts w:eastAsia="楷体_GB2312"/>
                <w:b/>
                <w:bCs/>
                <w:sz w:val="32"/>
                <w:szCs w:val="24"/>
                <w:lang w:val="en-US"/>
              </w:rPr>
            </w:pPr>
            <w:r>
              <w:rPr>
                <w:rFonts w:hint="eastAsia" w:ascii="Times New Roman" w:eastAsia="楷体_GB2312" w:cs="楷体_GB2312"/>
                <w:b/>
                <w:bCs/>
                <w:sz w:val="32"/>
                <w:szCs w:val="24"/>
              </w:rPr>
              <w:t>业</w:t>
            </w:r>
          </w:p>
          <w:p w14:paraId="03016C52">
            <w:pPr>
              <w:jc w:val="center"/>
              <w:rPr>
                <w:rFonts w:eastAsia="楷体_GB2312"/>
                <w:b/>
                <w:bCs/>
                <w:sz w:val="32"/>
                <w:szCs w:val="24"/>
                <w:lang w:val="en-US"/>
              </w:rPr>
            </w:pPr>
            <w:r>
              <w:rPr>
                <w:rFonts w:hint="eastAsia" w:ascii="Times New Roman" w:eastAsia="楷体_GB2312" w:cs="楷体_GB2312"/>
                <w:b/>
                <w:bCs/>
                <w:sz w:val="32"/>
                <w:szCs w:val="24"/>
              </w:rPr>
              <w:t>务</w:t>
            </w:r>
          </w:p>
          <w:p w14:paraId="372B94D8">
            <w:pPr>
              <w:jc w:val="center"/>
              <w:rPr>
                <w:rFonts w:eastAsia="楷体_GB2312"/>
                <w:b/>
                <w:bCs/>
                <w:sz w:val="32"/>
                <w:szCs w:val="24"/>
                <w:lang w:val="en-US"/>
              </w:rPr>
            </w:pPr>
            <w:r>
              <w:rPr>
                <w:rFonts w:hint="eastAsia" w:ascii="Times New Roman" w:eastAsia="楷体_GB2312" w:cs="楷体_GB2312"/>
                <w:b/>
                <w:bCs/>
                <w:sz w:val="32"/>
                <w:szCs w:val="24"/>
              </w:rPr>
              <w:t>活</w:t>
            </w:r>
          </w:p>
          <w:p w14:paraId="0F3B0DC0">
            <w:pPr>
              <w:jc w:val="center"/>
              <w:rPr>
                <w:rFonts w:eastAsia="楷体_GB2312"/>
                <w:b/>
                <w:bCs/>
                <w:sz w:val="32"/>
                <w:szCs w:val="24"/>
                <w:lang w:val="en-US"/>
              </w:rPr>
            </w:pPr>
            <w:r>
              <w:rPr>
                <w:rFonts w:hint="eastAsia" w:ascii="Times New Roman" w:eastAsia="楷体_GB2312" w:cs="楷体_GB2312"/>
                <w:b/>
                <w:bCs/>
                <w:sz w:val="32"/>
                <w:szCs w:val="24"/>
              </w:rPr>
              <w:t>动</w:t>
            </w:r>
          </w:p>
          <w:p w14:paraId="7D64E678">
            <w:pPr>
              <w:jc w:val="center"/>
              <w:rPr>
                <w:rFonts w:eastAsia="楷体_GB2312"/>
                <w:b/>
                <w:bCs/>
                <w:sz w:val="32"/>
                <w:szCs w:val="24"/>
                <w:lang w:val="en-US"/>
              </w:rPr>
            </w:pPr>
            <w:r>
              <w:rPr>
                <w:rFonts w:hint="eastAsia" w:ascii="Times New Roman" w:eastAsia="楷体_GB2312" w:cs="楷体_GB2312"/>
                <w:b/>
                <w:bCs/>
                <w:sz w:val="32"/>
                <w:szCs w:val="24"/>
              </w:rPr>
              <w:t>情</w:t>
            </w:r>
          </w:p>
          <w:p w14:paraId="15318F16">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14:paraId="1B76B718">
            <w:pPr>
              <w:autoSpaceDE w:val="0"/>
              <w:autoSpaceDN w:val="0"/>
              <w:adjustRightInd w:val="0"/>
              <w:snapToGrid w:val="0"/>
              <w:spacing w:line="360" w:lineRule="auto"/>
              <w:rPr>
                <w:rFonts w:hint="eastAsia" w:ascii="楷体_GB2312" w:eastAsia="楷体_GB2312" w:cs="楷体_GB2312"/>
                <w:sz w:val="28"/>
                <w:szCs w:val="24"/>
                <w:lang w:val="en-US"/>
              </w:rPr>
            </w:pPr>
            <w:r>
              <w:rPr>
                <w:rStyle w:val="15"/>
                <w:rFonts w:hint="eastAsia" w:ascii="楷体_GB2312" w:eastAsia="楷体_GB2312" w:cs="楷体_GB2312"/>
                <w:sz w:val="28"/>
                <w:szCs w:val="24"/>
                <w:lang w:val="en-US"/>
              </w:rPr>
              <w:t>全体教职员工坚持以“质量兴校，友谊兴校，特色兴校”为指导，在“1234工作思路”和本校“红星闪闪放光彩”的育人理念指引下，有序开展工作，班子积极作为、作风优良、执行力强。各部门参政议政，人人都有发言权，借均衡发展东风为学校的发展献计献策，做到了团结一心，共谋学校发展。现就本学年所做工作总结如下： 一、学校党建及党风廉政工作 扎扎实实抓党建成为常态，制定了党建工作实施计划，加强党风廉政建设，支部书记及时上好党课，学习氛围浓厚。支部定期进行党日活动，召开民主生活会，发挥群团组织的力量对存在的问题进行查摆并落实整改，全体党员团结一心，为学校工作推进起到了引领示范作用。及时清缴党费并上交上级部门，做到了诚心、诚实、诚恳。 学校在上级党委的领导下，结合学校工作实际，紧紧围绕学校工作中心，加强领导班子和领导作风建设，加强校务公开和廉政教育工作。学校党支部与每一位教师签订了《党风廉政建设责任书》、《师德师风建设承诺书》。要求党员、教师明确责任、履行承诺。通过学习和监督，学校无违规违纪行为。 二、安稳工作 专门成立了学校安全工作领导小组，组长校长亲自担任，负总责，具体抓；副校长担任副组长，负专责，安稳办主任为具体落实人。严格落实了 “一岗双责”制度。层层签订了安全责任书，落实了安全责任。学校加强门卫的管理工作，严格来客登记制度，每天不定时对校园及周边加强了巡逻。学校投入大量资金，加装了摄像头，使学校视频监控全覆盖。各功能室、学校过道和教师办公室都配置了灭火器，学校的消防设施设备基本达到要求。积极与其他单位联系，开展了校园及周边的综合治理。与多部门联合认真开展安全逃生演练。 认真做好了食堂安全管理工作，使学生每天每餐都能正常吃上营养饭菜。 积极开展了防溺水、预防毒品、交通、食品、防邪教、防校园欺凌、消防等安全主题教育。加强了学生在校期间的安全管理，一年来，学校未出现任何责任事故。 三、德育工作 2020年，在区教委的领导下，在学校领导和老师的大力支持下，学校全面贯彻党的教育方针，全面落实立德树人的任务，根据学校实际开展富有特色的德育工作，实现了德育目标，取得了一定的成绩。 （一）坚持师德为先，建设高素质队伍 学校为了加强教师思想政治工作，制定可行的《师德师考核办法》，加强师德师考核平台管理， （二）加强校园文化建设，做到以文化人 学校积极打造校园文化，核心为“红军文化”，以红色诗词、红军故事、英雄事迹、重大战役作为学校走廊文化，以长征油画、红军战士雕塑布置校园文化墙，从而打造合理的校园环境，做到环境育人；构建校园文化理念体系，研发“红军光辉”、“红军闪耀”、“红军传承”、“红军励志”的“四红”德育校本课程，特色课程融入国家课程校本化实施，根据学校办学目标、办学理念，培养学生相关素，养成学生良好的认知习惯和行为习惯，提升能，养成学生良好的科学态度和良好的气质，培养学生的远大志向和关键品格。 （三）抓好常规，落实德育特色岗位 学校为了抓好学生习惯养成教育，设立“小红军五岗”，即“小红军礼仪岗”每天在校门负责迎接师生，监督好师生文明用语、文明行为，“小红军哨兵岗”每天上学、放学、课间站好岗，督促检查学生的一言一行，“小红军卫生岗”，督促检查学生个人卫生和校园环境卫生，“小红军纪律岗”督促检查学生课间追逐疯打、吵闹等违纪违规问题，“小红军巡逻岗”负责巡逻学校校园卫生、安全等工作。各岗位工作由学校德育办汇总，按照常规考核量化，每天一评比，对各班的卫生、文明礼仪、纪律、两操等情况进行量化考核，公布检查结果，颁发流动红旗，并把检查、评比的结果列入班级考评内容中，做为班主任考核量化的依据。　 （四）开展丰富多彩的德育活动，做到活动育人 学校以丰富多彩的德育活动为载体，培养学生良好的思想品德和行为习惯。学校利用中华传统节日、国家重大节庆日、纪念日和主题教育日开展了“红旗飘飘引我成长”主题朗诵比赛、“腾飞的祖国—改革开展四十年”主题征文演讲比赛、“弘扬革命精神培育时代新人—追忆杨尚昆”主题教育宣传、热爱劳动、诚实守信、世界艾滋病日等主题宣传教育活动；利用学雷锋纪念日、建党建军纪念日等重要纪念日以及重大历史事件、历史名人纪念，开展主题班会活动，让学生回顾历史，了解历史，传承中华民族的传统文化，爱祖国、爱人民，永远听党话，跟党走；开展情系中秋关爱留守儿童、学雷锋、爱家乡净我家园、洁净校园共创美丽校园等圆梦志愿服务活动，发扬志愿服务精神。学校开展好“五个一”活动，即每周一仪式——升国旗仪式，每天牢记一格言，每月一主题黑板报，每月一红星灿烂作品评比，每期一红星榜样评选。 （五）构建“学校、家庭、社会”一体化网络，做到家校共育 我校非常重视家庭教育工作，成立了家长委员会和家长学校，开展家长会、百校千师访万家、教育教学开放周等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 （六）存在的问题 家长对学生教育理念有待更新，社会、家庭、学校三结合工作仍需加强。家长对学生教育理念有待更新，社会、家庭、学校三结合工作仍需加强。  四、强化常规管理，提高教育教学质量。 1、本学期小学部共转入学生8人，转出学生4人，在校总人数442人。幼儿园招收幼儿数：大班54人、中班38人、小班16人、莫家村幼儿园8人，共计幼儿学生116人。 2、本学期送教上门学生共4名：群力镇双堰村的石慧、牵牛村的卜渝、莫家村的陈伟、小龙村的杨静玉。由学校选派责任心强、热爱残疾学生，思想、业务水平较高且具有丰富实践经验的部分教师，分四个小组，开展“送教上门”工作。各小组由组长负责，至少一周一次送教上门的活动，及时为三残儿童送去温暖和关怀。 3、本学期教学常规检查5次，全体教师都能立足本年级教材和学科的特点，以及学生的年龄特点进行教学设计;能够按照学校要求做到先周备课;教学目标的设定总体上明确、具体，具有可操作性、可评价性;教学流程都能够做到比较详实、具体，符合学情;能够对教学过程进行比较有针对性的反思; 能对自己的教学手段、方式、方法进行深刻地反思，反思深刻、有针对性。教师作业的布置适量、适度，批改及时、认真、细致有复批；无错批、漏批现象。学生书写比较认真，格式比较规范，教师对学生作业的书写格式有明确的要求。个别数学老师根据学生差异采用分层次布置作业的做法，调动不同层次学生的学习积极性。教师作业批改采用了等级评价和激励性评价的语言，有些教师还有特定的评语。班班通、班务日志登记详实，无缺漏。 五、学校工会工作 学校紧紧围绕区教委工会核心理念来做好各项工作。不断加强工会自身建设，充分发挥职能，积极丰富教职工文体活动，大力发展送温暧活动，帮扶困难教职工等方面，取得了一定成绩。 1、努力提高职工的思想素质、建立一支优秀的职工队伍。学校们首要工作是</w:t>
            </w:r>
            <w:r>
              <w:rPr>
                <w:rStyle w:val="15"/>
                <w:rFonts w:hint="eastAsia" w:ascii="楷体_GB2312" w:eastAsia="楷体_GB2312" w:cs="楷体_GB2312"/>
                <w:sz w:val="28"/>
                <w:szCs w:val="24"/>
                <w:lang w:val="en-US" w:eastAsia="zh-CN"/>
              </w:rPr>
              <w:t>教育</w:t>
            </w:r>
            <w:r>
              <w:rPr>
                <w:rStyle w:val="15"/>
                <w:rFonts w:hint="eastAsia" w:ascii="楷体_GB2312" w:eastAsia="楷体_GB2312" w:cs="楷体_GB2312"/>
                <w:sz w:val="28"/>
                <w:szCs w:val="24"/>
                <w:lang w:val="en-US"/>
              </w:rPr>
              <w:t>教学，培养新时期教师队伍建设是主要职责。提高学校教育教学水平就必须有一支思想素质好，业务素质强的教帅队伍，今年工会配合学校开展了一系列活动，切实提高了教职工的思想素质和业务素质。（1）不断加强理论学习，提高职工师德水平，首先，我们加强了政治理论学习，让职工树立正确的人生观，职业观。其次，加强法制学习。在师德教育中，坚持以法治教，以法治校。（2）坚持关心年轻教师，促进青年教师迅速成长。 2、坚持校务公开，加强校风建设，发挥工会的监督职能。教职工是学校的主人，是学校物质文明和精神文明的创造者和建设者。学校工会长期以来一直关心职工生活，坚持教职工代表大会制度，充分发挥教职工代表大会的桥梁，纽带作用，增强教师的主人翁精神，参加学校民主决策。要发展教师的主观能动性，切实帮助教师解决实际困难，把工会办成真正的职工之家。学校职工遇到婚、丧、产假、生病住院，学校工会都组织人员前去慰问。做到把温暖送到每一个职工的心坎上。 本学年工作还做得很不够，收集教职工的意见建议还不够全面对教职工的实际困难了解不够深入。总之，学校工会发扬优良传统，为教职工服务，为学校发展服务，很好地发挥了桥梁作用，今后，我们将再接再厉，把工会办成教职工温馨的家。 六、退教协工作 我校退教协工作仍以服务退休教师为宗旨，以落实“老有所依，老有所学，老有所乐，老有所为”为工作目标，开展有利于身心健康的文体活动，愉悦身心，不断进取，永葆青春。 1、加强学习，不断充实自己，防止知识老化、思想僵化、能力退化。 2、开展“阳光校园，我的好伙伴”主题教育活动，要求老教师积极参加主题教育宣讲活动，结合本校先进典型事例，配合学校德育办做好宣讲这项工作。 3、用自己的亲身经历侧重在践行上谈体会，做到听党话，跟党走，感党恩，动笔写文章，并推荐征文上报区退教协。 4、积极参与关心下一代工作：（1）配合德育办参与学校教学开放周活动。（2）配合德育办对暂差生结对帮扶活动。（3）对贫困生、学困生献爱心活动。（4）参与社会公益活动。 5、做好重阳节庆祝活动（祝寿）。 6、与部分退休教师座谈、商议，争得退休教师的理解和支持，学校退休教师住房大</w:t>
            </w:r>
            <w:r>
              <w:rPr>
                <w:rStyle w:val="15"/>
                <w:rFonts w:hint="eastAsia" w:ascii="楷体_GB2312" w:eastAsia="楷体_GB2312" w:cs="楷体_GB2312"/>
                <w:sz w:val="28"/>
                <w:szCs w:val="24"/>
                <w:lang w:val="en-US" w:eastAsia="zh-CN"/>
              </w:rPr>
              <w:t>部分</w:t>
            </w:r>
            <w:r>
              <w:rPr>
                <w:rStyle w:val="15"/>
                <w:rFonts w:hint="eastAsia" w:ascii="楷体_GB2312" w:eastAsia="楷体_GB2312" w:cs="楷体_GB2312"/>
                <w:sz w:val="28"/>
                <w:szCs w:val="24"/>
                <w:lang w:val="en-US"/>
              </w:rPr>
              <w:t xml:space="preserve">已退出。 七、后勤工作 学校后勤工作在学校领导的大力支持和带领下，为创建义务教育均衡发展迎接国检，积极努力，不断提高办学效益，研究新情况，优化进行机制，提高管理水平，改善办学条件，增强保障能力，促进学校健康良好的发展，具体工作做到了: 1、加强了后勤管理，完善了各项后勤管理制度并落实到位。 2、积极做好了校园环境卫生保洁工作，将学校厕所进行了改造，运动场铺设了草坪，三面四房进行了修复，教室、功能室窗明几净，环境优美，为师生创造了一个良好的学习工作环境。 3、为教育教学提供良好的条件。学校新征10亩校地修建运动场，在资金缺少的情况下，添制了小蜜蜂扩音设备、增设视频监控、装修保安室及保安寝室、配齐保安室设施设备。 4、学校食堂管理较好，为师生提供了良好的就餐条件， 让营养餐、爱心餐深入民心，准确把握资助范围，规范申请和审批程序，让该享受资助的每一个人都得到应有的资助。 5、加强了校园绿化的管理，保证了花草树木的正常生长，美化校园，绿化校园，为师生提供了良好的教育教学环境。 6、能按要求记好账，做到账账相符，账物相符，发票有齐全的签字手续。 7、做到了开支合理、勤俭办学。　　 虽然学校各项工作取得了一些成就，但成绩还彰显不足，不突出，社会效应还不够强烈，个别部门工作还有待加强。面对新形势，作为乡村小学，我们将按照区教育工委书记、教委主任刘昌荣同志提出的“打造小而美的特色学校”，带领学校领导班子与全体教师发扬艰苦创业、负重拼搏的精神，与时俱进，开拓创新，千方百计把群力小学友谊做深，质量做精，特色做亮。为潼南教育事业的发展作出更大的贡献！ </w:t>
            </w:r>
          </w:p>
          <w:p w14:paraId="35DA06C3">
            <w:pPr>
              <w:autoSpaceDE w:val="0"/>
              <w:autoSpaceDN w:val="0"/>
              <w:adjustRightInd w:val="0"/>
              <w:snapToGrid w:val="0"/>
              <w:spacing w:line="360" w:lineRule="auto"/>
              <w:rPr>
                <w:rFonts w:hint="eastAsia" w:ascii="楷体_GB2312" w:eastAsia="楷体_GB2312" w:cs="楷体_GB2312"/>
                <w:sz w:val="28"/>
                <w:szCs w:val="24"/>
                <w:lang w:val="en-US"/>
              </w:rPr>
            </w:pPr>
          </w:p>
        </w:tc>
      </w:tr>
      <w:tr w14:paraId="57DF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14:paraId="25C12DCE">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14:paraId="250EDF1F">
            <w:pPr>
              <w:spacing w:line="320" w:lineRule="exact"/>
              <w:rPr>
                <w:rFonts w:hint="eastAsia" w:ascii="楷体_GB2312" w:eastAsia="楷体_GB2312" w:cs="楷体_GB2312"/>
                <w:sz w:val="28"/>
                <w:szCs w:val="28"/>
                <w:lang w:val="en-US"/>
              </w:rPr>
            </w:pPr>
            <w:r>
              <w:rPr>
                <w:rStyle w:val="15"/>
                <w:rFonts w:hint="eastAsia" w:ascii="楷体_GB2312" w:eastAsia="楷体_GB2312" w:cs="楷体_GB2312"/>
                <w:sz w:val="28"/>
                <w:szCs w:val="24"/>
                <w:lang w:val="en-US"/>
              </w:rPr>
              <w:t>无</w:t>
            </w:r>
          </w:p>
        </w:tc>
      </w:tr>
      <w:tr w14:paraId="6AF4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14:paraId="464C1386">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14:paraId="69A621FE">
            <w:pPr>
              <w:jc w:val="left"/>
            </w:pPr>
            <w:r>
              <w:rPr>
                <w:rStyle w:val="15"/>
                <w:rFonts w:hint="eastAsia" w:ascii="楷体_GB2312" w:eastAsia="楷体_GB2312" w:cs="楷体_GB2312"/>
                <w:sz w:val="28"/>
                <w:szCs w:val="28"/>
                <w:lang w:val="en-US"/>
              </w:rPr>
              <w:t>无</w:t>
            </w:r>
          </w:p>
        </w:tc>
      </w:tr>
      <w:tr w14:paraId="4074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14:paraId="4EDAF472">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14:paraId="0060FE27">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14:paraId="4C45F8F4">
            <w:pPr>
              <w:jc w:val="left"/>
            </w:pPr>
            <w:r>
              <w:rPr>
                <w:rStyle w:val="15"/>
                <w:rFonts w:hint="eastAsia" w:ascii="楷体_GB2312" w:eastAsia="楷体_GB2312" w:cs="楷体_GB2312"/>
                <w:sz w:val="28"/>
                <w:szCs w:val="28"/>
                <w:lang w:val="en-US"/>
              </w:rPr>
              <w:t>无</w:t>
            </w:r>
          </w:p>
        </w:tc>
      </w:tr>
    </w:tbl>
    <w:p w14:paraId="1EB616F0">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梁建荣</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15823480398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2021年01月19日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09BE"/>
    <w:rsid w:val="3C341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qFormat/>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qFormat/>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qFormat/>
    <w:locked/>
    <w:uiPriority w:val="0"/>
    <w:rPr>
      <w:rFonts w:hint="default" w:ascii="Times New Roman" w:hAnsi="Times New Roman" w:eastAsia="宋体" w:cs="Times New Roman"/>
      <w:sz w:val="18"/>
      <w:szCs w:val="18"/>
    </w:rPr>
  </w:style>
  <w:style w:type="character" w:customStyle="1" w:styleId="15">
    <w:name w:val="font71"/>
    <w:basedOn w:val="13"/>
    <w:qFormat/>
    <w:uiPriority w:val="0"/>
    <w:rPr>
      <w:rFonts w:hint="default" w:ascii="Times New Roman" w:hAnsi="Times New Roman" w:eastAsia="楷体_GB2312" w:cs="Times New Roman"/>
      <w:sz w:val="28"/>
      <w:szCs w:val="24"/>
    </w:rPr>
  </w:style>
  <w:style w:type="character" w:customStyle="1" w:styleId="16">
    <w:name w:val="页眉 Char"/>
    <w:basedOn w:val="13"/>
    <w:link w:val="9"/>
    <w:qFormat/>
    <w:locked/>
    <w:uiPriority w:val="0"/>
    <w:rPr>
      <w:rFonts w:hint="default" w:ascii="Times New Roman" w:hAnsi="Times New Roman" w:eastAsia="宋体" w:cs="Times New Roman"/>
      <w:sz w:val="18"/>
      <w:szCs w:val="18"/>
    </w:rPr>
  </w:style>
  <w:style w:type="character" w:customStyle="1" w:styleId="17">
    <w:name w:val="font21"/>
    <w:basedOn w:val="13"/>
    <w:qFormat/>
    <w:uiPriority w:val="0"/>
    <w:rPr>
      <w:rFonts w:hint="default" w:ascii="Times New Roman" w:hAnsi="Times New Roman" w:eastAsia="楷体_GB2312" w:cs="Times New Roman"/>
      <w:sz w:val="30"/>
      <w:szCs w:val="24"/>
    </w:rPr>
  </w:style>
  <w:style w:type="character" w:customStyle="1" w:styleId="18">
    <w:name w:val="font51"/>
    <w:basedOn w:val="13"/>
    <w:qFormat/>
    <w:uiPriority w:val="0"/>
    <w:rPr>
      <w:rFonts w:hint="eastAsia" w:ascii="黑体" w:hAnsi="宋体" w:eastAsia="黑体" w:cs="黑体"/>
      <w:sz w:val="36"/>
      <w:szCs w:val="24"/>
    </w:rPr>
  </w:style>
  <w:style w:type="character" w:customStyle="1" w:styleId="19">
    <w:name w:val="font61"/>
    <w:basedOn w:val="13"/>
    <w:qFormat/>
    <w:uiPriority w:val="0"/>
    <w:rPr>
      <w:rFonts w:hint="default" w:ascii="Times New Roman" w:hAnsi="Times New Roman" w:eastAsia="楷体_GB2312" w:cs="Times New Roman"/>
      <w:sz w:val="32"/>
      <w:szCs w:val="24"/>
    </w:rPr>
  </w:style>
  <w:style w:type="character" w:customStyle="1" w:styleId="20">
    <w:name w:val="hps"/>
    <w:basedOn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10</Pages>
  <Words>4807</Words>
  <Characters>4870</Characters>
  <Lines>4</Lines>
  <Paragraphs>1</Paragraphs>
  <TotalTime>1</TotalTime>
  <ScaleCrop>false</ScaleCrop>
  <LinksUpToDate>false</LinksUpToDate>
  <CharactersWithSpaces>4960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2411-12-29T16:00:00Z</dcterms:created>
  <dc:creator>雨林木风</dc:creator>
  <cp:lastModifiedBy>萧萧夜月风</cp:lastModifiedBy>
  <dcterms:modified xsi:type="dcterms:W3CDTF">2025-03-05T06:53:54Z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D6D3804741A341C7ABEFFE0FDE804759</vt:lpwstr>
  </property>
  <property fmtid="{D5CDD505-2E9C-101B-9397-08002B2CF9AE}" pid="4" name="KSOTemplateDocerSaveRecord">
    <vt:lpwstr>eyJoZGlkIjoiYzEzYWJiYjQ3ZTQ4MDExZmEzNDUxMTkwNzQwNGQyNTgiLCJ1c2VySWQiOiI0NzcyMDk0MDYifQ==</vt:lpwstr>
  </property>
</Properties>
</file>