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w:t>
      </w:r>
      <w:r>
        <w:rPr>
          <w:rFonts w:hint="eastAsia" w:ascii="方正小标宋_GBK" w:eastAsia="方正小标宋_GBK"/>
          <w:sz w:val="44"/>
          <w:szCs w:val="44"/>
          <w:lang w:eastAsia="zh-CN"/>
        </w:rPr>
        <w:t>玉溪文化服务中心</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jc w:val="center"/>
        <w:rPr>
          <w:rFonts w:eastAsia="方正仿宋_GBK"/>
          <w:sz w:val="32"/>
          <w:szCs w:val="32"/>
        </w:rPr>
      </w:pPr>
    </w:p>
    <w:p>
      <w:pPr>
        <w:ind w:firstLine="640" w:firstLineChars="200"/>
        <w:rPr>
          <w:rFonts w:ascii="黑体" w:hAnsi="黑体" w:eastAsia="黑体" w:cs="黑体"/>
          <w:sz w:val="32"/>
          <w:szCs w:val="32"/>
        </w:rPr>
      </w:pPr>
      <w:r>
        <w:rPr>
          <w:rFonts w:hint="eastAsia" w:ascii="黑体" w:hAnsi="黑体" w:eastAsia="黑体" w:cs="黑体"/>
          <w:sz w:val="32"/>
          <w:szCs w:val="32"/>
        </w:rPr>
        <w:t>一、单位基本情况</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（一）职能职责</w:t>
      </w:r>
    </w:p>
    <w:p>
      <w:pPr>
        <w:keepNext w:val="0"/>
        <w:keepLines w:val="0"/>
        <w:widowControl/>
        <w:suppressLineNumbers w:val="0"/>
        <w:ind w:firstLine="620" w:firstLineChars="200"/>
        <w:jc w:val="left"/>
      </w:pPr>
      <w:r>
        <w:rPr>
          <w:rFonts w:hint="eastAsia" w:ascii="方正仿宋_GBK" w:hAnsi="方正仿宋_GBK" w:eastAsia="方正仿宋_GBK" w:cs="方正仿宋_GBK"/>
          <w:color w:val="000000"/>
          <w:kern w:val="0"/>
          <w:sz w:val="31"/>
          <w:szCs w:val="31"/>
          <w:lang w:val="en-US" w:eastAsia="zh-CN" w:bidi="ar"/>
        </w:rPr>
        <w:t>1、</w:t>
      </w:r>
      <w:r>
        <w:rPr>
          <w:rFonts w:ascii="方正仿宋_GBK" w:hAnsi="方正仿宋_GBK" w:eastAsia="方正仿宋_GBK" w:cs="方正仿宋_GBK"/>
          <w:color w:val="000000"/>
          <w:kern w:val="0"/>
          <w:sz w:val="31"/>
          <w:szCs w:val="31"/>
          <w:lang w:val="en-US" w:eastAsia="zh-CN" w:bidi="ar"/>
        </w:rPr>
        <w:t>负责组织开展宣传教育、文化娱乐、</w:t>
      </w:r>
      <w:r>
        <w:rPr>
          <w:rFonts w:hint="eastAsia" w:ascii="方正仿宋_GBK" w:hAnsi="方正仿宋_GBK" w:eastAsia="方正仿宋_GBK" w:cs="方正仿宋_GBK"/>
          <w:color w:val="000000"/>
          <w:kern w:val="0"/>
          <w:sz w:val="31"/>
          <w:szCs w:val="31"/>
          <w:lang w:val="en-US" w:eastAsia="zh-CN" w:bidi="ar"/>
        </w:rPr>
        <w:t>报刊阅读、科普培训、信息服务、体育健身和文化交流等活动，开展旅游咨询、市场推广等服务工作，配合做好文化遗产保护和文化市场监管工作。</w:t>
      </w:r>
    </w:p>
    <w:p>
      <w:pPr>
        <w:keepNext w:val="0"/>
        <w:keepLines w:val="0"/>
        <w:widowControl/>
        <w:suppressLineNumbers w:val="0"/>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完成</w:t>
      </w:r>
      <w:r>
        <w:rPr>
          <w:rFonts w:hint="eastAsia" w:ascii="仿宋" w:hAnsi="仿宋" w:eastAsia="仿宋" w:cs="仿宋"/>
          <w:sz w:val="32"/>
          <w:szCs w:val="32"/>
          <w:lang w:eastAsia="zh-CN"/>
        </w:rPr>
        <w:t>党委政府和</w:t>
      </w:r>
      <w:r>
        <w:rPr>
          <w:rFonts w:hint="eastAsia" w:ascii="仿宋" w:hAnsi="仿宋" w:eastAsia="仿宋" w:cs="仿宋"/>
          <w:sz w:val="32"/>
          <w:szCs w:val="32"/>
        </w:rPr>
        <w:t>上级</w:t>
      </w:r>
      <w:r>
        <w:rPr>
          <w:rFonts w:hint="eastAsia" w:ascii="仿宋" w:hAnsi="仿宋" w:eastAsia="仿宋" w:cs="仿宋"/>
          <w:sz w:val="32"/>
          <w:szCs w:val="32"/>
          <w:lang w:eastAsia="zh-CN"/>
        </w:rPr>
        <w:t>部门</w:t>
      </w:r>
      <w:r>
        <w:rPr>
          <w:rFonts w:hint="eastAsia" w:ascii="仿宋" w:hAnsi="仿宋" w:eastAsia="仿宋" w:cs="仿宋"/>
          <w:sz w:val="32"/>
          <w:szCs w:val="32"/>
        </w:rPr>
        <w:t>交办的其它事项。</w:t>
      </w:r>
    </w:p>
    <w:p>
      <w:pPr>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（二）单位构成</w:t>
      </w:r>
    </w:p>
    <w:p>
      <w:pPr>
        <w:spacing w:line="600" w:lineRule="exact"/>
        <w:ind w:firstLine="684" w:firstLineChars="214"/>
        <w:rPr>
          <w:rFonts w:ascii="仿宋" w:hAnsi="仿宋" w:eastAsia="仿宋" w:cs="仿宋"/>
          <w:sz w:val="32"/>
          <w:szCs w:val="32"/>
        </w:rPr>
      </w:pPr>
      <w:r>
        <w:rPr>
          <w:rFonts w:eastAsia="方正仿宋_GBK"/>
          <w:sz w:val="32"/>
          <w:szCs w:val="32"/>
        </w:rPr>
        <w:t>本单位</w:t>
      </w:r>
      <w:r>
        <w:rPr>
          <w:rFonts w:hint="eastAsia" w:eastAsia="方正仿宋_GBK"/>
          <w:sz w:val="32"/>
          <w:szCs w:val="32"/>
          <w:lang w:eastAsia="zh-CN"/>
        </w:rPr>
        <w:t>为</w:t>
      </w:r>
      <w:r>
        <w:rPr>
          <w:rFonts w:eastAsia="方正仿宋_GBK"/>
          <w:sz w:val="32"/>
          <w:szCs w:val="32"/>
        </w:rPr>
        <w:t>重庆市潼南区</w:t>
      </w:r>
      <w:r>
        <w:rPr>
          <w:rFonts w:hint="eastAsia" w:eastAsia="方正仿宋_GBK"/>
          <w:sz w:val="32"/>
          <w:szCs w:val="32"/>
          <w:lang w:eastAsia="zh-CN"/>
        </w:rPr>
        <w:t>玉溪镇人民政府的</w:t>
      </w:r>
      <w:r>
        <w:rPr>
          <w:rFonts w:eastAsia="方正仿宋_GBK"/>
          <w:sz w:val="32"/>
          <w:szCs w:val="32"/>
        </w:rPr>
        <w:t>二级预算单位。</w:t>
      </w:r>
      <w:r>
        <w:rPr>
          <w:rFonts w:hint="eastAsia" w:eastAsia="方正仿宋_GBK"/>
          <w:sz w:val="32"/>
          <w:szCs w:val="32"/>
          <w:lang w:val="en-US" w:eastAsia="zh-CN"/>
        </w:rPr>
        <w:t>2024年年初实有人数2人。</w:t>
      </w:r>
    </w:p>
    <w:p>
      <w:pPr>
        <w:ind w:firstLine="640" w:firstLineChars="200"/>
        <w:rPr>
          <w:rFonts w:ascii="黑体" w:hAnsi="黑体" w:eastAsia="黑体" w:cs="黑体"/>
          <w:sz w:val="32"/>
          <w:szCs w:val="32"/>
        </w:rPr>
      </w:pPr>
      <w:r>
        <w:rPr>
          <w:rFonts w:hint="eastAsia" w:ascii="黑体" w:hAnsi="黑体" w:eastAsia="黑体" w:cs="黑体"/>
          <w:sz w:val="32"/>
          <w:szCs w:val="32"/>
        </w:rPr>
        <w:t>二、部门收支总体情况</w:t>
      </w:r>
    </w:p>
    <w:p>
      <w:pPr>
        <w:ind w:firstLine="640" w:firstLineChars="200"/>
        <w:rPr>
          <w:rFonts w:ascii="仿宋" w:hAnsi="仿宋" w:eastAsia="仿宋" w:cs="仿宋"/>
          <w:sz w:val="32"/>
          <w:szCs w:val="32"/>
        </w:rPr>
      </w:pPr>
      <w:r>
        <w:rPr>
          <w:rFonts w:hint="eastAsia" w:ascii="仿宋" w:hAnsi="仿宋" w:eastAsia="仿宋" w:cs="仿宋"/>
          <w:sz w:val="32"/>
          <w:szCs w:val="32"/>
        </w:rPr>
        <w:t>（一）收入预算：202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43.73</w:t>
      </w:r>
      <w:r>
        <w:rPr>
          <w:rFonts w:hint="eastAsia" w:ascii="仿宋" w:hAnsi="仿宋" w:eastAsia="仿宋" w:cs="仿宋"/>
          <w:sz w:val="32"/>
          <w:szCs w:val="32"/>
        </w:rPr>
        <w:t>万元，其中：一般公共预算拨款</w:t>
      </w:r>
      <w:r>
        <w:rPr>
          <w:rFonts w:hint="eastAsia" w:ascii="仿宋" w:hAnsi="仿宋" w:eastAsia="仿宋" w:cs="仿宋"/>
          <w:sz w:val="32"/>
          <w:szCs w:val="32"/>
          <w:lang w:val="en-US" w:eastAsia="zh-CN"/>
        </w:rPr>
        <w:t>43.73</w:t>
      </w:r>
      <w:r>
        <w:rPr>
          <w:rFonts w:hint="eastAsia" w:ascii="仿宋" w:hAnsi="仿宋" w:eastAsia="仿宋" w:cs="仿宋"/>
          <w:sz w:val="32"/>
          <w:szCs w:val="32"/>
        </w:rPr>
        <w:t>万元，</w:t>
      </w:r>
      <w:r>
        <w:rPr>
          <w:rFonts w:eastAsia="方正仿宋_GBK"/>
          <w:sz w:val="32"/>
          <w:szCs w:val="32"/>
        </w:rPr>
        <w:t>政府性基金预算拨款</w:t>
      </w:r>
      <w:r>
        <w:rPr>
          <w:rFonts w:hint="eastAsia" w:eastAsia="方正仿宋_GBK"/>
          <w:sz w:val="32"/>
          <w:szCs w:val="32"/>
          <w:lang w:val="en-US" w:eastAsia="zh-CN"/>
        </w:rPr>
        <w:t>0</w:t>
      </w:r>
      <w:r>
        <w:rPr>
          <w:rFonts w:eastAsia="方正仿宋_GBK"/>
          <w:sz w:val="32"/>
          <w:szCs w:val="32"/>
        </w:rPr>
        <w:t>万元,国有资本经营预算收入0万元，事业收入0万元，事业单位经营收入0 万元，其他收入0万元</w:t>
      </w:r>
      <w:r>
        <w:rPr>
          <w:rFonts w:eastAsia="方正仿宋_GBK"/>
          <w:color w:val="000000" w:themeColor="text1"/>
          <w:sz w:val="32"/>
          <w:szCs w:val="32"/>
          <w14:textFill>
            <w14:solidFill>
              <w14:schemeClr w14:val="tx1"/>
            </w14:solidFill>
          </w14:textFill>
        </w:rPr>
        <w:t>。收入较去年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0.75</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0.75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0.39万元）</w:t>
      </w:r>
      <w:r>
        <w:rPr>
          <w:rFonts w:hint="eastAsia" w:ascii="仿宋" w:hAnsi="仿宋" w:eastAsia="仿宋" w:cs="仿宋"/>
          <w:sz w:val="32"/>
          <w:szCs w:val="32"/>
        </w:rPr>
        <w:t>。</w:t>
      </w:r>
    </w:p>
    <w:p>
      <w:pPr>
        <w:ind w:firstLine="640" w:firstLineChars="200"/>
        <w:rPr>
          <w:rFonts w:ascii="仿宋" w:hAnsi="仿宋" w:eastAsia="仿宋" w:cs="仿宋"/>
          <w:sz w:val="32"/>
          <w:szCs w:val="32"/>
        </w:rPr>
      </w:pPr>
      <w:r>
        <w:rPr>
          <w:rFonts w:hint="eastAsia" w:ascii="仿宋" w:hAnsi="仿宋" w:eastAsia="仿宋" w:cs="仿宋"/>
          <w:sz w:val="32"/>
          <w:szCs w:val="32"/>
        </w:rPr>
        <w:t>（二）支出预算：202</w:t>
      </w:r>
      <w:r>
        <w:rPr>
          <w:rFonts w:hint="eastAsia" w:ascii="仿宋" w:hAnsi="仿宋" w:eastAsia="仿宋" w:cs="仿宋"/>
          <w:sz w:val="32"/>
          <w:szCs w:val="32"/>
          <w:lang w:val="en-US" w:eastAsia="zh-CN"/>
        </w:rPr>
        <w:t>4</w:t>
      </w:r>
      <w:r>
        <w:rPr>
          <w:rFonts w:hint="eastAsia" w:ascii="仿宋" w:hAnsi="仿宋" w:eastAsia="仿宋" w:cs="仿宋"/>
          <w:sz w:val="32"/>
          <w:szCs w:val="32"/>
        </w:rPr>
        <w:t>年年初预算数</w:t>
      </w:r>
      <w:r>
        <w:rPr>
          <w:rFonts w:hint="eastAsia" w:ascii="仿宋" w:hAnsi="仿宋" w:eastAsia="仿宋" w:cs="仿宋"/>
          <w:sz w:val="32"/>
          <w:szCs w:val="32"/>
          <w:lang w:val="en-US" w:eastAsia="zh-CN"/>
        </w:rPr>
        <w:t>43.73</w:t>
      </w:r>
      <w:r>
        <w:rPr>
          <w:rFonts w:hint="eastAsia" w:ascii="仿宋" w:hAnsi="仿宋" w:eastAsia="仿宋" w:cs="仿宋"/>
          <w:sz w:val="32"/>
          <w:szCs w:val="32"/>
        </w:rPr>
        <w:t>万元，其中：</w:t>
      </w:r>
      <w:r>
        <w:rPr>
          <w:rFonts w:hint="eastAsia" w:ascii="仿宋" w:hAnsi="仿宋" w:eastAsia="仿宋" w:cs="仿宋"/>
          <w:sz w:val="32"/>
          <w:szCs w:val="32"/>
          <w:lang w:eastAsia="zh-CN"/>
        </w:rPr>
        <w:t>文化旅游体育与传媒支出</w:t>
      </w:r>
      <w:r>
        <w:rPr>
          <w:rFonts w:hint="eastAsia" w:ascii="仿宋" w:hAnsi="仿宋" w:eastAsia="仿宋" w:cs="仿宋"/>
          <w:sz w:val="32"/>
          <w:szCs w:val="32"/>
          <w:lang w:val="en-US" w:eastAsia="zh-CN"/>
        </w:rPr>
        <w:t>35.81万元，</w:t>
      </w:r>
      <w:r>
        <w:rPr>
          <w:rFonts w:hint="eastAsia" w:ascii="仿宋" w:hAnsi="仿宋" w:eastAsia="仿宋" w:cs="仿宋"/>
          <w:sz w:val="32"/>
          <w:szCs w:val="32"/>
        </w:rPr>
        <w:t>社会保障和就业支出预算</w:t>
      </w:r>
      <w:r>
        <w:rPr>
          <w:rFonts w:hint="eastAsia" w:ascii="仿宋" w:hAnsi="仿宋" w:eastAsia="仿宋" w:cs="仿宋"/>
          <w:sz w:val="32"/>
          <w:szCs w:val="32"/>
          <w:lang w:val="en-US" w:eastAsia="zh-CN"/>
        </w:rPr>
        <w:t>3.80</w:t>
      </w:r>
      <w:r>
        <w:rPr>
          <w:rFonts w:hint="eastAsia" w:ascii="仿宋" w:hAnsi="仿宋" w:eastAsia="仿宋" w:cs="仿宋"/>
          <w:sz w:val="32"/>
          <w:szCs w:val="32"/>
        </w:rPr>
        <w:t>万元，卫生健康支出预算</w:t>
      </w:r>
      <w:r>
        <w:rPr>
          <w:rFonts w:hint="eastAsia" w:ascii="仿宋" w:hAnsi="仿宋" w:eastAsia="仿宋" w:cs="仿宋"/>
          <w:sz w:val="32"/>
          <w:szCs w:val="32"/>
          <w:lang w:val="en-US" w:eastAsia="zh-CN"/>
        </w:rPr>
        <w:t>2.22</w:t>
      </w:r>
      <w:r>
        <w:rPr>
          <w:rFonts w:hint="eastAsia" w:ascii="仿宋" w:hAnsi="仿宋" w:eastAsia="仿宋" w:cs="仿宋"/>
          <w:sz w:val="32"/>
          <w:szCs w:val="32"/>
        </w:rPr>
        <w:t>万元，住房保障支出预算</w:t>
      </w:r>
      <w:r>
        <w:rPr>
          <w:rFonts w:hint="eastAsia" w:ascii="仿宋" w:hAnsi="仿宋" w:eastAsia="仿宋" w:cs="仿宋"/>
          <w:sz w:val="32"/>
          <w:szCs w:val="32"/>
          <w:lang w:val="en-US" w:eastAsia="zh-CN"/>
        </w:rPr>
        <w:t>1.90</w:t>
      </w:r>
      <w:r>
        <w:rPr>
          <w:rFonts w:hint="eastAsia" w:ascii="仿宋" w:hAnsi="仿宋" w:eastAsia="仿宋" w:cs="仿宋"/>
          <w:sz w:val="32"/>
          <w:szCs w:val="32"/>
        </w:rPr>
        <w:t>万元。支出预算</w:t>
      </w:r>
      <w:r>
        <w:rPr>
          <w:rFonts w:eastAsia="方正仿宋_GBK"/>
          <w:color w:val="000000" w:themeColor="text1"/>
          <w:sz w:val="32"/>
          <w:szCs w:val="32"/>
          <w14:textFill>
            <w14:solidFill>
              <w14:schemeClr w14:val="tx1"/>
            </w14:solidFill>
          </w14:textFill>
        </w:rPr>
        <w:t>较去年</w:t>
      </w:r>
      <w:r>
        <w:rPr>
          <w:rFonts w:hint="eastAsia" w:eastAsia="方正仿宋_GBK"/>
          <w:color w:val="000000" w:themeColor="text1"/>
          <w:sz w:val="32"/>
          <w:szCs w:val="32"/>
          <w:lang w:eastAsia="zh-CN"/>
          <w14:textFill>
            <w14:solidFill>
              <w14:schemeClr w14:val="tx1"/>
            </w14:solidFill>
          </w14:textFill>
        </w:rPr>
        <w:t>增加</w:t>
      </w:r>
      <w:r>
        <w:rPr>
          <w:rFonts w:hint="eastAsia" w:eastAsia="方正仿宋_GBK"/>
          <w:color w:val="000000" w:themeColor="text1"/>
          <w:sz w:val="32"/>
          <w:szCs w:val="32"/>
          <w:lang w:val="en-US" w:eastAsia="zh-CN"/>
          <w14:textFill>
            <w14:solidFill>
              <w14:schemeClr w14:val="tx1"/>
            </w14:solidFill>
          </w14:textFill>
        </w:rPr>
        <w:t>0.75</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0.75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0.39万元）</w:t>
      </w:r>
      <w:r>
        <w:rPr>
          <w:rFonts w:hint="eastAsia" w:ascii="仿宋" w:hAnsi="仿宋" w:eastAsia="仿宋" w:cs="仿宋"/>
          <w:sz w:val="32"/>
          <w:szCs w:val="32"/>
        </w:rPr>
        <w:t>。</w:t>
      </w:r>
    </w:p>
    <w:p>
      <w:pPr>
        <w:ind w:firstLine="640" w:firstLineChars="200"/>
        <w:rPr>
          <w:rFonts w:ascii="黑体" w:hAnsi="黑体" w:eastAsia="黑体" w:cs="黑体"/>
          <w:sz w:val="32"/>
          <w:szCs w:val="32"/>
        </w:rPr>
      </w:pPr>
      <w:r>
        <w:rPr>
          <w:rFonts w:hint="eastAsia" w:ascii="黑体" w:hAnsi="黑体" w:eastAsia="黑体" w:cs="黑体"/>
          <w:sz w:val="32"/>
          <w:szCs w:val="32"/>
        </w:rPr>
        <w:t>三、部门预算情况说明</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年一般公共预算财政拨款收入</w:t>
      </w:r>
      <w:r>
        <w:rPr>
          <w:rFonts w:hint="eastAsia" w:ascii="仿宋" w:hAnsi="仿宋" w:eastAsia="仿宋" w:cs="仿宋"/>
          <w:sz w:val="32"/>
          <w:szCs w:val="32"/>
          <w:lang w:val="en-US" w:eastAsia="zh-CN"/>
        </w:rPr>
        <w:t>43.73</w:t>
      </w:r>
      <w:r>
        <w:rPr>
          <w:rFonts w:hint="eastAsia" w:ascii="仿宋" w:hAnsi="仿宋" w:eastAsia="仿宋" w:cs="仿宋"/>
          <w:sz w:val="32"/>
          <w:szCs w:val="32"/>
        </w:rPr>
        <w:t>万元，一般公共预算财政拨款支出</w:t>
      </w:r>
      <w:r>
        <w:rPr>
          <w:rFonts w:hint="eastAsia" w:ascii="仿宋" w:hAnsi="仿宋" w:eastAsia="仿宋" w:cs="仿宋"/>
          <w:sz w:val="32"/>
          <w:szCs w:val="32"/>
          <w:lang w:val="en-US" w:eastAsia="zh-CN"/>
        </w:rPr>
        <w:t>43.73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w:t>
      </w:r>
      <w:r>
        <w:rPr>
          <w:rFonts w:hint="eastAsia" w:ascii="仿宋" w:hAnsi="仿宋" w:eastAsia="仿宋" w:cs="仿宋"/>
          <w:sz w:val="32"/>
          <w:szCs w:val="32"/>
        </w:rPr>
        <w:t>了</w:t>
      </w:r>
      <w:r>
        <w:rPr>
          <w:rFonts w:hint="eastAsia" w:ascii="仿宋" w:hAnsi="仿宋" w:eastAsia="仿宋" w:cs="仿宋"/>
          <w:sz w:val="32"/>
          <w:szCs w:val="32"/>
          <w:lang w:val="en-US" w:eastAsia="zh-CN"/>
        </w:rPr>
        <w:t>0.75</w:t>
      </w:r>
      <w:r>
        <w:rPr>
          <w:rFonts w:hint="eastAsia" w:ascii="仿宋" w:hAnsi="仿宋" w:eastAsia="仿宋" w:cs="仿宋"/>
          <w:sz w:val="32"/>
          <w:szCs w:val="32"/>
        </w:rPr>
        <w:t>万元。其中：基本支出</w:t>
      </w:r>
      <w:r>
        <w:rPr>
          <w:rFonts w:hint="eastAsia" w:ascii="仿宋" w:hAnsi="仿宋" w:eastAsia="仿宋" w:cs="仿宋"/>
          <w:sz w:val="32"/>
          <w:szCs w:val="32"/>
          <w:lang w:val="en-US" w:eastAsia="zh-CN"/>
        </w:rPr>
        <w:t>43.73</w:t>
      </w:r>
      <w:r>
        <w:rPr>
          <w:rFonts w:hint="eastAsia" w:ascii="仿宋" w:hAnsi="仿宋" w:eastAsia="仿宋" w:cs="仿宋"/>
          <w:sz w:val="32"/>
          <w:szCs w:val="32"/>
        </w:rPr>
        <w:t>万元，比202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eastAsia="zh-CN"/>
        </w:rPr>
        <w:t>增加了</w:t>
      </w:r>
      <w:r>
        <w:rPr>
          <w:rFonts w:hint="eastAsia" w:ascii="仿宋" w:hAnsi="仿宋" w:eastAsia="仿宋" w:cs="仿宋"/>
          <w:sz w:val="32"/>
          <w:szCs w:val="32"/>
          <w:lang w:val="en-US" w:eastAsia="zh-CN"/>
        </w:rPr>
        <w:t>0.75</w:t>
      </w:r>
      <w:r>
        <w:rPr>
          <w:rFonts w:hint="eastAsia" w:ascii="仿宋" w:hAnsi="仿宋" w:eastAsia="仿宋" w:cs="仿宋"/>
          <w:sz w:val="32"/>
          <w:szCs w:val="32"/>
        </w:rPr>
        <w:t>万元，</w:t>
      </w:r>
      <w:r>
        <w:rPr>
          <w:rFonts w:eastAsia="方正仿宋_GBK"/>
          <w:color w:val="000000" w:themeColor="text1"/>
          <w:sz w:val="32"/>
          <w:szCs w:val="32"/>
          <w14:textFill>
            <w14:solidFill>
              <w14:schemeClr w14:val="tx1"/>
            </w14:solidFill>
          </w14:textFill>
        </w:rPr>
        <w:t>主要是</w:t>
      </w:r>
      <w:r>
        <w:rPr>
          <w:rFonts w:hint="eastAsia" w:eastAsia="方正仿宋_GBK"/>
          <w:color w:val="000000" w:themeColor="text1"/>
          <w:sz w:val="32"/>
          <w:szCs w:val="32"/>
          <w:lang w:val="en-US" w:eastAsia="zh-CN"/>
          <w14:textFill>
            <w14:solidFill>
              <w14:schemeClr w14:val="tx1"/>
            </w14:solidFill>
          </w14:textFill>
        </w:rPr>
        <w:t>2024年年初</w:t>
      </w:r>
      <w:r>
        <w:rPr>
          <w:rFonts w:hint="eastAsia" w:eastAsia="方正仿宋_GBK"/>
          <w:color w:val="000000" w:themeColor="text1"/>
          <w:sz w:val="32"/>
          <w:szCs w:val="32"/>
          <w:lang w:eastAsia="zh-CN"/>
          <w14:textFill>
            <w14:solidFill>
              <w14:schemeClr w14:val="tx1"/>
            </w14:solidFill>
          </w14:textFill>
        </w:rPr>
        <w:t>结转</w:t>
      </w:r>
      <w:r>
        <w:rPr>
          <w:rFonts w:hint="eastAsia" w:eastAsia="方正仿宋_GBK"/>
          <w:color w:val="000000" w:themeColor="text1"/>
          <w:sz w:val="32"/>
          <w:szCs w:val="32"/>
          <w:lang w:val="en-US" w:eastAsia="zh-CN"/>
          <w14:textFill>
            <w14:solidFill>
              <w14:schemeClr w14:val="tx1"/>
            </w14:solidFill>
          </w14:textFill>
        </w:rPr>
        <w:t>2023年度公用经费及</w:t>
      </w:r>
      <w:r>
        <w:rPr>
          <w:rFonts w:hint="eastAsia" w:eastAsia="方正仿宋_GBK"/>
          <w:sz w:val="32"/>
          <w:szCs w:val="32"/>
          <w:lang w:eastAsia="zh-CN"/>
        </w:rPr>
        <w:t>干部职工调级调薪导致基本支出增加</w:t>
      </w:r>
      <w:r>
        <w:rPr>
          <w:rFonts w:hint="eastAsia" w:eastAsia="方正仿宋_GBK"/>
          <w:sz w:val="32"/>
          <w:szCs w:val="32"/>
          <w:lang w:val="en-US" w:eastAsia="zh-CN"/>
        </w:rPr>
        <w:t>0.75</w:t>
      </w:r>
      <w:r>
        <w:rPr>
          <w:rFonts w:hint="eastAsia" w:eastAsia="方正仿宋_GBK"/>
          <w:sz w:val="32"/>
          <w:szCs w:val="32"/>
          <w:lang w:eastAsia="zh-CN"/>
        </w:rPr>
        <w:t>万元（含结转</w:t>
      </w:r>
      <w:r>
        <w:rPr>
          <w:rFonts w:hint="eastAsia" w:eastAsia="方正仿宋_GBK"/>
          <w:sz w:val="32"/>
          <w:szCs w:val="32"/>
          <w:lang w:val="en-US" w:eastAsia="zh-CN"/>
        </w:rPr>
        <w:t>2023年</w:t>
      </w:r>
      <w:r>
        <w:rPr>
          <w:rFonts w:hint="eastAsia" w:eastAsia="方正仿宋_GBK"/>
          <w:sz w:val="32"/>
          <w:szCs w:val="32"/>
          <w:lang w:eastAsia="zh-CN"/>
        </w:rPr>
        <w:t>公用经费</w:t>
      </w:r>
      <w:r>
        <w:rPr>
          <w:rFonts w:hint="eastAsia" w:eastAsia="方正仿宋_GBK"/>
          <w:sz w:val="32"/>
          <w:szCs w:val="32"/>
          <w:lang w:val="en-US" w:eastAsia="zh-CN"/>
        </w:rPr>
        <w:t>0.39万元）</w:t>
      </w:r>
      <w:r>
        <w:rPr>
          <w:rFonts w:eastAsia="方正仿宋_GBK"/>
          <w:sz w:val="32"/>
          <w:szCs w:val="32"/>
        </w:rPr>
        <w:t>；项目支出</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与</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eastAsia="zh-CN"/>
        </w:rPr>
        <w:t>持平</w:t>
      </w:r>
      <w:r>
        <w:rPr>
          <w:rFonts w:hint="eastAsia" w:ascii="仿宋" w:hAnsi="仿宋" w:eastAsia="仿宋" w:cs="仿宋"/>
          <w:sz w:val="32"/>
          <w:szCs w:val="32"/>
        </w:rPr>
        <w:t>。</w:t>
      </w:r>
    </w:p>
    <w:p>
      <w:pPr>
        <w:pStyle w:val="2"/>
        <w:ind w:firstLine="640" w:firstLineChars="200"/>
      </w:pP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4</w:t>
      </w:r>
      <w:r>
        <w:rPr>
          <w:rFonts w:eastAsia="方正仿宋_GBK"/>
          <w:color w:val="000000" w:themeColor="text1"/>
          <w:sz w:val="32"/>
          <w:szCs w:val="32"/>
          <w14:textFill>
            <w14:solidFill>
              <w14:schemeClr w14:val="tx1"/>
            </w14:solidFill>
          </w14:textFill>
        </w:rPr>
        <w:t>年政府性基金预算收入</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万元，政府性基金预算支出</w:t>
      </w:r>
      <w:r>
        <w:rPr>
          <w:rFonts w:hint="eastAsia" w:eastAsia="方正仿宋_GBK"/>
          <w:color w:val="000000" w:themeColor="text1"/>
          <w:sz w:val="32"/>
          <w:szCs w:val="32"/>
          <w:lang w:val="en-US" w:eastAsia="zh-CN"/>
          <w14:textFill>
            <w14:solidFill>
              <w14:schemeClr w14:val="tx1"/>
            </w14:solidFill>
          </w14:textFill>
        </w:rPr>
        <w:t>0</w:t>
      </w:r>
      <w:r>
        <w:rPr>
          <w:rFonts w:eastAsia="方正仿宋_GBK"/>
          <w:color w:val="000000" w:themeColor="text1"/>
          <w:sz w:val="32"/>
          <w:szCs w:val="32"/>
          <w14:textFill>
            <w14:solidFill>
              <w14:schemeClr w14:val="tx1"/>
            </w14:solidFill>
          </w14:textFill>
        </w:rPr>
        <w:t>万元，</w:t>
      </w:r>
      <w:r>
        <w:rPr>
          <w:rFonts w:hint="eastAsia" w:eastAsia="方正仿宋_GBK"/>
          <w:color w:val="000000" w:themeColor="text1"/>
          <w:sz w:val="32"/>
          <w:szCs w:val="32"/>
          <w:lang w:eastAsia="zh-CN"/>
          <w14:textFill>
            <w14:solidFill>
              <w14:schemeClr w14:val="tx1"/>
            </w14:solidFill>
          </w14:textFill>
        </w:rPr>
        <w:t>与</w:t>
      </w:r>
      <w:r>
        <w:rPr>
          <w:rFonts w:eastAsia="方正仿宋_GBK"/>
          <w:color w:val="000000" w:themeColor="text1"/>
          <w:sz w:val="32"/>
          <w:szCs w:val="32"/>
          <w14:textFill>
            <w14:solidFill>
              <w14:schemeClr w14:val="tx1"/>
            </w14:solidFill>
          </w14:textFill>
        </w:rPr>
        <w:t>202</w:t>
      </w:r>
      <w:r>
        <w:rPr>
          <w:rFonts w:hint="eastAsia" w:eastAsia="方正仿宋_GBK"/>
          <w:color w:val="000000" w:themeColor="text1"/>
          <w:sz w:val="32"/>
          <w:szCs w:val="32"/>
          <w:lang w:val="en-US" w:eastAsia="zh-CN"/>
          <w14:textFill>
            <w14:solidFill>
              <w14:schemeClr w14:val="tx1"/>
            </w14:solidFill>
          </w14:textFill>
        </w:rPr>
        <w:t>3</w:t>
      </w:r>
      <w:r>
        <w:rPr>
          <w:rFonts w:eastAsia="方正仿宋_GBK"/>
          <w:color w:val="000000" w:themeColor="text1"/>
          <w:sz w:val="32"/>
          <w:szCs w:val="32"/>
          <w14:textFill>
            <w14:solidFill>
              <w14:schemeClr w14:val="tx1"/>
            </w14:solidFill>
          </w14:textFill>
        </w:rPr>
        <w:t>年</w:t>
      </w:r>
      <w:r>
        <w:rPr>
          <w:rFonts w:hint="eastAsia" w:eastAsia="方正仿宋_GBK"/>
          <w:color w:val="000000" w:themeColor="text1"/>
          <w:sz w:val="32"/>
          <w:szCs w:val="32"/>
          <w:lang w:eastAsia="zh-CN"/>
          <w14:textFill>
            <w14:solidFill>
              <w14:schemeClr w14:val="tx1"/>
            </w14:solidFill>
          </w14:textFill>
        </w:rPr>
        <w:t>持平</w:t>
      </w:r>
      <w:r>
        <w:rPr>
          <w:rFonts w:eastAsia="方正仿宋_GBK"/>
          <w:color w:val="000000" w:themeColor="text1"/>
          <w:sz w:val="32"/>
          <w:szCs w:val="32"/>
          <w14:textFill>
            <w14:solidFill>
              <w14:schemeClr w14:val="tx1"/>
            </w14:solidFill>
          </w14:textFill>
        </w:rPr>
        <w:t>。</w:t>
      </w:r>
    </w:p>
    <w:p>
      <w:pPr>
        <w:ind w:firstLine="640" w:firstLineChars="200"/>
        <w:rPr>
          <w:rFonts w:ascii="黑体" w:hAnsi="黑体" w:eastAsia="黑体" w:cs="黑体"/>
          <w:sz w:val="32"/>
          <w:szCs w:val="32"/>
        </w:rPr>
      </w:pPr>
      <w:r>
        <w:rPr>
          <w:rFonts w:hint="eastAsia" w:ascii="黑体" w:hAnsi="黑体" w:eastAsia="黑体" w:cs="黑体"/>
          <w:sz w:val="32"/>
          <w:szCs w:val="32"/>
        </w:rPr>
        <w:t>四、“三公”经费情况说明</w:t>
      </w:r>
    </w:p>
    <w:p>
      <w:pPr>
        <w:spacing w:line="600" w:lineRule="exact"/>
        <w:ind w:firstLine="684" w:firstLineChars="214"/>
        <w:rPr>
          <w:rFonts w:eastAsia="方正仿宋_GBK"/>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年“三公”经费预算</w:t>
      </w:r>
      <w:r>
        <w:rPr>
          <w:rFonts w:hint="eastAsia" w:ascii="仿宋" w:hAnsi="仿宋" w:eastAsia="仿宋" w:cs="仿宋"/>
          <w:sz w:val="32"/>
          <w:szCs w:val="32"/>
          <w:lang w:val="en-US" w:eastAsia="zh-CN"/>
        </w:rPr>
        <w:t>0</w:t>
      </w:r>
      <w:r>
        <w:rPr>
          <w:rFonts w:hint="eastAsia" w:ascii="仿宋" w:hAnsi="仿宋" w:eastAsia="仿宋" w:cs="仿宋"/>
          <w:sz w:val="32"/>
          <w:szCs w:val="32"/>
        </w:rPr>
        <w:t>万元，较202</w:t>
      </w:r>
      <w:r>
        <w:rPr>
          <w:rFonts w:hint="eastAsia" w:ascii="仿宋" w:hAnsi="仿宋" w:eastAsia="仿宋" w:cs="仿宋"/>
          <w:sz w:val="32"/>
          <w:szCs w:val="32"/>
          <w:lang w:val="en-US" w:eastAsia="zh-CN"/>
        </w:rPr>
        <w:t>3</w:t>
      </w:r>
      <w:r>
        <w:rPr>
          <w:rFonts w:hint="eastAsia" w:ascii="仿宋" w:hAnsi="仿宋" w:eastAsia="仿宋" w:cs="仿宋"/>
          <w:sz w:val="32"/>
          <w:szCs w:val="32"/>
        </w:rPr>
        <w:t>年下降了</w:t>
      </w:r>
      <w:r>
        <w:rPr>
          <w:rFonts w:hint="eastAsia" w:ascii="仿宋" w:hAnsi="仿宋" w:eastAsia="仿宋" w:cs="仿宋"/>
          <w:sz w:val="32"/>
          <w:szCs w:val="32"/>
          <w:lang w:val="en-US" w:eastAsia="zh-CN"/>
        </w:rPr>
        <w:t>0</w:t>
      </w:r>
      <w:r>
        <w:rPr>
          <w:rFonts w:hint="eastAsia" w:ascii="仿宋" w:hAnsi="仿宋" w:eastAsia="仿宋" w:cs="仿宋"/>
          <w:sz w:val="32"/>
          <w:szCs w:val="32"/>
        </w:rPr>
        <w:t>万元。其中：</w:t>
      </w:r>
      <w:r>
        <w:rPr>
          <w:rFonts w:eastAsia="方正仿宋_GBK"/>
          <w:sz w:val="32"/>
          <w:szCs w:val="32"/>
        </w:rPr>
        <w:t>其中：因公出国（境）费用0万元，与202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公务接待费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rPr>
        <w:t>；公务用车运行维护费</w:t>
      </w:r>
      <w:r>
        <w:rPr>
          <w:rFonts w:hint="eastAsia" w:ascii="仿宋" w:hAnsi="仿宋" w:eastAsia="仿宋" w:cs="仿宋"/>
          <w:sz w:val="32"/>
          <w:szCs w:val="32"/>
          <w:lang w:val="en-US" w:eastAsia="zh-CN"/>
        </w:rPr>
        <w:t>0</w:t>
      </w:r>
      <w:r>
        <w:rPr>
          <w:rFonts w:hint="eastAsia" w:ascii="仿宋" w:hAnsi="仿宋" w:eastAsia="仿宋" w:cs="仿宋"/>
          <w:sz w:val="32"/>
          <w:szCs w:val="32"/>
        </w:rPr>
        <w:t>万元，</w:t>
      </w:r>
      <w:r>
        <w:rPr>
          <w:rFonts w:eastAsia="方正仿宋_GBK"/>
          <w:sz w:val="32"/>
          <w:szCs w:val="32"/>
        </w:rPr>
        <w:t>与202</w:t>
      </w:r>
      <w:r>
        <w:rPr>
          <w:rFonts w:hint="eastAsia" w:eastAsia="方正仿宋_GBK"/>
          <w:sz w:val="32"/>
          <w:szCs w:val="32"/>
          <w:lang w:val="en-US" w:eastAsia="zh-CN"/>
        </w:rPr>
        <w:t>3</w:t>
      </w:r>
      <w:r>
        <w:rPr>
          <w:rFonts w:eastAsia="方正仿宋_GBK"/>
          <w:sz w:val="32"/>
          <w:szCs w:val="32"/>
        </w:rPr>
        <w:t>年持平</w:t>
      </w:r>
      <w:r>
        <w:rPr>
          <w:rFonts w:hint="eastAsia" w:ascii="仿宋" w:hAnsi="仿宋" w:eastAsia="仿宋" w:cs="仿宋"/>
          <w:sz w:val="32"/>
          <w:szCs w:val="32"/>
          <w:lang w:eastAsia="zh-CN"/>
        </w:rPr>
        <w:t>；</w:t>
      </w:r>
      <w:r>
        <w:rPr>
          <w:rFonts w:eastAsia="方正仿宋_GBK"/>
          <w:sz w:val="32"/>
          <w:szCs w:val="32"/>
        </w:rPr>
        <w:t>公务用车购置费0万元，与202</w:t>
      </w:r>
      <w:r>
        <w:rPr>
          <w:rFonts w:hint="eastAsia" w:eastAsia="方正仿宋_GBK"/>
          <w:sz w:val="32"/>
          <w:szCs w:val="32"/>
          <w:lang w:val="en-US" w:eastAsia="zh-CN"/>
        </w:rPr>
        <w:t>3</w:t>
      </w:r>
      <w:r>
        <w:rPr>
          <w:rFonts w:eastAsia="方正仿宋_GBK"/>
          <w:sz w:val="32"/>
          <w:szCs w:val="32"/>
        </w:rPr>
        <w:t>年持平。</w:t>
      </w:r>
      <w:r>
        <w:rPr>
          <w:rFonts w:hint="eastAsia" w:eastAsia="方正仿宋_GBK"/>
          <w:sz w:val="32"/>
          <w:szCs w:val="32"/>
          <w:lang w:eastAsia="zh-CN"/>
        </w:rPr>
        <w:t>本部门</w:t>
      </w:r>
      <w:r>
        <w:rPr>
          <w:rFonts w:hint="eastAsia" w:eastAsia="方正仿宋_GBK"/>
          <w:sz w:val="32"/>
          <w:szCs w:val="32"/>
          <w:lang w:val="en-US" w:eastAsia="zh-CN"/>
        </w:rPr>
        <w:t>2024年无“三公”经费预算支出。</w:t>
      </w:r>
    </w:p>
    <w:p>
      <w:pPr>
        <w:ind w:firstLine="640" w:firstLineChars="200"/>
        <w:rPr>
          <w:rFonts w:ascii="黑体" w:hAnsi="黑体" w:eastAsia="黑体" w:cs="黑体"/>
          <w:sz w:val="32"/>
          <w:szCs w:val="32"/>
        </w:rPr>
      </w:pPr>
      <w:r>
        <w:rPr>
          <w:rFonts w:hint="eastAsia" w:ascii="黑体" w:hAnsi="黑体" w:eastAsia="黑体" w:cs="黑体"/>
          <w:sz w:val="32"/>
          <w:szCs w:val="32"/>
        </w:rPr>
        <w:t>五、其他重要事项的情况说明</w:t>
      </w:r>
    </w:p>
    <w:p>
      <w:pPr>
        <w:ind w:firstLine="640" w:firstLineChars="200"/>
        <w:rPr>
          <w:rFonts w:ascii="仿宋" w:hAnsi="仿宋" w:eastAsia="仿宋" w:cs="仿宋"/>
          <w:sz w:val="32"/>
          <w:szCs w:val="32"/>
        </w:rPr>
      </w:pPr>
      <w:r>
        <w:rPr>
          <w:rFonts w:hint="eastAsia" w:ascii="仿宋" w:hAnsi="仿宋" w:eastAsia="仿宋" w:cs="仿宋"/>
          <w:sz w:val="32"/>
          <w:szCs w:val="32"/>
        </w:rPr>
        <w:t>1．机关运行经费。202</w:t>
      </w:r>
      <w:r>
        <w:rPr>
          <w:rFonts w:hint="eastAsia" w:ascii="仿宋" w:hAnsi="仿宋" w:eastAsia="仿宋" w:cs="仿宋"/>
          <w:sz w:val="32"/>
          <w:szCs w:val="32"/>
          <w:lang w:val="en-US" w:eastAsia="zh-CN"/>
        </w:rPr>
        <w:t>4</w:t>
      </w:r>
      <w:r>
        <w:rPr>
          <w:rFonts w:hint="eastAsia" w:ascii="仿宋" w:hAnsi="仿宋" w:eastAsia="仿宋" w:cs="仿宋"/>
          <w:sz w:val="32"/>
          <w:szCs w:val="32"/>
        </w:rPr>
        <w:t>年一般公共预算财政拨款运行经费</w:t>
      </w:r>
      <w:r>
        <w:rPr>
          <w:rFonts w:hint="eastAsia" w:ascii="仿宋" w:hAnsi="仿宋" w:eastAsia="仿宋" w:cs="仿宋"/>
          <w:sz w:val="32"/>
          <w:szCs w:val="32"/>
          <w:lang w:val="en-US" w:eastAsia="zh-CN"/>
        </w:rPr>
        <w:t>6</w:t>
      </w:r>
      <w:r>
        <w:rPr>
          <w:rFonts w:hint="eastAsia" w:ascii="仿宋" w:hAnsi="仿宋" w:eastAsia="仿宋" w:cs="仿宋"/>
          <w:sz w:val="32"/>
          <w:szCs w:val="32"/>
        </w:rPr>
        <w:t>万元，</w:t>
      </w:r>
      <w:r>
        <w:rPr>
          <w:rFonts w:eastAsia="方正仿宋_GBK"/>
          <w:sz w:val="32"/>
          <w:szCs w:val="32"/>
        </w:rPr>
        <w:t>比上年</w:t>
      </w:r>
      <w:r>
        <w:rPr>
          <w:rFonts w:hint="eastAsia" w:eastAsia="方正仿宋_GBK"/>
          <w:sz w:val="32"/>
          <w:szCs w:val="32"/>
          <w:lang w:eastAsia="zh-CN"/>
        </w:rPr>
        <w:t>增加</w:t>
      </w:r>
      <w:r>
        <w:rPr>
          <w:rFonts w:hint="eastAsia" w:eastAsia="方正仿宋_GBK"/>
          <w:sz w:val="32"/>
          <w:szCs w:val="32"/>
          <w:lang w:val="en-US" w:eastAsia="zh-CN"/>
        </w:rPr>
        <w:t>0</w:t>
      </w:r>
      <w:r>
        <w:rPr>
          <w:rFonts w:eastAsia="方正仿宋_GBK"/>
          <w:sz w:val="32"/>
          <w:szCs w:val="32"/>
        </w:rPr>
        <w:t>万元</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2．国有资产占有使用情况。202</w:t>
      </w:r>
      <w:r>
        <w:rPr>
          <w:rFonts w:hint="eastAsia" w:ascii="仿宋" w:hAnsi="仿宋" w:eastAsia="仿宋" w:cs="仿宋"/>
          <w:sz w:val="32"/>
          <w:szCs w:val="32"/>
          <w:lang w:val="en-US" w:eastAsia="zh-CN"/>
        </w:rPr>
        <w:t>4</w:t>
      </w:r>
      <w:r>
        <w:rPr>
          <w:rFonts w:hint="eastAsia" w:ascii="仿宋" w:hAnsi="仿宋" w:eastAsia="仿宋" w:cs="仿宋"/>
          <w:sz w:val="32"/>
          <w:szCs w:val="32"/>
        </w:rPr>
        <w:t>年预算单位共有车辆</w:t>
      </w:r>
      <w:r>
        <w:rPr>
          <w:rFonts w:hint="eastAsia" w:ascii="仿宋" w:hAnsi="仿宋" w:eastAsia="仿宋" w:cs="仿宋"/>
          <w:sz w:val="32"/>
          <w:szCs w:val="32"/>
          <w:lang w:val="en-US" w:eastAsia="zh-CN"/>
        </w:rPr>
        <w:t>0</w:t>
      </w:r>
      <w:r>
        <w:rPr>
          <w:rFonts w:hint="eastAsia" w:ascii="仿宋" w:hAnsi="仿宋" w:eastAsia="仿宋" w:cs="仿宋"/>
          <w:sz w:val="32"/>
          <w:szCs w:val="32"/>
        </w:rPr>
        <w:t>辆，其中一般公务用车</w:t>
      </w:r>
      <w:r>
        <w:rPr>
          <w:rFonts w:hint="eastAsia" w:ascii="仿宋" w:hAnsi="仿宋" w:eastAsia="仿宋" w:cs="仿宋"/>
          <w:sz w:val="32"/>
          <w:szCs w:val="32"/>
          <w:lang w:val="en-US" w:eastAsia="zh-CN"/>
        </w:rPr>
        <w:t>0</w:t>
      </w:r>
      <w:r>
        <w:rPr>
          <w:rFonts w:hint="eastAsia" w:ascii="仿宋" w:hAnsi="仿宋" w:eastAsia="仿宋" w:cs="仿宋"/>
          <w:sz w:val="32"/>
          <w:szCs w:val="32"/>
        </w:rPr>
        <w:t>辆、执勤执法用车</w:t>
      </w:r>
      <w:r>
        <w:rPr>
          <w:rFonts w:hint="eastAsia" w:ascii="仿宋" w:hAnsi="仿宋" w:eastAsia="仿宋" w:cs="仿宋"/>
          <w:sz w:val="32"/>
          <w:szCs w:val="32"/>
          <w:lang w:val="en-US" w:eastAsia="zh-CN"/>
        </w:rPr>
        <w:t>0</w:t>
      </w:r>
      <w:r>
        <w:rPr>
          <w:rFonts w:hint="eastAsia" w:ascii="仿宋" w:hAnsi="仿宋" w:eastAsia="仿宋" w:cs="仿宋"/>
          <w:sz w:val="32"/>
          <w:szCs w:val="32"/>
        </w:rPr>
        <w:t>辆。</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3．政府采购情况。</w:t>
      </w:r>
      <w:r>
        <w:rPr>
          <w:rFonts w:hint="eastAsia" w:ascii="仿宋" w:hAnsi="仿宋" w:eastAsia="仿宋" w:cs="仿宋"/>
          <w:sz w:val="32"/>
          <w:szCs w:val="32"/>
          <w:lang w:val="en-US" w:eastAsia="zh-CN"/>
        </w:rPr>
        <w:t>2024年</w:t>
      </w:r>
      <w:r>
        <w:rPr>
          <w:rFonts w:hint="eastAsia" w:ascii="仿宋" w:hAnsi="仿宋" w:eastAsia="仿宋" w:cs="仿宋"/>
          <w:sz w:val="32"/>
          <w:szCs w:val="32"/>
        </w:rPr>
        <w:t>预算单位政府采购预算总额0 万元：政府采购货物预算 0 万元、政府采购工程预算 0 万元、政府采购服务预算 0 万元；其中一般公共预算拨款政府采购 0 万元：政府采购货物预算0 万元、政府采购工程预算 0 万元、政府采购服务预算 0 万元。</w:t>
      </w:r>
    </w:p>
    <w:p>
      <w:pPr>
        <w:spacing w:line="600" w:lineRule="exact"/>
        <w:ind w:firstLine="684" w:firstLineChars="214"/>
        <w:rPr>
          <w:rFonts w:eastAsia="方正仿宋_GBK"/>
          <w:sz w:val="32"/>
          <w:szCs w:val="32"/>
        </w:rPr>
      </w:pPr>
      <w:r>
        <w:rPr>
          <w:rFonts w:hint="eastAsia" w:eastAsia="方正楷体_GBK"/>
          <w:sz w:val="32"/>
          <w:szCs w:val="32"/>
          <w:lang w:val="en-US" w:eastAsia="zh-CN"/>
        </w:rPr>
        <w:t>4</w:t>
      </w:r>
      <w:r>
        <w:rPr>
          <w:rFonts w:eastAsia="方正楷体_GBK"/>
          <w:sz w:val="32"/>
          <w:szCs w:val="32"/>
        </w:rPr>
        <w:t>、绩效目标设置情况</w:t>
      </w:r>
      <w:r>
        <w:rPr>
          <w:rFonts w:eastAsia="方正仿宋_GBK"/>
          <w:sz w:val="32"/>
          <w:szCs w:val="32"/>
        </w:rPr>
        <w:t>。202</w:t>
      </w:r>
      <w:r>
        <w:rPr>
          <w:rFonts w:hint="eastAsia" w:eastAsia="方正仿宋_GBK"/>
          <w:sz w:val="32"/>
          <w:szCs w:val="32"/>
          <w:lang w:val="en-US" w:eastAsia="zh-CN"/>
        </w:rPr>
        <w:t>4</w:t>
      </w:r>
      <w:r>
        <w:rPr>
          <w:rFonts w:eastAsia="方正仿宋_GBK"/>
          <w:sz w:val="32"/>
          <w:szCs w:val="32"/>
        </w:rPr>
        <w:t>年项目支出均实行了绩效目标管理，涉及一般公共预算当年财政拨款</w:t>
      </w:r>
      <w:r>
        <w:rPr>
          <w:rFonts w:hint="eastAsia" w:eastAsia="方正仿宋_GBK"/>
          <w:sz w:val="32"/>
          <w:szCs w:val="32"/>
          <w:lang w:val="en-US" w:eastAsia="zh-CN"/>
        </w:rPr>
        <w:t>43.73</w:t>
      </w:r>
      <w:r>
        <w:rPr>
          <w:rFonts w:eastAsia="方正仿宋_GBK"/>
          <w:sz w:val="32"/>
          <w:szCs w:val="32"/>
        </w:rPr>
        <w:t>万元,涉及政府性基金预算当年财政拨款</w:t>
      </w:r>
      <w:r>
        <w:rPr>
          <w:rFonts w:hint="eastAsia" w:eastAsia="方正仿宋_GBK"/>
          <w:sz w:val="32"/>
          <w:szCs w:val="32"/>
          <w:lang w:val="en-US" w:eastAsia="zh-CN"/>
        </w:rPr>
        <w:t>0</w:t>
      </w:r>
      <w:r>
        <w:rPr>
          <w:rFonts w:eastAsia="方正仿宋_GBK"/>
          <w:sz w:val="32"/>
          <w:szCs w:val="32"/>
        </w:rPr>
        <w:t>万元。</w:t>
      </w:r>
    </w:p>
    <w:p>
      <w:pPr>
        <w:pStyle w:val="2"/>
      </w:pPr>
    </w:p>
    <w:p>
      <w:pPr>
        <w:ind w:firstLine="640" w:firstLineChars="200"/>
        <w:rPr>
          <w:rFonts w:ascii="黑体" w:hAnsi="黑体" w:eastAsia="黑体" w:cs="黑体"/>
          <w:sz w:val="32"/>
          <w:szCs w:val="32"/>
        </w:rPr>
      </w:pPr>
      <w:r>
        <w:rPr>
          <w:rFonts w:hint="eastAsia" w:ascii="黑体" w:hAnsi="黑体" w:eastAsia="黑体" w:cs="黑体"/>
          <w:sz w:val="32"/>
          <w:szCs w:val="32"/>
        </w:rPr>
        <w:t>专业性名词解释</w:t>
      </w:r>
    </w:p>
    <w:p>
      <w:pPr>
        <w:ind w:firstLine="640" w:firstLineChars="200"/>
        <w:rPr>
          <w:rFonts w:ascii="仿宋" w:hAnsi="仿宋" w:eastAsia="仿宋" w:cs="仿宋"/>
          <w:sz w:val="32"/>
          <w:szCs w:val="32"/>
        </w:rPr>
      </w:pPr>
      <w:r>
        <w:rPr>
          <w:rFonts w:hint="eastAsia" w:ascii="仿宋" w:hAnsi="仿宋" w:eastAsia="仿宋" w:cs="仿宋"/>
          <w:sz w:val="32"/>
          <w:szCs w:val="32"/>
        </w:rPr>
        <w:t>（一）财政拨款收入：指本年度从本级财政部门取得的财政拨款，包括一般公共预算财政拨款和政府性基金预算财政拨款。</w:t>
      </w:r>
    </w:p>
    <w:p>
      <w:pPr>
        <w:ind w:firstLine="640" w:firstLineChars="200"/>
        <w:rPr>
          <w:rFonts w:ascii="仿宋" w:hAnsi="仿宋" w:eastAsia="仿宋" w:cs="仿宋"/>
          <w:sz w:val="32"/>
          <w:szCs w:val="32"/>
        </w:rPr>
      </w:pPr>
      <w:r>
        <w:rPr>
          <w:rFonts w:hint="eastAsia" w:ascii="仿宋" w:hAnsi="仿宋" w:eastAsia="仿宋" w:cs="仿宋"/>
          <w:sz w:val="32"/>
          <w:szCs w:val="32"/>
        </w:rPr>
        <w:t>（二）其他收入：指单位取得的除“财政拨款收入”、“事业收入”、“经营收入”等以外的收入。</w:t>
      </w:r>
    </w:p>
    <w:p>
      <w:pPr>
        <w:ind w:firstLine="640" w:firstLineChars="200"/>
        <w:rPr>
          <w:rFonts w:ascii="仿宋" w:hAnsi="仿宋" w:eastAsia="仿宋" w:cs="仿宋"/>
          <w:sz w:val="32"/>
          <w:szCs w:val="32"/>
        </w:rPr>
      </w:pPr>
      <w:r>
        <w:rPr>
          <w:rFonts w:hint="eastAsia" w:ascii="仿宋" w:hAnsi="仿宋" w:eastAsia="仿宋" w:cs="仿宋"/>
          <w:sz w:val="32"/>
          <w:szCs w:val="32"/>
        </w:rPr>
        <w:t>（三）基本支出：指为保障机构正常运转、完成日常工作任务而发生的人员经费和公用经费。</w:t>
      </w:r>
    </w:p>
    <w:p>
      <w:pPr>
        <w:ind w:firstLine="640" w:firstLineChars="200"/>
        <w:rPr>
          <w:rFonts w:ascii="仿宋" w:hAnsi="仿宋" w:eastAsia="仿宋" w:cs="仿宋"/>
          <w:sz w:val="32"/>
          <w:szCs w:val="32"/>
        </w:rPr>
      </w:pPr>
      <w:r>
        <w:rPr>
          <w:rFonts w:hint="eastAsia" w:ascii="仿宋" w:hAnsi="仿宋" w:eastAsia="仿宋" w:cs="仿宋"/>
          <w:sz w:val="32"/>
          <w:szCs w:val="32"/>
        </w:rPr>
        <w:t>（四）项目支出：指在基本支出之外为完成特定行政任务和事业发展目标所发生的支出。</w:t>
      </w:r>
    </w:p>
    <w:p>
      <w:pPr>
        <w:ind w:firstLine="640" w:firstLineChars="200"/>
        <w:rPr>
          <w:rFonts w:ascii="仿宋" w:hAnsi="仿宋" w:eastAsia="仿宋" w:cs="仿宋"/>
          <w:sz w:val="32"/>
          <w:szCs w:val="32"/>
        </w:rPr>
      </w:pPr>
      <w:r>
        <w:rPr>
          <w:rFonts w:hint="eastAsia" w:ascii="仿宋" w:hAnsi="仿宋" w:eastAsia="仿宋" w:cs="仿宋"/>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ind w:firstLine="640" w:firstLineChars="200"/>
        <w:rPr>
          <w:rFonts w:ascii="仿宋" w:hAnsi="仿宋" w:eastAsia="仿宋" w:cs="仿宋"/>
          <w:sz w:val="32"/>
          <w:szCs w:val="32"/>
        </w:rPr>
      </w:pPr>
    </w:p>
    <w:p>
      <w:pPr>
        <w:spacing w:line="560" w:lineRule="exact"/>
        <w:ind w:firstLine="321" w:firstLineChars="100"/>
        <w:rPr>
          <w:rFonts w:ascii="仿宋" w:hAnsi="仿宋" w:eastAsia="仿宋" w:cs="仿宋"/>
          <w:b/>
          <w:sz w:val="32"/>
          <w:szCs w:val="32"/>
        </w:rPr>
        <w:sectPr>
          <w:pgSz w:w="11906" w:h="16838"/>
          <w:pgMar w:top="1440" w:right="1417" w:bottom="1440" w:left="1417" w:header="851" w:footer="992" w:gutter="0"/>
          <w:cols w:space="0" w:num="1"/>
          <w:docGrid w:type="lines" w:linePitch="319" w:charSpace="0"/>
        </w:sectPr>
      </w:pPr>
      <w:r>
        <w:rPr>
          <w:rFonts w:hint="eastAsia" w:ascii="仿宋" w:hAnsi="仿宋" w:eastAsia="仿宋" w:cs="仿宋"/>
          <w:b/>
          <w:bCs/>
          <w:sz w:val="32"/>
          <w:szCs w:val="32"/>
        </w:rPr>
        <w:t>部门预算公开联系人：</w:t>
      </w:r>
      <w:r>
        <w:rPr>
          <w:rFonts w:hint="eastAsia" w:ascii="仿宋" w:hAnsi="仿宋" w:eastAsia="仿宋" w:cs="仿宋"/>
          <w:b/>
          <w:bCs/>
          <w:sz w:val="32"/>
          <w:szCs w:val="32"/>
          <w:lang w:eastAsia="zh-CN"/>
        </w:rPr>
        <w:t>冉合高</w:t>
      </w:r>
      <w:r>
        <w:rPr>
          <w:rFonts w:hint="eastAsia" w:ascii="仿宋" w:hAnsi="仿宋" w:eastAsia="仿宋" w:cs="仿宋"/>
          <w:b/>
          <w:bCs/>
          <w:sz w:val="32"/>
          <w:szCs w:val="32"/>
        </w:rPr>
        <w:t xml:space="preserve">         联系方式：44810001 </w:t>
      </w:r>
    </w:p>
    <w:p>
      <w:pPr>
        <w:pStyle w:val="2"/>
        <w:rPr>
          <w:rFonts w:hint="eastAsia"/>
        </w:rPr>
      </w:pPr>
    </w:p>
    <w:p>
      <w:pPr>
        <w:spacing w:line="560" w:lineRule="exact"/>
        <w:rPr>
          <w:rFonts w:ascii="仿宋" w:hAnsi="仿宋" w:eastAsia="仿宋" w:cs="仿宋"/>
          <w:sz w:val="32"/>
          <w:szCs w:val="32"/>
        </w:rPr>
      </w:pPr>
    </w:p>
    <w:p>
      <w:pPr>
        <w:pStyle w:val="2"/>
        <w:spacing w:line="600" w:lineRule="exact"/>
        <w:rPr>
          <w:rFonts w:eastAsia="方正黑体_GBK"/>
          <w:sz w:val="32"/>
          <w:szCs w:val="32"/>
        </w:rPr>
      </w:pPr>
      <w:r>
        <w:rPr>
          <w:rFonts w:eastAsia="方正黑体_GBK"/>
          <w:sz w:val="32"/>
          <w:szCs w:val="32"/>
        </w:rPr>
        <w:t>附件1</w:t>
      </w:r>
    </w:p>
    <w:tbl>
      <w:tblPr>
        <w:tblStyle w:val="3"/>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kern w:val="0"/>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pPr>
          </w:p>
        </w:tc>
        <w:tc>
          <w:tcPr>
            <w:tcW w:w="1383" w:type="dxa"/>
            <w:tcBorders>
              <w:top w:val="nil"/>
              <w:left w:val="nil"/>
              <w:bottom w:val="nil"/>
              <w:right w:val="nil"/>
            </w:tcBorders>
            <w:vAlign w:val="center"/>
          </w:tcPr>
          <w:p>
            <w:pPr>
              <w:spacing w:line="240" w:lineRule="exact"/>
            </w:pPr>
          </w:p>
        </w:tc>
        <w:tc>
          <w:tcPr>
            <w:tcW w:w="1383" w:type="dxa"/>
            <w:tcBorders>
              <w:top w:val="nil"/>
              <w:left w:val="nil"/>
              <w:bottom w:val="nil"/>
              <w:right w:val="nil"/>
            </w:tcBorders>
            <w:vAlign w:val="center"/>
          </w:tcPr>
          <w:p>
            <w:pPr>
              <w:spacing w:line="240" w:lineRule="exact"/>
            </w:pPr>
          </w:p>
        </w:tc>
        <w:tc>
          <w:tcPr>
            <w:tcW w:w="1381" w:type="dxa"/>
            <w:tcBorders>
              <w:top w:val="nil"/>
              <w:left w:val="nil"/>
              <w:bottom w:val="nil"/>
              <w:right w:val="nil"/>
            </w:tcBorders>
            <w:vAlign w:val="center"/>
          </w:tcPr>
          <w:p>
            <w:pPr>
              <w:spacing w:line="240" w:lineRule="exact"/>
            </w:pPr>
          </w:p>
        </w:tc>
        <w:tc>
          <w:tcPr>
            <w:tcW w:w="1393" w:type="dxa"/>
            <w:tcBorders>
              <w:top w:val="nil"/>
              <w:left w:val="nil"/>
              <w:bottom w:val="nil"/>
              <w:right w:val="nil"/>
            </w:tcBorders>
            <w:vAlign w:val="center"/>
          </w:tcPr>
          <w:p>
            <w:pPr>
              <w:widowControl/>
              <w:spacing w:line="240" w:lineRule="exact"/>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pPr>
            <w:r>
              <w:rPr>
                <w:kern w:val="0"/>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一般公共</w:t>
            </w:r>
          </w:p>
          <w:p>
            <w:pPr>
              <w:widowControl/>
              <w:spacing w:line="240" w:lineRule="exact"/>
              <w:jc w:val="center"/>
              <w:textAlignment w:val="center"/>
            </w:pPr>
            <w:r>
              <w:rPr>
                <w:kern w:val="0"/>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kern w:val="0"/>
              </w:rPr>
            </w:pPr>
            <w:r>
              <w:rPr>
                <w:kern w:val="0"/>
              </w:rPr>
              <w:t>国有资本</w:t>
            </w:r>
          </w:p>
          <w:p>
            <w:pPr>
              <w:widowControl/>
              <w:spacing w:line="240" w:lineRule="exact"/>
              <w:jc w:val="center"/>
              <w:textAlignment w:val="center"/>
            </w:pPr>
            <w:r>
              <w:rPr>
                <w:kern w:val="0"/>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pPr>
          </w:p>
        </w:tc>
        <w:tc>
          <w:tcPr>
            <w:tcW w:w="1417" w:type="dxa"/>
            <w:vMerge w:val="continue"/>
            <w:tcBorders>
              <w:top w:val="nil"/>
              <w:left w:val="nil"/>
              <w:bottom w:val="single" w:color="000000" w:sz="4" w:space="0"/>
              <w:right w:val="single" w:color="000000" w:sz="4" w:space="0"/>
            </w:tcBorders>
            <w:vAlign w:val="center"/>
          </w:tcPr>
          <w:p>
            <w:pPr>
              <w:widowControl/>
              <w:jc w:val="left"/>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lang w:val="en-US" w:eastAsia="zh-CN"/>
              </w:rPr>
            </w:pPr>
            <w:r>
              <w:rPr>
                <w:rFonts w:hint="eastAsia"/>
                <w:lang w:val="en-US" w:eastAsia="zh-CN"/>
              </w:rPr>
              <w:t>43.73</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1"/>
                <w:lang w:val="en-US" w:eastAsia="zh-CN" w:bidi="ar-SA"/>
              </w:rPr>
            </w:pPr>
            <w:r>
              <w:rPr>
                <w:rFonts w:hint="eastAsia"/>
                <w:lang w:val="en-US" w:eastAsia="zh-CN"/>
              </w:rPr>
              <w:t>43.73</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43.73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pPr>
            <w:r>
              <w:rPr>
                <w:kern w:val="0"/>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lang w:val="en-US" w:eastAsia="zh-CN"/>
              </w:rPr>
            </w:pPr>
            <w:r>
              <w:rPr>
                <w:rFonts w:hint="eastAsia"/>
                <w:lang w:val="en-US" w:eastAsia="zh-CN"/>
              </w:rPr>
              <w:t>35.81</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ascii="Times New Roman" w:hAnsi="Times New Roman" w:eastAsia="宋体" w:cs="Times New Roman"/>
                <w:kern w:val="2"/>
                <w:sz w:val="21"/>
                <w:szCs w:val="24"/>
                <w:lang w:val="en-US" w:eastAsia="zh-CN" w:bidi="ar-SA"/>
              </w:rPr>
            </w:pPr>
            <w:r>
              <w:rPr>
                <w:rFonts w:hint="eastAsia"/>
                <w:lang w:val="en-US" w:eastAsia="zh-CN"/>
              </w:rPr>
              <w:t>35.81</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3.80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lang w:val="en-US" w:eastAsia="zh-CN"/>
              </w:rPr>
              <w:t>3.80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2.22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1"/>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1.90</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1.90</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ascii="Times New Roman" w:hAnsi="Times New Roman" w:eastAsia="宋体" w:cs="Times New Roman"/>
                <w:kern w:val="2"/>
                <w:sz w:val="21"/>
                <w:szCs w:val="24"/>
                <w:lang w:val="en-US" w:eastAsia="zh-CN" w:bidi="ar-SA"/>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pPr>
            <w:r>
              <w:rPr>
                <w:kern w:val="0"/>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pPr>
          </w:p>
        </w:tc>
        <w:tc>
          <w:tcPr>
            <w:tcW w:w="1417" w:type="dxa"/>
            <w:tcBorders>
              <w:top w:val="single" w:color="000000" w:sz="4" w:space="0"/>
              <w:left w:val="nil"/>
              <w:bottom w:val="single" w:color="000000" w:sz="4" w:space="0"/>
              <w:right w:val="single" w:color="000000" w:sz="4" w:space="0"/>
            </w:tcBorders>
            <w:vAlign w:val="center"/>
          </w:tcPr>
          <w:p>
            <w:pPr>
              <w:spacing w:line="240" w:lineRule="exact"/>
            </w:pPr>
          </w:p>
        </w:tc>
        <w:tc>
          <w:tcPr>
            <w:tcW w:w="3994" w:type="dxa"/>
            <w:tcBorders>
              <w:top w:val="single" w:color="000000" w:sz="4" w:space="0"/>
              <w:left w:val="nil"/>
              <w:bottom w:val="single" w:color="000000" w:sz="4" w:space="0"/>
              <w:right w:val="single" w:color="000000" w:sz="4" w:space="0"/>
            </w:tcBorders>
            <w:vAlign w:val="center"/>
          </w:tcPr>
          <w:p>
            <w:pPr>
              <w:spacing w:line="240" w:lineRule="exact"/>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cente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pPr>
            <w:r>
              <w:rPr>
                <w:kern w:val="0"/>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pPr>
            <w:r>
              <w:rPr>
                <w:kern w:val="0"/>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r>
              <w:rPr>
                <w:rFonts w:hint="eastAsia"/>
                <w:lang w:val="en-US" w:eastAsia="zh-CN"/>
              </w:rPr>
              <w:t>43.73</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lang w:val="en-US" w:eastAsia="zh-CN"/>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附件2</w:t>
      </w:r>
    </w:p>
    <w:tbl>
      <w:tblPr>
        <w:tblStyle w:val="3"/>
        <w:tblW w:w="13970" w:type="dxa"/>
        <w:jc w:val="center"/>
        <w:tblLayout w:type="fixed"/>
        <w:tblCellMar>
          <w:top w:w="0" w:type="dxa"/>
          <w:left w:w="108" w:type="dxa"/>
          <w:bottom w:w="0" w:type="dxa"/>
          <w:right w:w="108" w:type="dxa"/>
        </w:tblCellMar>
      </w:tblPr>
      <w:tblGrid>
        <w:gridCol w:w="93"/>
        <w:gridCol w:w="1666"/>
        <w:gridCol w:w="434"/>
        <w:gridCol w:w="4885"/>
        <w:gridCol w:w="1488"/>
        <w:gridCol w:w="222"/>
        <w:gridCol w:w="1445"/>
        <w:gridCol w:w="85"/>
        <w:gridCol w:w="1579"/>
        <w:gridCol w:w="3"/>
        <w:gridCol w:w="1609"/>
        <w:gridCol w:w="461"/>
      </w:tblGrid>
      <w:tr>
        <w:tblPrEx>
          <w:tblCellMar>
            <w:top w:w="0" w:type="dxa"/>
            <w:left w:w="108" w:type="dxa"/>
            <w:bottom w:w="0" w:type="dxa"/>
            <w:right w:w="108" w:type="dxa"/>
          </w:tblCellMar>
        </w:tblPrEx>
        <w:trPr>
          <w:trHeight w:val="534" w:hRule="atLeast"/>
          <w:tblHeader/>
          <w:jc w:val="center"/>
        </w:trPr>
        <w:tc>
          <w:tcPr>
            <w:tcW w:w="13970" w:type="dxa"/>
            <w:gridSpan w:val="12"/>
            <w:tcBorders>
              <w:top w:val="nil"/>
              <w:left w:val="nil"/>
              <w:bottom w:val="nil"/>
              <w:right w:val="nil"/>
            </w:tcBorders>
            <w:vAlign w:val="center"/>
          </w:tcPr>
          <w:p>
            <w:pPr>
              <w:widowControl/>
              <w:spacing w:line="600" w:lineRule="exact"/>
              <w:jc w:val="center"/>
              <w:textAlignment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玉溪文化服务中心</w:t>
            </w:r>
          </w:p>
          <w:p>
            <w:pPr>
              <w:widowControl/>
              <w:spacing w:line="600" w:lineRule="exact"/>
              <w:jc w:val="center"/>
              <w:textAlignment w:val="center"/>
              <w:rPr>
                <w:rFonts w:eastAsia="方正小标宋_GBK"/>
                <w:kern w:val="0"/>
                <w:sz w:val="40"/>
                <w:szCs w:val="40"/>
              </w:rPr>
            </w:pPr>
            <w:r>
              <w:rPr>
                <w:rFonts w:eastAsia="方正小标宋_GBK"/>
                <w:kern w:val="0"/>
                <w:sz w:val="40"/>
                <w:szCs w:val="40"/>
              </w:rPr>
              <w:t>一般公共预算财政拨款支出预算表</w:t>
            </w:r>
          </w:p>
        </w:tc>
      </w:tr>
      <w:tr>
        <w:tblPrEx>
          <w:tblCellMar>
            <w:top w:w="0" w:type="dxa"/>
            <w:left w:w="108" w:type="dxa"/>
            <w:bottom w:w="0" w:type="dxa"/>
            <w:right w:w="108" w:type="dxa"/>
          </w:tblCellMar>
        </w:tblPrEx>
        <w:trPr>
          <w:trHeight w:val="323" w:hRule="atLeast"/>
          <w:tblHeader/>
          <w:jc w:val="center"/>
        </w:trPr>
        <w:tc>
          <w:tcPr>
            <w:tcW w:w="1759" w:type="dxa"/>
            <w:gridSpan w:val="2"/>
            <w:tcBorders>
              <w:top w:val="nil"/>
              <w:left w:val="nil"/>
              <w:bottom w:val="nil"/>
              <w:right w:val="nil"/>
            </w:tcBorders>
            <w:vAlign w:val="center"/>
          </w:tcPr>
          <w:p>
            <w:pPr>
              <w:spacing w:line="240" w:lineRule="exact"/>
            </w:pPr>
          </w:p>
        </w:tc>
        <w:tc>
          <w:tcPr>
            <w:tcW w:w="6807" w:type="dxa"/>
            <w:gridSpan w:val="3"/>
            <w:tcBorders>
              <w:top w:val="nil"/>
              <w:left w:val="nil"/>
              <w:bottom w:val="nil"/>
              <w:right w:val="nil"/>
            </w:tcBorders>
            <w:vAlign w:val="center"/>
          </w:tcPr>
          <w:p>
            <w:pPr>
              <w:spacing w:line="240" w:lineRule="exact"/>
              <w:jc w:val="center"/>
            </w:pPr>
          </w:p>
        </w:tc>
        <w:tc>
          <w:tcPr>
            <w:tcW w:w="1667" w:type="dxa"/>
            <w:gridSpan w:val="2"/>
            <w:tcBorders>
              <w:top w:val="nil"/>
              <w:left w:val="nil"/>
              <w:bottom w:val="nil"/>
              <w:right w:val="nil"/>
            </w:tcBorders>
            <w:vAlign w:val="center"/>
          </w:tcPr>
          <w:p>
            <w:pPr>
              <w:spacing w:line="240" w:lineRule="exact"/>
            </w:pPr>
          </w:p>
        </w:tc>
        <w:tc>
          <w:tcPr>
            <w:tcW w:w="1667" w:type="dxa"/>
            <w:gridSpan w:val="3"/>
            <w:tcBorders>
              <w:top w:val="nil"/>
              <w:left w:val="nil"/>
              <w:bottom w:val="nil"/>
              <w:right w:val="nil"/>
            </w:tcBorders>
            <w:vAlign w:val="center"/>
          </w:tcPr>
          <w:p>
            <w:pPr>
              <w:spacing w:line="240" w:lineRule="exact"/>
            </w:pPr>
          </w:p>
        </w:tc>
        <w:tc>
          <w:tcPr>
            <w:tcW w:w="2070" w:type="dxa"/>
            <w:gridSpan w:val="2"/>
            <w:tcBorders>
              <w:top w:val="nil"/>
              <w:left w:val="nil"/>
              <w:bottom w:val="nil"/>
              <w:right w:val="nil"/>
            </w:tcBorders>
            <w:vAlign w:val="center"/>
          </w:tcPr>
          <w:p>
            <w:pPr>
              <w:widowControl/>
              <w:spacing w:line="240" w:lineRule="exact"/>
              <w:jc w:val="right"/>
              <w:textAlignment w:val="center"/>
            </w:pPr>
            <w:r>
              <w:rPr>
                <w:kern w:val="0"/>
              </w:rPr>
              <w:t>单位：万元</w:t>
            </w:r>
          </w:p>
        </w:tc>
      </w:tr>
      <w:tr>
        <w:tblPrEx>
          <w:shd w:val="clear" w:color="auto" w:fill="auto"/>
          <w:tblCellMar>
            <w:top w:w="0" w:type="dxa"/>
            <w:left w:w="0" w:type="dxa"/>
            <w:bottom w:w="0" w:type="dxa"/>
            <w:right w:w="0" w:type="dxa"/>
          </w:tblCellMar>
        </w:tblPrEx>
        <w:trPr>
          <w:gridBefore w:val="1"/>
          <w:gridAfter w:val="1"/>
          <w:wBefore w:w="93" w:type="dxa"/>
          <w:wAfter w:w="461" w:type="dxa"/>
          <w:trHeight w:val="38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功能分类科目</w:t>
            </w:r>
          </w:p>
        </w:tc>
        <w:tc>
          <w:tcPr>
            <w:tcW w:w="171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2023年预算数</w:t>
            </w:r>
          </w:p>
        </w:tc>
        <w:tc>
          <w:tcPr>
            <w:tcW w:w="4721"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2024年预算数</w:t>
            </w:r>
          </w:p>
        </w:tc>
      </w:tr>
      <w:tr>
        <w:tblPrEx>
          <w:shd w:val="clear" w:color="auto" w:fill="auto"/>
          <w:tblCellMar>
            <w:top w:w="0" w:type="dxa"/>
            <w:left w:w="0" w:type="dxa"/>
            <w:bottom w:w="0" w:type="dxa"/>
            <w:right w:w="0" w:type="dxa"/>
          </w:tblCellMar>
        </w:tblPrEx>
        <w:trPr>
          <w:gridBefore w:val="1"/>
          <w:gridAfter w:val="1"/>
          <w:wBefore w:w="93" w:type="dxa"/>
          <w:wAfter w:w="461" w:type="dxa"/>
          <w:trHeight w:val="408"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 科目编码</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科目名称</w:t>
            </w:r>
          </w:p>
        </w:tc>
        <w:tc>
          <w:tcPr>
            <w:tcW w:w="171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总计</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基本支出 </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 xml:space="preserve">项目支出 </w:t>
            </w:r>
          </w:p>
        </w:tc>
      </w:tr>
      <w:tr>
        <w:tblPrEx>
          <w:shd w:val="clear" w:color="auto" w:fill="auto"/>
          <w:tblCellMar>
            <w:top w:w="0" w:type="dxa"/>
            <w:left w:w="0" w:type="dxa"/>
            <w:bottom w:w="0" w:type="dxa"/>
            <w:right w:w="0" w:type="dxa"/>
          </w:tblCellMar>
        </w:tblPrEx>
        <w:trPr>
          <w:gridBefore w:val="1"/>
          <w:gridAfter w:val="1"/>
          <w:wBefore w:w="93" w:type="dxa"/>
          <w:wAfter w:w="461" w:type="dxa"/>
          <w:trHeight w:val="353" w:hRule="atLeast"/>
          <w:jc w:val="center"/>
        </w:trPr>
        <w:tc>
          <w:tcPr>
            <w:tcW w:w="69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合计</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43.73</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43.73</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b/>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文化旅游体育与传媒支出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200" w:firstLineChars="1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文化和旅游</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ind w:firstLine="400" w:firstLineChars="20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2070109</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群众文化</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35.81</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208</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Style w:val="11"/>
                <w:rFonts w:hint="default" w:ascii="宋体" w:hAnsi="宋体" w:eastAsia="宋体" w:cs="宋体"/>
                <w:lang w:val="en-US" w:eastAsia="zh-CN" w:bidi="ar"/>
              </w:rPr>
            </w:pPr>
            <w:r>
              <w:rPr>
                <w:rStyle w:val="11"/>
                <w:rFonts w:hint="eastAsia" w:ascii="宋体" w:hAnsi="宋体" w:cs="宋体"/>
                <w:lang w:val="en-US" w:eastAsia="zh-CN" w:bidi="ar"/>
              </w:rPr>
              <w:t>社会保障和就业支出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3.80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行政事业单位养老支出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3.80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lang w:val="en-US" w:eastAsia="zh-CN"/>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2080505</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机关事业单位基本养老保险缴费支出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2.530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2.530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2080506</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机关事业单位职业年金缴费支出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lang w:val="en-US" w:eastAsia="zh-CN"/>
              </w:rPr>
            </w:pPr>
            <w:r>
              <w:rPr>
                <w:rFonts w:hint="eastAsia"/>
                <w:lang w:val="en-US" w:eastAsia="zh-CN"/>
              </w:rPr>
              <w:t>1.27</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imes New Roman" w:hAnsi="Times New Roman" w:eastAsia="宋体" w:cs="Times New Roman"/>
                <w:kern w:val="2"/>
                <w:sz w:val="21"/>
                <w:szCs w:val="24"/>
                <w:lang w:val="en-US" w:eastAsia="zh-CN" w:bidi="ar-SA"/>
              </w:rPr>
            </w:pPr>
            <w:r>
              <w:rPr>
                <w:rFonts w:hint="eastAsia"/>
                <w:lang w:val="en-US" w:eastAsia="zh-CN"/>
              </w:rPr>
              <w:t>1.27</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卫生健康支出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2.22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2.22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行政事业单位医疗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事业单位医疗</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2101199</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其他行政事业单位医疗支出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0.32</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96"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w:t>
            </w:r>
          </w:p>
        </w:tc>
        <w:tc>
          <w:tcPr>
            <w:tcW w:w="48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住房保障支出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45"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住房改革支出</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r>
        <w:tblPrEx>
          <w:shd w:val="clear" w:color="auto" w:fill="auto"/>
          <w:tblCellMar>
            <w:top w:w="0" w:type="dxa"/>
            <w:left w:w="0" w:type="dxa"/>
            <w:bottom w:w="0" w:type="dxa"/>
            <w:right w:w="0" w:type="dxa"/>
          </w:tblCellMar>
        </w:tblPrEx>
        <w:trPr>
          <w:gridBefore w:val="1"/>
          <w:gridAfter w:val="1"/>
          <w:wBefore w:w="93" w:type="dxa"/>
          <w:wAfter w:w="461" w:type="dxa"/>
          <w:trHeight w:val="379" w:hRule="atLeast"/>
          <w:jc w:val="center"/>
        </w:trPr>
        <w:tc>
          <w:tcPr>
            <w:tcW w:w="210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2210201</w:t>
            </w:r>
          </w:p>
        </w:tc>
        <w:tc>
          <w:tcPr>
            <w:tcW w:w="4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11"/>
                <w:rFonts w:hint="eastAsia" w:ascii="宋体" w:hAnsi="宋体" w:eastAsia="宋体" w:cs="宋体"/>
                <w:lang w:val="en-US" w:eastAsia="zh-CN" w:bidi="ar"/>
              </w:rPr>
              <w:t xml:space="preserve">  住房公积金</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153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1.90</w:t>
            </w:r>
          </w:p>
        </w:tc>
        <w:tc>
          <w:tcPr>
            <w:tcW w:w="15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161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r>
    </w:tbl>
    <w:p>
      <w:pPr>
        <w:widowControl/>
        <w:jc w:val="left"/>
        <w:rPr>
          <w:rFonts w:hint="eastAsia" w:ascii="宋体" w:hAnsi="宋体" w:eastAsia="宋体" w:cs="宋体"/>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3"/>
        <w:tblW w:w="13984" w:type="dxa"/>
        <w:jc w:val="center"/>
        <w:tblLayout w:type="fixed"/>
        <w:tblCellMar>
          <w:top w:w="0" w:type="dxa"/>
          <w:left w:w="108" w:type="dxa"/>
          <w:bottom w:w="0" w:type="dxa"/>
          <w:right w:w="108" w:type="dxa"/>
        </w:tblCellMar>
      </w:tblPr>
      <w:tblGrid>
        <w:gridCol w:w="2463"/>
        <w:gridCol w:w="5766"/>
        <w:gridCol w:w="1976"/>
        <w:gridCol w:w="1976"/>
        <w:gridCol w:w="1803"/>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spacing w:line="600" w:lineRule="exact"/>
              <w:jc w:val="center"/>
              <w:rPr>
                <w:rFonts w:hint="eastAsia" w:eastAsia="方正小标宋_GBK"/>
                <w:kern w:val="0"/>
                <w:sz w:val="40"/>
                <w:szCs w:val="40"/>
                <w:lang w:eastAsia="zh-CN"/>
              </w:rPr>
            </w:pPr>
            <w:r>
              <w:rPr>
                <w:rFonts w:eastAsia="方正小标宋_GBK"/>
                <w:kern w:val="0"/>
                <w:sz w:val="40"/>
                <w:szCs w:val="40"/>
              </w:rPr>
              <w:t>重庆市潼南区</w:t>
            </w:r>
            <w:r>
              <w:rPr>
                <w:rFonts w:hint="eastAsia" w:eastAsia="方正小标宋_GBK"/>
                <w:kern w:val="0"/>
                <w:sz w:val="40"/>
                <w:szCs w:val="40"/>
                <w:lang w:eastAsia="zh-CN"/>
              </w:rPr>
              <w:t>玉溪文化服务中心</w:t>
            </w:r>
          </w:p>
          <w:p>
            <w:pPr>
              <w:spacing w:line="600" w:lineRule="exact"/>
              <w:jc w:val="center"/>
              <w:rPr>
                <w:rFonts w:eastAsia="方正小标宋_GBK"/>
                <w:sz w:val="40"/>
                <w:szCs w:val="40"/>
              </w:rPr>
            </w:pPr>
            <w:r>
              <w:rPr>
                <w:rFonts w:eastAsia="方正小标宋_GBK"/>
                <w:sz w:val="40"/>
                <w:szCs w:val="40"/>
              </w:rPr>
              <w:t>一般公共预算财政拨款基本支出预算表</w:t>
            </w:r>
          </w:p>
        </w:tc>
      </w:tr>
      <w:tr>
        <w:tblPrEx>
          <w:tblCellMar>
            <w:top w:w="0" w:type="dxa"/>
            <w:left w:w="108" w:type="dxa"/>
            <w:bottom w:w="0" w:type="dxa"/>
            <w:right w:w="108" w:type="dxa"/>
          </w:tblCellMar>
        </w:tblPrEx>
        <w:trPr>
          <w:trHeight w:val="340" w:hRule="atLeast"/>
          <w:tblHeader/>
          <w:jc w:val="center"/>
        </w:trPr>
        <w:tc>
          <w:tcPr>
            <w:tcW w:w="2463" w:type="dxa"/>
            <w:tcBorders>
              <w:top w:val="nil"/>
              <w:left w:val="nil"/>
              <w:bottom w:val="nil"/>
              <w:right w:val="nil"/>
            </w:tcBorders>
            <w:vAlign w:val="center"/>
          </w:tcPr>
          <w:p/>
        </w:tc>
        <w:tc>
          <w:tcPr>
            <w:tcW w:w="5766" w:type="dxa"/>
            <w:tcBorders>
              <w:top w:val="nil"/>
              <w:left w:val="nil"/>
              <w:bottom w:val="nil"/>
              <w:right w:val="nil"/>
            </w:tcBorders>
            <w:vAlign w:val="center"/>
          </w:tcPr>
          <w:p>
            <w:pPr>
              <w:jc w:val="center"/>
            </w:pPr>
          </w:p>
        </w:tc>
        <w:tc>
          <w:tcPr>
            <w:tcW w:w="1976" w:type="dxa"/>
            <w:tcBorders>
              <w:top w:val="nil"/>
              <w:left w:val="nil"/>
              <w:bottom w:val="nil"/>
              <w:right w:val="nil"/>
            </w:tcBorders>
            <w:vAlign w:val="center"/>
          </w:tcPr>
          <w:p/>
        </w:tc>
        <w:tc>
          <w:tcPr>
            <w:tcW w:w="1976" w:type="dxa"/>
            <w:tcBorders>
              <w:top w:val="nil"/>
              <w:left w:val="nil"/>
              <w:bottom w:val="nil"/>
              <w:right w:val="nil"/>
            </w:tcBorders>
            <w:vAlign w:val="center"/>
          </w:tcPr>
          <w:p/>
        </w:tc>
        <w:tc>
          <w:tcPr>
            <w:tcW w:w="1803"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tblHeader/>
          <w:jc w:val="center"/>
        </w:trPr>
        <w:tc>
          <w:tcPr>
            <w:tcW w:w="822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t>经济分类科目</w:t>
            </w:r>
          </w:p>
        </w:tc>
        <w:tc>
          <w:tcPr>
            <w:tcW w:w="5755"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202</w:t>
            </w:r>
            <w:r>
              <w:rPr>
                <w:rFonts w:hint="eastAsia"/>
                <w:kern w:val="0"/>
                <w:lang w:val="en-US" w:eastAsia="zh-CN"/>
              </w:rPr>
              <w:t>4</w:t>
            </w:r>
            <w:r>
              <w:rPr>
                <w:kern w:val="0"/>
              </w:rPr>
              <w:t>年基本支出</w:t>
            </w:r>
          </w:p>
        </w:tc>
      </w:tr>
      <w:tr>
        <w:tblPrEx>
          <w:tblCellMar>
            <w:top w:w="0" w:type="dxa"/>
            <w:left w:w="108" w:type="dxa"/>
            <w:bottom w:w="0" w:type="dxa"/>
            <w:right w:w="108" w:type="dxa"/>
          </w:tblCellMar>
        </w:tblPrEx>
        <w:trPr>
          <w:trHeight w:val="340" w:hRule="atLeast"/>
          <w:tblHeader/>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人员经费</w:t>
            </w:r>
          </w:p>
        </w:tc>
        <w:tc>
          <w:tcPr>
            <w:tcW w:w="1803" w:type="dxa"/>
            <w:tcBorders>
              <w:top w:val="single" w:color="000000" w:sz="4" w:space="0"/>
              <w:left w:val="nil"/>
              <w:bottom w:val="single" w:color="000000" w:sz="4" w:space="0"/>
              <w:right w:val="single" w:color="000000" w:sz="4" w:space="0"/>
            </w:tcBorders>
            <w:vAlign w:val="center"/>
          </w:tcPr>
          <w:p>
            <w:pPr>
              <w:widowControl/>
              <w:jc w:val="center"/>
              <w:textAlignment w:val="center"/>
            </w:pPr>
            <w:r>
              <w:t>日常公用经费</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tc>
        <w:tc>
          <w:tcPr>
            <w:tcW w:w="576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36.48</w:t>
            </w:r>
          </w:p>
        </w:tc>
        <w:tc>
          <w:tcPr>
            <w:tcW w:w="1803" w:type="dxa"/>
            <w:tcBorders>
              <w:top w:val="single" w:color="000000" w:sz="4" w:space="0"/>
              <w:left w:val="nil"/>
              <w:bottom w:val="nil"/>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7.25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工资福利支出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36.48</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eastAsia="宋体"/>
                <w:lang w:val="en-US" w:eastAsia="zh-CN"/>
              </w:rPr>
            </w:pPr>
            <w:r>
              <w:rPr>
                <w:rFonts w:hint="eastAsia" w:cs="Times New Roman"/>
                <w:kern w:val="2"/>
                <w:sz w:val="21"/>
                <w:szCs w:val="21"/>
                <w:lang w:val="en-US" w:eastAsia="zh-CN" w:bidi="ar-SA"/>
              </w:rPr>
              <w:t>36.48</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基本工资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8.50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8.50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津贴补贴</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30107</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绩效工资</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18.39</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18.39</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机关事业单位基本养老保险缴费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2.53</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2.53</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30109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职业年金缴费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1.27</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1.27</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30110</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职工基本医疗保险缴费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1.35</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1.35</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其他社会保障缴费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0.76</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0.76</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30113</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住房公积金</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1.90</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1.90</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30114</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医疗费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c>
          <w:tcPr>
            <w:tcW w:w="1976" w:type="dxa"/>
            <w:tcBorders>
              <w:top w:val="single" w:color="000000" w:sz="4" w:space="0"/>
              <w:left w:val="nil"/>
              <w:bottom w:val="single" w:color="000000" w:sz="4" w:space="0"/>
              <w:right w:val="nil"/>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0.32</w:t>
            </w:r>
          </w:p>
        </w:tc>
        <w:tc>
          <w:tcPr>
            <w:tcW w:w="1803"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302</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7.25</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1"/>
                <w:lang w:val="en-US" w:eastAsia="zh-CN" w:bidi="ar-SA"/>
              </w:rPr>
              <w:t>36.48</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办公费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4.69</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1"/>
                <w:lang w:val="en-US" w:eastAsia="zh-CN" w:bidi="ar-SA"/>
              </w:rPr>
              <w:t>8.50</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30205</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水费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0.01</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1.47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30206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电费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0.10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1"/>
                <w:lang w:val="en-US" w:eastAsia="zh-CN" w:bidi="ar-SA"/>
              </w:rPr>
              <w:t>18.39</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30211</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差旅费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1.20</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2.53</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30216</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培训费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0.12</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1.27</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30228</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工会经费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0.19</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1.35</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30229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福利费</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0.55</w:t>
            </w:r>
          </w:p>
        </w:tc>
        <w:tc>
          <w:tcPr>
            <w:tcW w:w="1976" w:type="dxa"/>
            <w:tcBorders>
              <w:top w:val="single" w:color="000000" w:sz="4" w:space="0"/>
              <w:left w:val="nil"/>
              <w:bottom w:val="single" w:color="000000" w:sz="4" w:space="0"/>
              <w:right w:val="nil"/>
            </w:tcBorders>
            <w:vAlign w:val="center"/>
          </w:tcPr>
          <w:p>
            <w:pPr>
              <w:jc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r>
              <w:rPr>
                <w:rFonts w:hint="eastAsia" w:cs="Times New Roman"/>
                <w:kern w:val="2"/>
                <w:sz w:val="21"/>
                <w:szCs w:val="21"/>
                <w:lang w:val="en-US" w:eastAsia="zh-CN" w:bidi="ar-SA"/>
              </w:rPr>
              <w:t>0.76</w:t>
            </w:r>
          </w:p>
        </w:tc>
      </w:tr>
      <w:tr>
        <w:tblPrEx>
          <w:tblCellMar>
            <w:top w:w="0" w:type="dxa"/>
            <w:left w:w="108" w:type="dxa"/>
            <w:bottom w:w="0" w:type="dxa"/>
            <w:right w:w="108" w:type="dxa"/>
          </w:tblCellMar>
        </w:tblPrEx>
        <w:trPr>
          <w:trHeight w:val="340" w:hRule="atLeast"/>
          <w:jc w:val="center"/>
        </w:trPr>
        <w:tc>
          <w:tcPr>
            <w:tcW w:w="246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 xml:space="preserve">  30299</w:t>
            </w:r>
          </w:p>
        </w:tc>
        <w:tc>
          <w:tcPr>
            <w:tcW w:w="5766"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 xml:space="preserve">  其他商品和服务支出</w:t>
            </w:r>
          </w:p>
        </w:tc>
        <w:tc>
          <w:tcPr>
            <w:tcW w:w="1976"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r>
              <w:rPr>
                <w:rFonts w:hint="eastAsia"/>
                <w:lang w:val="en-US" w:eastAsia="zh-CN"/>
              </w:rPr>
              <w:t>0.39</w:t>
            </w:r>
          </w:p>
        </w:tc>
        <w:tc>
          <w:tcPr>
            <w:tcW w:w="1976" w:type="dxa"/>
            <w:tcBorders>
              <w:top w:val="single" w:color="000000" w:sz="4" w:space="0"/>
              <w:left w:val="nil"/>
              <w:bottom w:val="single" w:color="000000" w:sz="4" w:space="0"/>
              <w:right w:val="nil"/>
            </w:tcBorders>
            <w:vAlign w:val="center"/>
          </w:tcPr>
          <w:p>
            <w:pPr>
              <w:widowControl/>
              <w:jc w:val="center"/>
              <w:textAlignment w:val="center"/>
            </w:pPr>
          </w:p>
        </w:tc>
        <w:tc>
          <w:tcPr>
            <w:tcW w:w="180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0.39</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3"/>
        <w:tblW w:w="483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98"/>
        <w:gridCol w:w="2255"/>
        <w:gridCol w:w="1511"/>
        <w:gridCol w:w="1481"/>
        <w:gridCol w:w="1591"/>
        <w:gridCol w:w="1786"/>
        <w:gridCol w:w="1835"/>
        <w:gridCol w:w="1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eastAsia="方正小标宋_GBK"/>
                <w:sz w:val="40"/>
                <w:szCs w:val="40"/>
                <w:lang w:eastAsia="zh-CN"/>
              </w:rPr>
            </w:pPr>
            <w:r>
              <w:rPr>
                <w:rFonts w:hint="eastAsia" w:eastAsia="方正小标宋_GBK"/>
                <w:sz w:val="40"/>
                <w:szCs w:val="40"/>
                <w:lang w:eastAsia="zh-CN"/>
              </w:rPr>
              <w:t>重庆市潼南区玉溪文化服务中心</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eastAsia="方正小标宋_GBK"/>
                <w:sz w:val="40"/>
                <w:szCs w:val="40"/>
              </w:rPr>
              <w:t>一般公共预算支出“三公”经费预算表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82" w:type="pct"/>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821" w:type="pct"/>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0"/>
                <w:szCs w:val="20"/>
                <w:u w:val="none"/>
              </w:rPr>
            </w:pPr>
          </w:p>
        </w:tc>
        <w:tc>
          <w:tcPr>
            <w:tcW w:w="550" w:type="pct"/>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0"/>
                <w:szCs w:val="20"/>
                <w:u w:val="none"/>
              </w:rPr>
            </w:pPr>
          </w:p>
        </w:tc>
        <w:tc>
          <w:tcPr>
            <w:tcW w:w="539" w:type="pct"/>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2507" w:type="pct"/>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单位：</w:t>
            </w:r>
            <w:r>
              <w:rPr>
                <w:kern w:val="0"/>
              </w:rPr>
              <w:t>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部门编码</w:t>
            </w:r>
          </w:p>
        </w:tc>
        <w:tc>
          <w:tcPr>
            <w:tcW w:w="821"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部门名称</w:t>
            </w:r>
          </w:p>
        </w:tc>
        <w:tc>
          <w:tcPr>
            <w:tcW w:w="3596" w:type="pct"/>
            <w:gridSpan w:val="6"/>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Style w:val="12"/>
                <w:rFonts w:eastAsia="宋体"/>
                <w:lang w:val="en-US" w:eastAsia="zh-CN" w:bidi="ar"/>
              </w:rPr>
              <w:t>202</w:t>
            </w:r>
            <w:r>
              <w:rPr>
                <w:rStyle w:val="12"/>
                <w:rFonts w:hint="eastAsia"/>
                <w:lang w:val="en-US" w:eastAsia="zh-CN" w:bidi="ar"/>
              </w:rPr>
              <w:t>4</w:t>
            </w:r>
            <w:r>
              <w:rPr>
                <w:rFonts w:hint="eastAsia" w:ascii="宋体" w:hAnsi="宋体" w:eastAsia="宋体" w:cs="宋体"/>
                <w:i w:val="0"/>
                <w:iCs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总计</w:t>
            </w:r>
          </w:p>
        </w:tc>
        <w:tc>
          <w:tcPr>
            <w:tcW w:w="53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因公出国（境）费用</w:t>
            </w:r>
          </w:p>
        </w:tc>
        <w:tc>
          <w:tcPr>
            <w:tcW w:w="1897" w:type="pct"/>
            <w:gridSpan w:val="3"/>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公务用车购置及运行费</w:t>
            </w:r>
          </w:p>
        </w:tc>
        <w:tc>
          <w:tcPr>
            <w:tcW w:w="609" w:type="pct"/>
            <w:vMerge w:val="restar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821"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50"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3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default" w:ascii="Times New Roman" w:hAnsi="Times New Roman" w:eastAsia="宋体" w:cs="Times New Roman"/>
                <w:i w:val="0"/>
                <w:iCs w:val="0"/>
                <w:color w:val="000000"/>
                <w:sz w:val="20"/>
                <w:szCs w:val="20"/>
                <w:u w:val="none"/>
              </w:rPr>
            </w:pPr>
          </w:p>
        </w:tc>
        <w:tc>
          <w:tcPr>
            <w:tcW w:w="579"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w:t>
            </w:r>
          </w:p>
        </w:tc>
        <w:tc>
          <w:tcPr>
            <w:tcW w:w="650"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公务用车购置</w:t>
            </w:r>
          </w:p>
        </w:tc>
        <w:tc>
          <w:tcPr>
            <w:tcW w:w="668" w:type="pct"/>
            <w:tcBorders>
              <w:top w:val="single" w:color="000000" w:sz="4" w:space="0"/>
              <w:left w:val="single" w:color="000000" w:sz="4" w:space="0"/>
              <w:bottom w:val="single" w:color="000000" w:sz="4" w:space="0"/>
              <w:right w:val="single" w:color="000000" w:sz="4" w:space="0"/>
            </w:tcBorders>
            <w:shd w:val="clear" w:color="F0F0F0"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公务用车</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运行维护费</w:t>
            </w:r>
          </w:p>
        </w:tc>
        <w:tc>
          <w:tcPr>
            <w:tcW w:w="609" w:type="pct"/>
            <w:vMerge w:val="continue"/>
            <w:tcBorders>
              <w:top w:val="single" w:color="000000" w:sz="4" w:space="0"/>
              <w:left w:val="single" w:color="000000" w:sz="4" w:space="0"/>
              <w:bottom w:val="single" w:color="000000" w:sz="4" w:space="0"/>
              <w:right w:val="single" w:color="000000" w:sz="4" w:space="0"/>
            </w:tcBorders>
            <w:shd w:val="clear" w:color="F0F0F0"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rPr>
            </w:pP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5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57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50"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68"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c>
          <w:tcPr>
            <w:tcW w:w="609" w:type="pct"/>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default" w:ascii="Times New Roman" w:hAnsi="Times New Roman" w:eastAsia="宋体" w:cs="Times New Roman"/>
                <w:i w:val="0"/>
                <w:iCs w:val="0"/>
                <w:color w:val="000000"/>
                <w:kern w:val="2"/>
                <w:sz w:val="20"/>
                <w:szCs w:val="20"/>
                <w:u w:val="none"/>
                <w:lang w:val="en-US" w:eastAsia="zh-CN" w:bidi="ar-SA"/>
              </w:rPr>
            </w:pPr>
            <w:r>
              <w:rPr>
                <w:rFonts w:hint="eastAsia" w:cs="Times New Roman"/>
                <w:i w:val="0"/>
                <w:iCs w:val="0"/>
                <w:color w:val="000000"/>
                <w:kern w:val="2"/>
                <w:sz w:val="20"/>
                <w:szCs w:val="20"/>
                <w:u w:val="none"/>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818003</w:t>
            </w:r>
          </w:p>
        </w:tc>
        <w:tc>
          <w:tcPr>
            <w:tcW w:w="8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cs="宋体"/>
                <w:i w:val="0"/>
                <w:iCs w:val="0"/>
                <w:color w:val="000000"/>
                <w:kern w:val="0"/>
                <w:sz w:val="20"/>
                <w:szCs w:val="20"/>
                <w:u w:val="none"/>
                <w:lang w:val="en-US" w:eastAsia="zh-CN" w:bidi="ar"/>
              </w:rPr>
              <w:t>重庆市潼南区玉溪文化服务中心</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3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5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5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68"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p>
        </w:tc>
        <w:tc>
          <w:tcPr>
            <w:tcW w:w="60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0"/>
                <w:szCs w:val="20"/>
                <w:u w:val="none"/>
                <w:lang w:val="en-US" w:eastAsia="zh-CN"/>
              </w:rPr>
            </w:pPr>
            <w:r>
              <w:rPr>
                <w:rFonts w:hint="eastAsia" w:cs="Times New Roman"/>
                <w:i w:val="0"/>
                <w:iCs w:val="0"/>
                <w:color w:val="000000"/>
                <w:sz w:val="20"/>
                <w:szCs w:val="20"/>
                <w:u w:val="none"/>
                <w:lang w:val="en-US" w:eastAsia="zh-CN"/>
              </w:rPr>
              <w:t>0</w:t>
            </w:r>
            <w:bookmarkStart w:id="0" w:name="_GoBack"/>
            <w:bookmarkEnd w:id="0"/>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3"/>
        <w:tblW w:w="13975" w:type="dxa"/>
        <w:jc w:val="center"/>
        <w:tblLayout w:type="fixed"/>
        <w:tblCellMar>
          <w:top w:w="0" w:type="dxa"/>
          <w:left w:w="108" w:type="dxa"/>
          <w:bottom w:w="0" w:type="dxa"/>
          <w:right w:w="108" w:type="dxa"/>
        </w:tblCellMar>
      </w:tblPr>
      <w:tblGrid>
        <w:gridCol w:w="1713"/>
        <w:gridCol w:w="3545"/>
        <w:gridCol w:w="1496"/>
        <w:gridCol w:w="62"/>
        <w:gridCol w:w="1433"/>
        <w:gridCol w:w="953"/>
        <w:gridCol w:w="2386"/>
        <w:gridCol w:w="2387"/>
      </w:tblGrid>
      <w:tr>
        <w:tblPrEx>
          <w:tblCellMar>
            <w:top w:w="0" w:type="dxa"/>
            <w:left w:w="108" w:type="dxa"/>
            <w:bottom w:w="0" w:type="dxa"/>
            <w:right w:w="108" w:type="dxa"/>
          </w:tblCellMar>
        </w:tblPrEx>
        <w:trPr>
          <w:trHeight w:val="340" w:hRule="atLeast"/>
          <w:jc w:val="center"/>
        </w:trPr>
        <w:tc>
          <w:tcPr>
            <w:tcW w:w="13975" w:type="dxa"/>
            <w:gridSpan w:val="8"/>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sz w:val="40"/>
                <w:szCs w:val="40"/>
              </w:rPr>
              <w:t>政府性基金预算支出表</w:t>
            </w:r>
          </w:p>
        </w:tc>
      </w:tr>
      <w:tr>
        <w:tblPrEx>
          <w:tblCellMar>
            <w:top w:w="0" w:type="dxa"/>
            <w:left w:w="108" w:type="dxa"/>
            <w:bottom w:w="0" w:type="dxa"/>
            <w:right w:w="108" w:type="dxa"/>
          </w:tblCellMar>
        </w:tblPrEx>
        <w:trPr>
          <w:trHeight w:val="340" w:hRule="atLeast"/>
          <w:jc w:val="center"/>
        </w:trPr>
        <w:tc>
          <w:tcPr>
            <w:tcW w:w="1713" w:type="dxa"/>
            <w:tcBorders>
              <w:top w:val="nil"/>
              <w:left w:val="nil"/>
              <w:bottom w:val="nil"/>
              <w:right w:val="nil"/>
            </w:tcBorders>
            <w:vAlign w:val="center"/>
          </w:tcPr>
          <w:p/>
        </w:tc>
        <w:tc>
          <w:tcPr>
            <w:tcW w:w="3545" w:type="dxa"/>
            <w:tcBorders>
              <w:top w:val="nil"/>
              <w:left w:val="nil"/>
              <w:bottom w:val="nil"/>
              <w:right w:val="nil"/>
            </w:tcBorders>
            <w:vAlign w:val="center"/>
          </w:tcPr>
          <w:p>
            <w:pPr>
              <w:jc w:val="center"/>
            </w:pPr>
          </w:p>
        </w:tc>
        <w:tc>
          <w:tcPr>
            <w:tcW w:w="1496" w:type="dxa"/>
            <w:tcBorders>
              <w:top w:val="nil"/>
              <w:left w:val="nil"/>
              <w:bottom w:val="nil"/>
              <w:right w:val="nil"/>
            </w:tcBorders>
            <w:vAlign w:val="center"/>
          </w:tcPr>
          <w:p/>
        </w:tc>
        <w:tc>
          <w:tcPr>
            <w:tcW w:w="1495" w:type="dxa"/>
            <w:gridSpan w:val="2"/>
            <w:tcBorders>
              <w:top w:val="nil"/>
              <w:left w:val="nil"/>
              <w:bottom w:val="nil"/>
              <w:right w:val="nil"/>
            </w:tcBorders>
            <w:vAlign w:val="center"/>
          </w:tcPr>
          <w:p/>
        </w:tc>
        <w:tc>
          <w:tcPr>
            <w:tcW w:w="5726" w:type="dxa"/>
            <w:gridSpan w:val="3"/>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340" w:hRule="atLeast"/>
          <w:jc w:val="center"/>
        </w:trPr>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103" w:type="dxa"/>
            <w:gridSpan w:val="3"/>
            <w:vMerge w:val="restart"/>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7159" w:type="dxa"/>
            <w:gridSpan w:val="4"/>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本年政府性基金预算财政拨款支出</w:t>
            </w:r>
          </w:p>
        </w:tc>
      </w:tr>
      <w:tr>
        <w:tblPrEx>
          <w:tblCellMar>
            <w:top w:w="0" w:type="dxa"/>
            <w:left w:w="108" w:type="dxa"/>
            <w:bottom w:w="0" w:type="dxa"/>
            <w:right w:w="108" w:type="dxa"/>
          </w:tblCellMar>
        </w:tblPrEx>
        <w:trPr>
          <w:trHeight w:val="340" w:hRule="atLeast"/>
          <w:jc w:val="center"/>
        </w:trPr>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103" w:type="dxa"/>
            <w:gridSpan w:val="3"/>
            <w:vMerge w:val="continue"/>
            <w:tcBorders>
              <w:top w:val="single" w:color="000000" w:sz="4" w:space="0"/>
              <w:left w:val="nil"/>
              <w:bottom w:val="single" w:color="000000" w:sz="4" w:space="0"/>
              <w:right w:val="single" w:color="000000" w:sz="4" w:space="0"/>
            </w:tcBorders>
            <w:vAlign w:val="center"/>
          </w:tcPr>
          <w:p>
            <w:pPr>
              <w:widowControl/>
              <w:jc w:val="left"/>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2386"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jc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eastAsia="宋体"/>
                <w:lang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eastAsia="宋体"/>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jc w:val="left"/>
              <w:textAlignment w:val="center"/>
              <w:rPr>
                <w:rFonts w:hint="eastAsia" w:eastAsia="宋体"/>
                <w:kern w:val="0"/>
                <w:lang w:eastAsia="zh-CN"/>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210" w:firstLineChars="1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r>
        <w:tblPrEx>
          <w:tblCellMar>
            <w:top w:w="0" w:type="dxa"/>
            <w:left w:w="108" w:type="dxa"/>
            <w:bottom w:w="0" w:type="dxa"/>
            <w:right w:w="108" w:type="dxa"/>
          </w:tblCellMar>
        </w:tblPrEx>
        <w:trPr>
          <w:trHeight w:val="340" w:hRule="atLeast"/>
          <w:jc w:val="center"/>
        </w:trPr>
        <w:tc>
          <w:tcPr>
            <w:tcW w:w="1713" w:type="dxa"/>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both"/>
              <w:textAlignment w:val="center"/>
              <w:rPr>
                <w:rFonts w:hint="default"/>
                <w:kern w:val="0"/>
                <w:lang w:val="en-US" w:eastAsia="zh-CN"/>
              </w:rPr>
            </w:pPr>
          </w:p>
        </w:tc>
        <w:tc>
          <w:tcPr>
            <w:tcW w:w="5103" w:type="dxa"/>
            <w:gridSpan w:val="3"/>
            <w:tcBorders>
              <w:top w:val="single" w:color="000000" w:sz="4" w:space="0"/>
              <w:left w:val="nil"/>
              <w:bottom w:val="single" w:color="000000" w:sz="4" w:space="0"/>
              <w:right w:val="single" w:color="000000" w:sz="4" w:space="0"/>
            </w:tcBorders>
            <w:vAlign w:val="center"/>
          </w:tcPr>
          <w:p>
            <w:pPr>
              <w:widowControl/>
              <w:ind w:firstLine="420" w:firstLineChars="200"/>
              <w:jc w:val="left"/>
              <w:textAlignment w:val="center"/>
              <w:rPr>
                <w:rFonts w:hint="eastAsia"/>
                <w:kern w:val="0"/>
              </w:rPr>
            </w:pPr>
          </w:p>
        </w:tc>
        <w:tc>
          <w:tcPr>
            <w:tcW w:w="2386"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ascii="Times New Roman" w:hAnsi="Times New Roman" w:eastAsia="宋体" w:cs="Times New Roman"/>
                <w:kern w:val="2"/>
                <w:sz w:val="21"/>
                <w:szCs w:val="21"/>
                <w:lang w:val="en-US" w:eastAsia="zh-CN" w:bidi="ar-SA"/>
              </w:rPr>
            </w:pPr>
          </w:p>
        </w:tc>
        <w:tc>
          <w:tcPr>
            <w:tcW w:w="2386" w:type="dxa"/>
            <w:tcBorders>
              <w:top w:val="single" w:color="000000" w:sz="4" w:space="0"/>
              <w:left w:val="nil"/>
              <w:bottom w:val="single" w:color="000000" w:sz="4" w:space="0"/>
              <w:right w:val="single" w:color="000000" w:sz="4" w:space="0"/>
            </w:tcBorders>
            <w:vAlign w:val="center"/>
          </w:tcPr>
          <w:p>
            <w:pPr>
              <w:jc w:val="center"/>
            </w:pPr>
          </w:p>
        </w:tc>
        <w:tc>
          <w:tcPr>
            <w:tcW w:w="238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3"/>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center"/>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35.81</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3.80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2.22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1.90</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43.73</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center"/>
              <w:rPr>
                <w:rFonts w:hint="default" w:eastAsia="宋体"/>
                <w:lang w:val="en-US" w:eastAsia="zh-CN"/>
              </w:rPr>
            </w:pPr>
            <w:r>
              <w:rPr>
                <w:rFonts w:hint="eastAsia"/>
                <w:lang w:val="en-US" w:eastAsia="zh-CN"/>
              </w:rPr>
              <w:t>43.73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jc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结转下年</w:t>
            </w:r>
          </w:p>
        </w:tc>
        <w:tc>
          <w:tcPr>
            <w:tcW w:w="2353" w:type="dxa"/>
            <w:tcBorders>
              <w:top w:val="single" w:color="000000" w:sz="4" w:space="0"/>
              <w:left w:val="nil"/>
              <w:bottom w:val="single" w:color="000000" w:sz="4" w:space="0"/>
              <w:right w:val="single" w:color="000000" w:sz="4" w:space="0"/>
            </w:tcBorders>
            <w:vAlign w:val="center"/>
          </w:tcPr>
          <w:p>
            <w:pPr>
              <w:jc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3"/>
        <w:tblW w:w="13961" w:type="dxa"/>
        <w:jc w:val="center"/>
        <w:tblLayout w:type="fixed"/>
        <w:tblCellMar>
          <w:top w:w="0" w:type="dxa"/>
          <w:left w:w="108" w:type="dxa"/>
          <w:bottom w:w="0" w:type="dxa"/>
          <w:right w:w="108" w:type="dxa"/>
        </w:tblCellMar>
      </w:tblPr>
      <w:tblGrid>
        <w:gridCol w:w="1150"/>
        <w:gridCol w:w="3187"/>
        <w:gridCol w:w="979"/>
        <w:gridCol w:w="791"/>
        <w:gridCol w:w="1108"/>
        <w:gridCol w:w="974"/>
        <w:gridCol w:w="966"/>
        <w:gridCol w:w="794"/>
        <w:gridCol w:w="794"/>
        <w:gridCol w:w="794"/>
        <w:gridCol w:w="794"/>
        <w:gridCol w:w="794"/>
        <w:gridCol w:w="836"/>
      </w:tblGrid>
      <w:tr>
        <w:tblPrEx>
          <w:tblCellMar>
            <w:top w:w="0" w:type="dxa"/>
            <w:left w:w="108" w:type="dxa"/>
            <w:bottom w:w="0" w:type="dxa"/>
            <w:right w:w="108" w:type="dxa"/>
          </w:tblCellMar>
        </w:tblPrEx>
        <w:trPr>
          <w:trHeight w:val="340" w:hRule="atLeast"/>
          <w:tblHeader/>
          <w:jc w:val="center"/>
        </w:trPr>
        <w:tc>
          <w:tcPr>
            <w:tcW w:w="13961" w:type="dxa"/>
            <w:gridSpan w:val="13"/>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sz w:val="40"/>
                <w:szCs w:val="40"/>
              </w:rPr>
              <w:t>部门收入总表</w:t>
            </w:r>
          </w:p>
        </w:tc>
      </w:tr>
      <w:tr>
        <w:tblPrEx>
          <w:tblCellMar>
            <w:top w:w="0" w:type="dxa"/>
            <w:left w:w="108" w:type="dxa"/>
            <w:bottom w:w="0" w:type="dxa"/>
            <w:right w:w="108" w:type="dxa"/>
          </w:tblCellMar>
        </w:tblPrEx>
        <w:trPr>
          <w:trHeight w:val="340" w:hRule="atLeast"/>
          <w:tblHeader/>
          <w:jc w:val="center"/>
        </w:trPr>
        <w:tc>
          <w:tcPr>
            <w:tcW w:w="1150" w:type="dxa"/>
            <w:tcBorders>
              <w:top w:val="nil"/>
              <w:left w:val="nil"/>
              <w:bottom w:val="nil"/>
              <w:right w:val="nil"/>
            </w:tcBorders>
            <w:vAlign w:val="center"/>
          </w:tcPr>
          <w:p>
            <w:pPr>
              <w:rPr>
                <w:spacing w:val="-8"/>
              </w:rPr>
            </w:pPr>
          </w:p>
        </w:tc>
        <w:tc>
          <w:tcPr>
            <w:tcW w:w="3187" w:type="dxa"/>
            <w:tcBorders>
              <w:top w:val="nil"/>
              <w:left w:val="nil"/>
              <w:bottom w:val="nil"/>
              <w:right w:val="nil"/>
            </w:tcBorders>
            <w:vAlign w:val="center"/>
          </w:tcPr>
          <w:p>
            <w:pPr>
              <w:jc w:val="center"/>
              <w:rPr>
                <w:spacing w:val="-8"/>
              </w:rPr>
            </w:pPr>
          </w:p>
        </w:tc>
        <w:tc>
          <w:tcPr>
            <w:tcW w:w="979" w:type="dxa"/>
            <w:tcBorders>
              <w:top w:val="nil"/>
              <w:left w:val="nil"/>
              <w:bottom w:val="nil"/>
              <w:right w:val="nil"/>
            </w:tcBorders>
            <w:vAlign w:val="center"/>
          </w:tcPr>
          <w:p>
            <w:pPr>
              <w:rPr>
                <w:spacing w:val="-8"/>
              </w:rPr>
            </w:pPr>
          </w:p>
        </w:tc>
        <w:tc>
          <w:tcPr>
            <w:tcW w:w="791" w:type="dxa"/>
            <w:tcBorders>
              <w:top w:val="nil"/>
              <w:left w:val="nil"/>
              <w:bottom w:val="nil"/>
              <w:right w:val="nil"/>
            </w:tcBorders>
            <w:vAlign w:val="center"/>
          </w:tcPr>
          <w:p>
            <w:pPr>
              <w:rPr>
                <w:spacing w:val="-8"/>
              </w:rPr>
            </w:pPr>
          </w:p>
        </w:tc>
        <w:tc>
          <w:tcPr>
            <w:tcW w:w="1108" w:type="dxa"/>
            <w:tcBorders>
              <w:top w:val="nil"/>
              <w:left w:val="nil"/>
              <w:bottom w:val="nil"/>
              <w:right w:val="nil"/>
            </w:tcBorders>
            <w:vAlign w:val="center"/>
          </w:tcPr>
          <w:p>
            <w:pPr>
              <w:rPr>
                <w:spacing w:val="-8"/>
              </w:rPr>
            </w:pPr>
          </w:p>
        </w:tc>
        <w:tc>
          <w:tcPr>
            <w:tcW w:w="974" w:type="dxa"/>
            <w:tcBorders>
              <w:top w:val="nil"/>
              <w:left w:val="nil"/>
              <w:bottom w:val="nil"/>
              <w:right w:val="nil"/>
            </w:tcBorders>
            <w:vAlign w:val="center"/>
          </w:tcPr>
          <w:p>
            <w:pPr>
              <w:rPr>
                <w:spacing w:val="-8"/>
              </w:rPr>
            </w:pPr>
          </w:p>
        </w:tc>
        <w:tc>
          <w:tcPr>
            <w:tcW w:w="966" w:type="dxa"/>
            <w:tcBorders>
              <w:top w:val="nil"/>
              <w:left w:val="nil"/>
              <w:bottom w:val="single" w:color="auto" w:sz="4" w:space="0"/>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794" w:type="dxa"/>
            <w:tcBorders>
              <w:top w:val="nil"/>
              <w:left w:val="nil"/>
              <w:bottom w:val="nil"/>
              <w:right w:val="nil"/>
            </w:tcBorders>
            <w:vAlign w:val="center"/>
          </w:tcPr>
          <w:p>
            <w:pPr>
              <w:rPr>
                <w:spacing w:val="-8"/>
              </w:rPr>
            </w:pPr>
          </w:p>
        </w:tc>
        <w:tc>
          <w:tcPr>
            <w:tcW w:w="2424" w:type="dxa"/>
            <w:gridSpan w:val="3"/>
            <w:tcBorders>
              <w:top w:val="nil"/>
              <w:left w:val="nil"/>
              <w:bottom w:val="nil"/>
              <w:right w:val="nil"/>
            </w:tcBorders>
            <w:vAlign w:val="center"/>
          </w:tcPr>
          <w:p>
            <w:pPr>
              <w:widowControl/>
              <w:jc w:val="right"/>
              <w:textAlignment w:val="center"/>
              <w:rPr>
                <w:spacing w:val="-8"/>
              </w:rPr>
            </w:pPr>
            <w:r>
              <w:rPr>
                <w:spacing w:val="-8"/>
                <w:kern w:val="0"/>
              </w:rPr>
              <w:t>单位：万元</w:t>
            </w:r>
          </w:p>
        </w:tc>
      </w:tr>
      <w:tr>
        <w:tblPrEx>
          <w:tblCellMar>
            <w:top w:w="0" w:type="dxa"/>
            <w:left w:w="108" w:type="dxa"/>
            <w:bottom w:w="0" w:type="dxa"/>
            <w:right w:w="108" w:type="dxa"/>
          </w:tblCellMar>
        </w:tblPrEx>
        <w:trPr>
          <w:trHeight w:val="355" w:hRule="atLeast"/>
          <w:tblHeader/>
          <w:jc w:val="center"/>
        </w:trPr>
        <w:tc>
          <w:tcPr>
            <w:tcW w:w="4337"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rPr>
              <w:t>科目</w:t>
            </w:r>
          </w:p>
        </w:tc>
        <w:tc>
          <w:tcPr>
            <w:tcW w:w="979"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总计</w:t>
            </w:r>
          </w:p>
        </w:tc>
        <w:tc>
          <w:tcPr>
            <w:tcW w:w="791"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上年结转结余资金</w:t>
            </w:r>
          </w:p>
        </w:tc>
        <w:tc>
          <w:tcPr>
            <w:tcW w:w="1108"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一般公共预算拨款收入</w:t>
            </w:r>
          </w:p>
        </w:tc>
        <w:tc>
          <w:tcPr>
            <w:tcW w:w="974" w:type="dxa"/>
            <w:vMerge w:val="restart"/>
            <w:tcBorders>
              <w:top w:val="single" w:color="000000" w:sz="4" w:space="0"/>
              <w:left w:val="nil"/>
              <w:right w:val="single" w:color="auto" w:sz="4" w:space="0"/>
            </w:tcBorders>
            <w:vAlign w:val="center"/>
          </w:tcPr>
          <w:p>
            <w:pPr>
              <w:widowControl/>
              <w:spacing w:line="240" w:lineRule="exact"/>
              <w:jc w:val="center"/>
              <w:textAlignment w:val="center"/>
              <w:rPr>
                <w:spacing w:val="-8"/>
              </w:rPr>
            </w:pPr>
            <w:r>
              <w:rPr>
                <w:spacing w:val="-8"/>
                <w:kern w:val="0"/>
              </w:rPr>
              <w:t>政府性基金预算拨款收入</w:t>
            </w:r>
          </w:p>
        </w:tc>
        <w:tc>
          <w:tcPr>
            <w:tcW w:w="96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spacing w:val="-8"/>
              </w:rPr>
            </w:pPr>
            <w:r>
              <w:rPr>
                <w:spacing w:val="-8"/>
                <w:kern w:val="0"/>
              </w:rPr>
              <w:t>国有资本经营预算拨款收入</w:t>
            </w:r>
          </w:p>
        </w:tc>
        <w:tc>
          <w:tcPr>
            <w:tcW w:w="794" w:type="dxa"/>
            <w:vMerge w:val="restart"/>
            <w:tcBorders>
              <w:top w:val="single" w:color="000000" w:sz="4" w:space="0"/>
              <w:left w:val="single" w:color="auto" w:sz="4" w:space="0"/>
              <w:right w:val="single" w:color="000000" w:sz="4" w:space="0"/>
            </w:tcBorders>
            <w:vAlign w:val="center"/>
          </w:tcPr>
          <w:p>
            <w:pPr>
              <w:widowControl/>
              <w:spacing w:line="240" w:lineRule="exact"/>
              <w:jc w:val="center"/>
              <w:textAlignment w:val="center"/>
              <w:rPr>
                <w:spacing w:val="-8"/>
                <w:kern w:val="0"/>
              </w:rPr>
            </w:pPr>
            <w:r>
              <w:rPr>
                <w:spacing w:val="-8"/>
                <w:kern w:val="0"/>
              </w:rPr>
              <w:t>事业</w:t>
            </w:r>
          </w:p>
          <w:p>
            <w:pPr>
              <w:widowControl/>
              <w:spacing w:line="240" w:lineRule="exact"/>
              <w:jc w:val="center"/>
              <w:textAlignment w:val="center"/>
              <w:rPr>
                <w:spacing w:val="-8"/>
              </w:rPr>
            </w:pPr>
            <w:r>
              <w:rPr>
                <w:spacing w:val="-8"/>
                <w:kern w:val="0"/>
              </w:rPr>
              <w:t>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财政专户管理收入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上级补助收入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附属单位上缴收入</w:t>
            </w:r>
          </w:p>
        </w:tc>
        <w:tc>
          <w:tcPr>
            <w:tcW w:w="794"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rPr>
            </w:pPr>
            <w:r>
              <w:rPr>
                <w:spacing w:val="-8"/>
                <w:kern w:val="0"/>
              </w:rPr>
              <w:t>事业单位经营收入</w:t>
            </w:r>
          </w:p>
        </w:tc>
        <w:tc>
          <w:tcPr>
            <w:tcW w:w="836" w:type="dxa"/>
            <w:vMerge w:val="restart"/>
            <w:tcBorders>
              <w:top w:val="single" w:color="000000" w:sz="4" w:space="0"/>
              <w:left w:val="nil"/>
              <w:right w:val="single" w:color="000000" w:sz="4" w:space="0"/>
            </w:tcBorders>
            <w:vAlign w:val="center"/>
          </w:tcPr>
          <w:p>
            <w:pPr>
              <w:widowControl/>
              <w:spacing w:line="240" w:lineRule="exact"/>
              <w:jc w:val="center"/>
              <w:textAlignment w:val="center"/>
              <w:rPr>
                <w:spacing w:val="-8"/>
                <w:kern w:val="0"/>
              </w:rPr>
            </w:pPr>
            <w:r>
              <w:rPr>
                <w:spacing w:val="-8"/>
                <w:kern w:val="0"/>
              </w:rPr>
              <w:t>其他</w:t>
            </w:r>
          </w:p>
          <w:p>
            <w:pPr>
              <w:widowControl/>
              <w:spacing w:line="240" w:lineRule="exact"/>
              <w:jc w:val="center"/>
              <w:textAlignment w:val="center"/>
              <w:rPr>
                <w:spacing w:val="-8"/>
              </w:rPr>
            </w:pPr>
            <w:r>
              <w:rPr>
                <w:spacing w:val="-8"/>
                <w:kern w:val="0"/>
              </w:rPr>
              <w:t>收入</w:t>
            </w:r>
          </w:p>
        </w:tc>
      </w:tr>
      <w:tr>
        <w:tblPrEx>
          <w:tblCellMar>
            <w:top w:w="0" w:type="dxa"/>
            <w:left w:w="108" w:type="dxa"/>
            <w:bottom w:w="0" w:type="dxa"/>
            <w:right w:w="108" w:type="dxa"/>
          </w:tblCellMar>
        </w:tblPrEx>
        <w:trPr>
          <w:trHeight w:val="355" w:hRule="atLeast"/>
          <w:tblHeader/>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科目编码</w:t>
            </w:r>
          </w:p>
        </w:tc>
        <w:tc>
          <w:tcPr>
            <w:tcW w:w="3187" w:type="dxa"/>
            <w:tcBorders>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科目名称</w:t>
            </w:r>
          </w:p>
        </w:tc>
        <w:tc>
          <w:tcPr>
            <w:tcW w:w="979" w:type="dxa"/>
            <w:vMerge w:val="continue"/>
            <w:tcBorders>
              <w:top w:val="single" w:color="000000" w:sz="4" w:space="0"/>
              <w:left w:val="nil"/>
              <w:right w:val="single" w:color="000000" w:sz="4" w:space="0"/>
            </w:tcBorders>
            <w:vAlign w:val="center"/>
          </w:tcPr>
          <w:p>
            <w:pPr>
              <w:widowControl/>
              <w:jc w:val="left"/>
              <w:rPr>
                <w:spacing w:val="-8"/>
              </w:rPr>
            </w:pPr>
          </w:p>
        </w:tc>
        <w:tc>
          <w:tcPr>
            <w:tcW w:w="791" w:type="dxa"/>
            <w:vMerge w:val="continue"/>
            <w:tcBorders>
              <w:top w:val="single" w:color="000000" w:sz="4" w:space="0"/>
              <w:left w:val="nil"/>
              <w:right w:val="single" w:color="000000" w:sz="4" w:space="0"/>
            </w:tcBorders>
            <w:vAlign w:val="center"/>
          </w:tcPr>
          <w:p>
            <w:pPr>
              <w:widowControl/>
              <w:jc w:val="left"/>
              <w:rPr>
                <w:spacing w:val="-8"/>
              </w:rPr>
            </w:pPr>
          </w:p>
        </w:tc>
        <w:tc>
          <w:tcPr>
            <w:tcW w:w="1108" w:type="dxa"/>
            <w:vMerge w:val="continue"/>
            <w:tcBorders>
              <w:top w:val="single" w:color="000000" w:sz="4" w:space="0"/>
              <w:left w:val="nil"/>
              <w:right w:val="single" w:color="000000" w:sz="4" w:space="0"/>
            </w:tcBorders>
            <w:vAlign w:val="center"/>
          </w:tcPr>
          <w:p>
            <w:pPr>
              <w:widowControl/>
              <w:jc w:val="left"/>
              <w:rPr>
                <w:spacing w:val="-8"/>
              </w:rPr>
            </w:pPr>
          </w:p>
        </w:tc>
        <w:tc>
          <w:tcPr>
            <w:tcW w:w="974" w:type="dxa"/>
            <w:vMerge w:val="continue"/>
            <w:tcBorders>
              <w:top w:val="single" w:color="000000" w:sz="4" w:space="0"/>
              <w:left w:val="nil"/>
              <w:right w:val="single" w:color="auto" w:sz="4" w:space="0"/>
            </w:tcBorders>
            <w:vAlign w:val="center"/>
          </w:tcPr>
          <w:p>
            <w:pPr>
              <w:widowControl/>
              <w:jc w:val="left"/>
              <w:rPr>
                <w:spacing w:val="-8"/>
              </w:rPr>
            </w:pPr>
          </w:p>
        </w:tc>
        <w:tc>
          <w:tcPr>
            <w:tcW w:w="9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spacing w:val="-8"/>
              </w:rPr>
            </w:pPr>
          </w:p>
        </w:tc>
        <w:tc>
          <w:tcPr>
            <w:tcW w:w="794" w:type="dxa"/>
            <w:vMerge w:val="continue"/>
            <w:tcBorders>
              <w:top w:val="single" w:color="000000" w:sz="4" w:space="0"/>
              <w:left w:val="single" w:color="auto" w:sz="4" w:space="0"/>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794" w:type="dxa"/>
            <w:vMerge w:val="continue"/>
            <w:tcBorders>
              <w:top w:val="single" w:color="000000" w:sz="4" w:space="0"/>
              <w:left w:val="nil"/>
              <w:right w:val="single" w:color="000000" w:sz="4" w:space="0"/>
            </w:tcBorders>
            <w:vAlign w:val="center"/>
          </w:tcPr>
          <w:p>
            <w:pPr>
              <w:widowControl/>
              <w:jc w:val="left"/>
              <w:rPr>
                <w:spacing w:val="-8"/>
              </w:rPr>
            </w:pPr>
          </w:p>
        </w:tc>
        <w:tc>
          <w:tcPr>
            <w:tcW w:w="836" w:type="dxa"/>
            <w:vMerge w:val="continue"/>
            <w:tcBorders>
              <w:top w:val="single" w:color="000000" w:sz="4" w:space="0"/>
              <w:left w:val="nil"/>
              <w:right w:val="single" w:color="000000" w:sz="4" w:space="0"/>
            </w:tcBorders>
            <w:vAlign w:val="center"/>
          </w:tcPr>
          <w:p>
            <w:pPr>
              <w:widowControl/>
              <w:jc w:val="lef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spacing w:line="240" w:lineRule="exact"/>
              <w:rPr>
                <w:spacing w:val="-8"/>
              </w:rPr>
            </w:pPr>
          </w:p>
        </w:tc>
        <w:tc>
          <w:tcPr>
            <w:tcW w:w="3187"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8"/>
              </w:rPr>
            </w:pPr>
            <w:r>
              <w:rPr>
                <w:spacing w:val="-8"/>
                <w:kern w:val="0"/>
              </w:rPr>
              <w:t>合计</w:t>
            </w:r>
          </w:p>
        </w:tc>
        <w:tc>
          <w:tcPr>
            <w:tcW w:w="979"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eastAsia="宋体"/>
                <w:spacing w:val="-8"/>
                <w:lang w:val="en-US" w:eastAsia="zh-CN"/>
              </w:rPr>
            </w:pPr>
            <w:r>
              <w:rPr>
                <w:rFonts w:hint="eastAsia"/>
                <w:spacing w:val="-8"/>
                <w:lang w:val="en-US" w:eastAsia="zh-CN"/>
              </w:rPr>
              <w:t>43.73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1108"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eastAsia="宋体" w:cs="Times New Roman"/>
                <w:spacing w:val="-8"/>
                <w:kern w:val="2"/>
                <w:sz w:val="21"/>
                <w:szCs w:val="24"/>
                <w:lang w:val="en-US" w:eastAsia="zh-CN" w:bidi="ar-SA"/>
              </w:rPr>
            </w:pPr>
            <w:r>
              <w:rPr>
                <w:rFonts w:hint="eastAsia"/>
                <w:spacing w:val="-8"/>
                <w:lang w:val="en-US" w:eastAsia="zh-CN"/>
              </w:rPr>
              <w:t>43.73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nil"/>
              <w:right w:val="nil"/>
            </w:tcBorders>
            <w:vAlign w:val="center"/>
          </w:tcPr>
          <w:p>
            <w:pPr>
              <w:spacing w:line="240" w:lineRule="exact"/>
              <w:jc w:val="center"/>
              <w:rPr>
                <w:spacing w:val="-8"/>
              </w:rPr>
            </w:pPr>
          </w:p>
        </w:tc>
        <w:tc>
          <w:tcPr>
            <w:tcW w:w="794" w:type="dxa"/>
            <w:tcBorders>
              <w:top w:val="single" w:color="000000" w:sz="4" w:space="0"/>
              <w:left w:val="single" w:color="000000" w:sz="4" w:space="0"/>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文化旅游体育与传媒支出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文化和旅游</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2070109</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群众文化</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208</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社会保障和就业支出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3.80</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2.53</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2.53</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lang w:val="en-US" w:eastAsia="zh-CN"/>
              </w:rPr>
              <w:t>1.27</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1.27</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2.22</w:t>
            </w:r>
          </w:p>
        </w:tc>
        <w:tc>
          <w:tcPr>
            <w:tcW w:w="791"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2.22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jc w:val="righ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rFonts w:hint="default" w:eastAsia="宋体"/>
                <w:spacing w:val="-8"/>
                <w:lang w:val="en-US" w:eastAsia="zh-CN"/>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499"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2101102</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974" w:type="dxa"/>
            <w:tcBorders>
              <w:top w:val="single" w:color="000000" w:sz="4" w:space="0"/>
              <w:left w:val="nil"/>
              <w:bottom w:val="single" w:color="000000"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2101199</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974" w:type="dxa"/>
            <w:tcBorders>
              <w:top w:val="single" w:color="000000" w:sz="4" w:space="0"/>
              <w:left w:val="nil"/>
              <w:bottom w:val="single" w:color="auto" w:sz="4" w:space="0"/>
              <w:right w:val="single" w:color="000000" w:sz="4" w:space="0"/>
            </w:tcBorders>
            <w:vAlign w:val="center"/>
          </w:tcPr>
          <w:p>
            <w:pPr>
              <w:spacing w:line="240" w:lineRule="exact"/>
              <w:jc w:val="center"/>
              <w:rPr>
                <w:spacing w:val="-8"/>
              </w:rPr>
            </w:pPr>
          </w:p>
        </w:tc>
        <w:tc>
          <w:tcPr>
            <w:tcW w:w="966"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836"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3187"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979" w:type="dxa"/>
            <w:tcBorders>
              <w:top w:val="single" w:color="000000" w:sz="4" w:space="0"/>
              <w:left w:val="nil"/>
              <w:bottom w:val="single" w:color="000000"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791" w:type="dxa"/>
            <w:tcBorders>
              <w:top w:val="single" w:color="000000" w:sz="4" w:space="0"/>
              <w:left w:val="nil"/>
              <w:bottom w:val="single" w:color="000000"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000000"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97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spacing w:val="-8"/>
              </w:rPr>
            </w:pPr>
          </w:p>
        </w:tc>
        <w:tc>
          <w:tcPr>
            <w:tcW w:w="966"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794"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c>
          <w:tcPr>
            <w:tcW w:w="836" w:type="dxa"/>
            <w:tcBorders>
              <w:top w:val="single" w:color="auto" w:sz="4" w:space="0"/>
              <w:left w:val="single" w:color="auto" w:sz="4" w:space="0"/>
              <w:bottom w:val="single" w:color="auto" w:sz="4" w:space="0"/>
              <w:right w:val="single" w:color="auto"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115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318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979"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791" w:type="dxa"/>
            <w:tcBorders>
              <w:top w:val="single" w:color="000000" w:sz="4" w:space="0"/>
              <w:left w:val="nil"/>
              <w:bottom w:val="single" w:color="auto" w:sz="4" w:space="0"/>
              <w:right w:val="single" w:color="000000" w:sz="4" w:space="0"/>
            </w:tcBorders>
            <w:vAlign w:val="center"/>
          </w:tcPr>
          <w:p>
            <w:pPr>
              <w:spacing w:line="240" w:lineRule="exact"/>
              <w:rPr>
                <w:spacing w:val="-8"/>
              </w:rPr>
            </w:pPr>
          </w:p>
        </w:tc>
        <w:tc>
          <w:tcPr>
            <w:tcW w:w="110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974" w:type="dxa"/>
            <w:tcBorders>
              <w:top w:val="single" w:color="auto" w:sz="4" w:space="0"/>
              <w:left w:val="nil"/>
              <w:bottom w:val="single" w:color="auto" w:sz="4" w:space="0"/>
              <w:right w:val="single" w:color="000000" w:sz="4" w:space="0"/>
            </w:tcBorders>
            <w:vAlign w:val="center"/>
          </w:tcPr>
          <w:p>
            <w:pPr>
              <w:spacing w:line="240" w:lineRule="exact"/>
              <w:jc w:val="center"/>
              <w:rPr>
                <w:spacing w:val="-8"/>
              </w:rPr>
            </w:pPr>
          </w:p>
        </w:tc>
        <w:tc>
          <w:tcPr>
            <w:tcW w:w="966"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794" w:type="dxa"/>
            <w:tcBorders>
              <w:top w:val="single" w:color="auto" w:sz="4" w:space="0"/>
              <w:left w:val="nil"/>
              <w:bottom w:val="single" w:color="auto" w:sz="4" w:space="0"/>
              <w:right w:val="single" w:color="000000" w:sz="4" w:space="0"/>
            </w:tcBorders>
            <w:vAlign w:val="center"/>
          </w:tcPr>
          <w:p>
            <w:pPr>
              <w:spacing w:line="240" w:lineRule="exact"/>
              <w:rPr>
                <w:spacing w:val="-8"/>
              </w:rPr>
            </w:pPr>
          </w:p>
        </w:tc>
        <w:tc>
          <w:tcPr>
            <w:tcW w:w="836" w:type="dxa"/>
            <w:tcBorders>
              <w:top w:val="single" w:color="auto" w:sz="4" w:space="0"/>
              <w:left w:val="nil"/>
              <w:bottom w:val="single" w:color="auto" w:sz="4" w:space="0"/>
              <w:right w:val="single" w:color="000000" w:sz="4" w:space="0"/>
            </w:tcBorders>
            <w:vAlign w:val="center"/>
          </w:tcPr>
          <w:p>
            <w:pPr>
              <w:spacing w:line="240" w:lineRule="exact"/>
              <w:rPr>
                <w:spacing w:val="-8"/>
              </w:rPr>
            </w:pPr>
          </w:p>
        </w:tc>
      </w:tr>
      <w:tr>
        <w:tblPrEx>
          <w:tblCellMar>
            <w:top w:w="0" w:type="dxa"/>
            <w:left w:w="108" w:type="dxa"/>
            <w:bottom w:w="0" w:type="dxa"/>
            <w:right w:w="108" w:type="dxa"/>
          </w:tblCellMar>
        </w:tblPrEx>
        <w:trPr>
          <w:trHeight w:val="340"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0" w:type="auto"/>
            <w:tcBorders>
              <w:top w:val="single" w:color="auto" w:sz="4" w:space="0"/>
              <w:left w:val="single" w:color="auto" w:sz="4" w:space="0"/>
              <w:bottom w:val="single" w:color="auto" w:sz="4" w:space="0"/>
              <w:right w:val="single" w:color="auto" w:sz="4" w:space="0"/>
            </w:tcBorders>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0" w:type="auto"/>
            <w:tcBorders>
              <w:top w:val="single" w:color="auto" w:sz="4" w:space="0"/>
              <w:left w:val="single" w:color="auto" w:sz="4" w:space="0"/>
              <w:bottom w:val="single" w:color="auto" w:sz="4" w:space="0"/>
              <w:right w:val="single" w:color="auto" w:sz="4" w:space="0"/>
            </w:tcBorders>
          </w:tcPr>
          <w:p>
            <w:pPr>
              <w:spacing w:line="240" w:lineRule="exact"/>
              <w:jc w:val="center"/>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c>
          <w:tcPr>
            <w:tcW w:w="0" w:type="auto"/>
            <w:tcBorders>
              <w:top w:val="single" w:color="auto" w:sz="4" w:space="0"/>
              <w:left w:val="single" w:color="auto" w:sz="4" w:space="0"/>
              <w:bottom w:val="single" w:color="auto" w:sz="4" w:space="0"/>
              <w:right w:val="single" w:color="auto" w:sz="4" w:space="0"/>
            </w:tcBorders>
          </w:tcPr>
          <w:p>
            <w:pPr>
              <w:spacing w:line="240" w:lineRule="exact"/>
              <w:rPr>
                <w:spacing w:val="-8"/>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3"/>
        <w:tblW w:w="13984" w:type="dxa"/>
        <w:jc w:val="center"/>
        <w:tblLayout w:type="fixed"/>
        <w:tblCellMar>
          <w:top w:w="0" w:type="dxa"/>
          <w:left w:w="108" w:type="dxa"/>
          <w:bottom w:w="0" w:type="dxa"/>
          <w:right w:w="108" w:type="dxa"/>
        </w:tblCellMar>
      </w:tblPr>
      <w:tblGrid>
        <w:gridCol w:w="1970"/>
        <w:gridCol w:w="5548"/>
        <w:gridCol w:w="2217"/>
        <w:gridCol w:w="2217"/>
        <w:gridCol w:w="2032"/>
      </w:tblGrid>
      <w:tr>
        <w:tblPrEx>
          <w:tblCellMar>
            <w:top w:w="0" w:type="dxa"/>
            <w:left w:w="108" w:type="dxa"/>
            <w:bottom w:w="0" w:type="dxa"/>
            <w:right w:w="108" w:type="dxa"/>
          </w:tblCellMar>
        </w:tblPrEx>
        <w:trPr>
          <w:trHeight w:val="340" w:hRule="atLeast"/>
          <w:tblHeader/>
          <w:jc w:val="center"/>
        </w:trPr>
        <w:tc>
          <w:tcPr>
            <w:tcW w:w="13984" w:type="dxa"/>
            <w:gridSpan w:val="5"/>
            <w:tcBorders>
              <w:top w:val="nil"/>
              <w:left w:val="nil"/>
              <w:bottom w:val="nil"/>
              <w:right w:val="nil"/>
            </w:tcBorders>
            <w:vAlign w:val="center"/>
          </w:tcPr>
          <w:p>
            <w:pPr>
              <w:widowControl/>
              <w:spacing w:line="600" w:lineRule="exact"/>
              <w:jc w:val="center"/>
              <w:textAlignment w:val="center"/>
              <w:rPr>
                <w:rFonts w:eastAsia="仿宋_GB2312"/>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kern w:val="0"/>
                <w:sz w:val="40"/>
                <w:szCs w:val="40"/>
              </w:rPr>
              <w:t>部门支出总表</w:t>
            </w:r>
          </w:p>
        </w:tc>
      </w:tr>
      <w:tr>
        <w:tblPrEx>
          <w:tblCellMar>
            <w:top w:w="0" w:type="dxa"/>
            <w:left w:w="108" w:type="dxa"/>
            <w:bottom w:w="0" w:type="dxa"/>
            <w:right w:w="108" w:type="dxa"/>
          </w:tblCellMar>
        </w:tblPrEx>
        <w:trPr>
          <w:trHeight w:val="327" w:hRule="atLeast"/>
          <w:tblHeader/>
          <w:jc w:val="center"/>
        </w:trPr>
        <w:tc>
          <w:tcPr>
            <w:tcW w:w="1970" w:type="dxa"/>
            <w:tcBorders>
              <w:top w:val="nil"/>
              <w:left w:val="nil"/>
              <w:bottom w:val="nil"/>
              <w:right w:val="nil"/>
            </w:tcBorders>
            <w:vAlign w:val="center"/>
          </w:tcPr>
          <w:p/>
        </w:tc>
        <w:tc>
          <w:tcPr>
            <w:tcW w:w="5548" w:type="dxa"/>
            <w:tcBorders>
              <w:top w:val="nil"/>
              <w:left w:val="nil"/>
              <w:bottom w:val="nil"/>
              <w:right w:val="nil"/>
            </w:tcBorders>
            <w:vAlign w:val="center"/>
          </w:tcPr>
          <w:p>
            <w:pPr>
              <w:jc w:val="center"/>
            </w:pPr>
          </w:p>
        </w:tc>
        <w:tc>
          <w:tcPr>
            <w:tcW w:w="2217" w:type="dxa"/>
            <w:tcBorders>
              <w:top w:val="nil"/>
              <w:left w:val="nil"/>
              <w:bottom w:val="nil"/>
              <w:right w:val="nil"/>
            </w:tcBorders>
            <w:vAlign w:val="center"/>
          </w:tcPr>
          <w:p/>
        </w:tc>
        <w:tc>
          <w:tcPr>
            <w:tcW w:w="2217" w:type="dxa"/>
            <w:tcBorders>
              <w:top w:val="nil"/>
              <w:left w:val="nil"/>
              <w:bottom w:val="nil"/>
              <w:right w:val="nil"/>
            </w:tcBorders>
            <w:vAlign w:val="center"/>
          </w:tcPr>
          <w:p/>
        </w:tc>
        <w:tc>
          <w:tcPr>
            <w:tcW w:w="2032" w:type="dxa"/>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90" w:hRule="atLeast"/>
          <w:tblHeader/>
          <w:jc w:val="center"/>
        </w:trPr>
        <w:tc>
          <w:tcPr>
            <w:tcW w:w="19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科目编码</w:t>
            </w:r>
          </w:p>
        </w:tc>
        <w:tc>
          <w:tcPr>
            <w:tcW w:w="5548"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科目名称</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基本支出</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项目支出</w:t>
            </w:r>
          </w:p>
        </w:tc>
      </w:tr>
      <w:tr>
        <w:tblPrEx>
          <w:tblCellMar>
            <w:top w:w="0" w:type="dxa"/>
            <w:left w:w="108" w:type="dxa"/>
            <w:bottom w:w="0" w:type="dxa"/>
            <w:right w:w="108" w:type="dxa"/>
          </w:tblCellMar>
        </w:tblPrEx>
        <w:trPr>
          <w:trHeight w:val="327" w:hRule="atLeast"/>
          <w:jc w:val="center"/>
        </w:trPr>
        <w:tc>
          <w:tcPr>
            <w:tcW w:w="751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c>
          <w:tcPr>
            <w:tcW w:w="2217"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r>
              <w:rPr>
                <w:rFonts w:hint="eastAsia"/>
                <w:lang w:val="en-US" w:eastAsia="zh-CN"/>
              </w:rPr>
              <w:t>43.73</w:t>
            </w:r>
          </w:p>
        </w:tc>
        <w:tc>
          <w:tcPr>
            <w:tcW w:w="2032" w:type="dxa"/>
            <w:tcBorders>
              <w:top w:val="single" w:color="000000" w:sz="4" w:space="0"/>
              <w:left w:val="nil"/>
              <w:bottom w:val="single" w:color="000000" w:sz="4" w:space="0"/>
              <w:right w:val="single" w:color="000000"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000000" w:sz="4" w:space="0"/>
              <w:left w:val="single" w:color="000000" w:sz="4" w:space="0"/>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w:t>
            </w:r>
          </w:p>
        </w:tc>
        <w:tc>
          <w:tcPr>
            <w:tcW w:w="5548"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文化旅游体育与传媒支出</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217" w:type="dxa"/>
            <w:tcBorders>
              <w:top w:val="single" w:color="000000" w:sz="4" w:space="0"/>
              <w:left w:val="nil"/>
              <w:bottom w:val="single" w:color="auto" w:sz="4" w:space="0"/>
              <w:right w:val="single" w:color="000000"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032" w:type="dxa"/>
            <w:tcBorders>
              <w:top w:val="single" w:color="000000" w:sz="4" w:space="0"/>
              <w:left w:val="nil"/>
              <w:bottom w:val="single" w:color="auto" w:sz="4" w:space="0"/>
              <w:right w:val="single" w:color="000000"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00" w:firstLineChars="1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文化和旅游</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400" w:firstLineChars="20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2070109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群众文化</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35.81</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208</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color w:val="000000"/>
                <w:kern w:val="2"/>
                <w:sz w:val="24"/>
                <w:szCs w:val="24"/>
                <w:u w:val="none"/>
                <w:lang w:val="en-US" w:eastAsia="zh-CN" w:bidi="ar"/>
              </w:rPr>
            </w:pPr>
            <w:r>
              <w:rPr>
                <w:rStyle w:val="11"/>
                <w:rFonts w:hint="eastAsia" w:ascii="宋体" w:hAnsi="宋体" w:cs="宋体"/>
                <w:lang w:val="en-US" w:eastAsia="zh-CN" w:bidi="ar"/>
              </w:rPr>
              <w:t>社会保障和就业支出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行政事业单位养老支出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3.80</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2080505</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机关事业单位基本养老保险缴费支出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2.53</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2.53</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2080506</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机关事业单位职业年金缴费支出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1.27</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Times New Roman" w:hAnsi="Times New Roman" w:eastAsia="宋体" w:cs="Times New Roman"/>
                <w:kern w:val="2"/>
                <w:sz w:val="21"/>
                <w:szCs w:val="24"/>
                <w:lang w:val="en-US" w:eastAsia="zh-CN" w:bidi="ar-SA"/>
              </w:rPr>
            </w:pPr>
            <w:r>
              <w:rPr>
                <w:rFonts w:hint="eastAsia"/>
                <w:lang w:val="en-US" w:eastAsia="zh-CN"/>
              </w:rPr>
              <w:t>1.27</w:t>
            </w:r>
          </w:p>
        </w:tc>
        <w:tc>
          <w:tcPr>
            <w:tcW w:w="2032" w:type="dxa"/>
            <w:tcBorders>
              <w:top w:val="single" w:color="auto" w:sz="4" w:space="0"/>
              <w:left w:val="nil"/>
              <w:bottom w:val="single" w:color="auto" w:sz="4" w:space="0"/>
              <w:right w:val="single" w:color="auto" w:sz="4" w:space="0"/>
            </w:tcBorders>
            <w:vAlign w:val="center"/>
          </w:tcPr>
          <w:p>
            <w:pPr>
              <w:jc w:val="center"/>
              <w:rPr>
                <w:rFonts w:hint="eastAsia"/>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210</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卫生健康支出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2.22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2.22</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21011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行政事业单位医疗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cs="宋体"/>
                <w:i w:val="0"/>
                <w:color w:val="000000"/>
                <w:kern w:val="2"/>
                <w:sz w:val="20"/>
                <w:szCs w:val="20"/>
                <w:u w:val="none"/>
                <w:lang w:val="en-US" w:eastAsia="zh-CN" w:bidi="ar-SA"/>
              </w:rPr>
              <w:t>2.22</w:t>
            </w:r>
          </w:p>
        </w:tc>
        <w:tc>
          <w:tcPr>
            <w:tcW w:w="2032" w:type="dxa"/>
            <w:tcBorders>
              <w:top w:val="single" w:color="auto" w:sz="4" w:space="0"/>
              <w:left w:val="nil"/>
              <w:bottom w:val="single" w:color="auto" w:sz="4" w:space="0"/>
              <w:right w:val="single" w:color="auto" w:sz="4" w:space="0"/>
            </w:tcBorders>
            <w:vAlign w:val="center"/>
          </w:tcPr>
          <w:p>
            <w:pPr>
              <w:jc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2101102</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事业单位医疗</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hint="default"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2101199</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其他行政事业单位医疗支出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0.32</w:t>
            </w:r>
          </w:p>
        </w:tc>
        <w:tc>
          <w:tcPr>
            <w:tcW w:w="2032" w:type="dxa"/>
            <w:tcBorders>
              <w:top w:val="single" w:color="auto" w:sz="4" w:space="0"/>
              <w:left w:val="nil"/>
              <w:bottom w:val="single" w:color="auto" w:sz="4" w:space="0"/>
              <w:right w:val="single" w:color="auto" w:sz="4" w:space="0"/>
            </w:tcBorders>
            <w:vAlign w:val="center"/>
          </w:tcPr>
          <w:p>
            <w:pPr>
              <w:jc w:val="cente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221</w:t>
            </w:r>
          </w:p>
        </w:tc>
        <w:tc>
          <w:tcPr>
            <w:tcW w:w="554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Fonts w:hint="eastAsia" w:ascii="宋体" w:hAnsi="宋体" w:eastAsia="宋体" w:cs="宋体"/>
                <w:i w:val="0"/>
                <w:color w:val="000000"/>
                <w:kern w:val="0"/>
                <w:sz w:val="20"/>
                <w:szCs w:val="20"/>
                <w:u w:val="none"/>
                <w:lang w:val="en-US" w:eastAsia="zh-CN" w:bidi="ar"/>
              </w:rPr>
              <w:t>住房保障支出</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21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032" w:type="dxa"/>
            <w:tcBorders>
              <w:top w:val="single" w:color="auto" w:sz="4" w:space="0"/>
              <w:left w:val="nil"/>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197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22102</w:t>
            </w:r>
          </w:p>
        </w:tc>
        <w:tc>
          <w:tcPr>
            <w:tcW w:w="554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住房改革支出</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21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203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eastAsia="宋体"/>
                <w:lang w:val="en-US" w:eastAsia="zh-CN"/>
              </w:rPr>
            </w:pPr>
          </w:p>
        </w:tc>
      </w:tr>
      <w:tr>
        <w:tblPrEx>
          <w:tblCellMar>
            <w:top w:w="0" w:type="dxa"/>
            <w:left w:w="108" w:type="dxa"/>
            <w:bottom w:w="0" w:type="dxa"/>
            <w:right w:w="108" w:type="dxa"/>
          </w:tblCellMar>
        </w:tblPrEx>
        <w:trPr>
          <w:trHeight w:val="327" w:hRule="atLeast"/>
          <w:jc w:val="center"/>
        </w:trPr>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240" w:firstLineChars="10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2210201</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color w:val="000000"/>
                <w:kern w:val="2"/>
                <w:sz w:val="20"/>
                <w:szCs w:val="20"/>
                <w:u w:val="none"/>
                <w:lang w:val="en-US" w:eastAsia="zh-CN" w:bidi="ar-SA"/>
              </w:rPr>
            </w:pPr>
            <w:r>
              <w:rPr>
                <w:rStyle w:val="11"/>
                <w:rFonts w:hint="eastAsia" w:ascii="宋体" w:hAnsi="宋体" w:eastAsia="宋体" w:cs="宋体"/>
                <w:lang w:val="en-US" w:eastAsia="zh-CN" w:bidi="ar"/>
              </w:rPr>
              <w:t xml:space="preserve">  住房公积金</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0" w:type="auto"/>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i w:val="0"/>
                <w:color w:val="000000"/>
                <w:kern w:val="2"/>
                <w:sz w:val="20"/>
                <w:szCs w:val="20"/>
                <w:u w:val="none"/>
                <w:lang w:val="en-US" w:eastAsia="zh-CN" w:bidi="ar-SA"/>
              </w:rPr>
            </w:pPr>
            <w:r>
              <w:rPr>
                <w:rFonts w:hint="eastAsia" w:ascii="宋体" w:hAnsi="宋体" w:cs="宋体"/>
                <w:i w:val="0"/>
                <w:color w:val="000000"/>
                <w:sz w:val="20"/>
                <w:szCs w:val="20"/>
                <w:u w:val="none"/>
                <w:lang w:val="en-US" w:eastAsia="zh-CN"/>
              </w:rPr>
              <w:t>1.90</w:t>
            </w:r>
          </w:p>
        </w:tc>
        <w:tc>
          <w:tcPr>
            <w:tcW w:w="0" w:type="auto"/>
            <w:tcBorders>
              <w:top w:val="single" w:color="auto" w:sz="4" w:space="0"/>
              <w:left w:val="single" w:color="auto" w:sz="4" w:space="0"/>
              <w:bottom w:val="single" w:color="auto" w:sz="4" w:space="0"/>
              <w:right w:val="single" w:color="auto" w:sz="4" w:space="0"/>
            </w:tcBorders>
          </w:tcPr>
          <w:p>
            <w:pPr>
              <w:widowControl/>
              <w:jc w:val="center"/>
              <w:textAlignment w:val="center"/>
              <w:rPr>
                <w:rFonts w:hint="default" w:eastAsia="宋体"/>
                <w:lang w:val="en-US" w:eastAsia="zh-CN"/>
              </w:rPr>
            </w:pPr>
          </w:p>
        </w:tc>
      </w:tr>
    </w:tbl>
    <w:p>
      <w:pPr>
        <w:widowControl/>
        <w:jc w:val="left"/>
        <w:rPr>
          <w:rFonts w:eastAsia="方正黑体_GBK"/>
          <w:sz w:val="32"/>
          <w:szCs w:val="32"/>
        </w:rPr>
        <w:sectPr>
          <w:pgSz w:w="16838" w:h="11906" w:orient="landscape"/>
          <w:pgMar w:top="1418" w:right="1418" w:bottom="1418" w:left="1418" w:header="851" w:footer="992" w:gutter="0"/>
          <w:cols w:space="720" w:num="1"/>
          <w:docGrid w:linePitch="312" w:charSpace="0"/>
        </w:sectPr>
      </w:pPr>
    </w:p>
    <w:p>
      <w:pPr>
        <w:pStyle w:val="2"/>
        <w:spacing w:line="600" w:lineRule="exact"/>
        <w:rPr>
          <w:rFonts w:eastAsia="方正黑体_GBK"/>
          <w:sz w:val="32"/>
          <w:szCs w:val="32"/>
        </w:rPr>
      </w:pPr>
      <w:r>
        <w:rPr>
          <w:rFonts w:eastAsia="方正黑体_GBK"/>
          <w:sz w:val="32"/>
          <w:szCs w:val="32"/>
        </w:rPr>
        <w:t>附件9</w:t>
      </w:r>
    </w:p>
    <w:tbl>
      <w:tblPr>
        <w:tblStyle w:val="3"/>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rPr>
          <w:rFonts w:eastAsia="仿宋_GB2312"/>
          <w:sz w:val="20"/>
          <w:szCs w:val="20"/>
        </w:rPr>
      </w:pPr>
      <w:r>
        <w:rPr>
          <w:rFonts w:eastAsia="仿宋_GB2312"/>
          <w:sz w:val="20"/>
          <w:szCs w:val="20"/>
        </w:rPr>
        <w:t xml:space="preserve"> </w:t>
      </w:r>
    </w:p>
    <w:p>
      <w:pPr>
        <w:pStyle w:val="2"/>
        <w:spacing w:line="600" w:lineRule="exact"/>
        <w:rPr>
          <w:rFonts w:eastAsia="仿宋_GB2312"/>
          <w:sz w:val="20"/>
          <w:szCs w:val="20"/>
        </w:rPr>
      </w:pPr>
      <w:r>
        <w:rPr>
          <w:rFonts w:eastAsia="仿宋_GB2312"/>
          <w:sz w:val="20"/>
          <w:szCs w:val="20"/>
        </w:rPr>
        <w:br w:type="page"/>
      </w:r>
      <w:r>
        <w:rPr>
          <w:rFonts w:eastAsia="方正黑体_GBK"/>
          <w:sz w:val="32"/>
          <w:szCs w:val="32"/>
        </w:rPr>
        <w:t>附件10</w:t>
      </w:r>
      <w:r>
        <w:rPr>
          <w:rFonts w:eastAsia="仿宋_GB2312"/>
          <w:sz w:val="20"/>
          <w:szCs w:val="20"/>
        </w:rPr>
        <w:t xml:space="preserve"> </w:t>
      </w:r>
    </w:p>
    <w:tbl>
      <w:tblPr>
        <w:tblStyle w:val="3"/>
        <w:tblW w:w="13972" w:type="dxa"/>
        <w:jc w:val="center"/>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FFFFFF"/>
            <w:vAlign w:val="center"/>
          </w:tcPr>
          <w:p>
            <w:pPr>
              <w:spacing w:line="600" w:lineRule="exact"/>
              <w:jc w:val="center"/>
              <w:rPr>
                <w:rFonts w:eastAsia="方正小标宋_GBK"/>
                <w:sz w:val="40"/>
                <w:szCs w:val="40"/>
              </w:rPr>
            </w:pPr>
            <w:r>
              <w:rPr>
                <w:rFonts w:eastAsia="方正小标宋_GBK"/>
                <w:kern w:val="0"/>
                <w:sz w:val="40"/>
                <w:szCs w:val="40"/>
              </w:rPr>
              <w:t>重庆市潼南区</w:t>
            </w:r>
            <w:r>
              <w:rPr>
                <w:rFonts w:hint="eastAsia" w:eastAsia="方正小标宋_GBK"/>
                <w:kern w:val="0"/>
                <w:sz w:val="40"/>
                <w:szCs w:val="40"/>
                <w:lang w:eastAsia="zh-CN"/>
              </w:rPr>
              <w:t>玉溪文化服务中心</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FFFFFF"/>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FFFFFF"/>
            <w:vAlign w:val="center"/>
          </w:tcPr>
          <w:p>
            <w:pPr>
              <w:spacing w:line="240" w:lineRule="exact"/>
              <w:jc w:val="left"/>
              <w:rPr>
                <w:spacing w:val="-6"/>
              </w:rPr>
            </w:pPr>
          </w:p>
        </w:tc>
        <w:tc>
          <w:tcPr>
            <w:tcW w:w="2401" w:type="dxa"/>
            <w:tcBorders>
              <w:top w:val="nil"/>
              <w:left w:val="nil"/>
              <w:bottom w:val="nil"/>
              <w:right w:val="nil"/>
            </w:tcBorders>
            <w:shd w:val="clear" w:color="auto" w:fill="FFFFFF"/>
            <w:vAlign w:val="center"/>
          </w:tcPr>
          <w:p>
            <w:pPr>
              <w:spacing w:line="240" w:lineRule="exact"/>
              <w:jc w:val="left"/>
              <w:rPr>
                <w:spacing w:val="-6"/>
              </w:rPr>
            </w:pPr>
          </w:p>
        </w:tc>
        <w:tc>
          <w:tcPr>
            <w:tcW w:w="966" w:type="dxa"/>
            <w:tcBorders>
              <w:top w:val="nil"/>
              <w:left w:val="nil"/>
              <w:bottom w:val="nil"/>
              <w:right w:val="nil"/>
            </w:tcBorders>
            <w:shd w:val="clear" w:color="auto" w:fill="FFFFFF"/>
            <w:vAlign w:val="center"/>
          </w:tcPr>
          <w:p>
            <w:pPr>
              <w:spacing w:line="240" w:lineRule="exact"/>
              <w:jc w:val="left"/>
              <w:rPr>
                <w:spacing w:val="-6"/>
              </w:rPr>
            </w:pPr>
          </w:p>
        </w:tc>
        <w:tc>
          <w:tcPr>
            <w:tcW w:w="1049" w:type="dxa"/>
            <w:tcBorders>
              <w:top w:val="nil"/>
              <w:left w:val="nil"/>
              <w:bottom w:val="nil"/>
              <w:right w:val="nil"/>
            </w:tcBorders>
            <w:shd w:val="clear" w:color="auto" w:fill="FFFFFF"/>
            <w:vAlign w:val="center"/>
          </w:tcPr>
          <w:p>
            <w:pPr>
              <w:spacing w:line="240" w:lineRule="exact"/>
              <w:jc w:val="left"/>
              <w:rPr>
                <w:spacing w:val="-6"/>
              </w:rPr>
            </w:pPr>
          </w:p>
        </w:tc>
        <w:tc>
          <w:tcPr>
            <w:tcW w:w="885" w:type="dxa"/>
            <w:tcBorders>
              <w:top w:val="nil"/>
              <w:left w:val="nil"/>
              <w:bottom w:val="nil"/>
              <w:right w:val="nil"/>
            </w:tcBorders>
            <w:shd w:val="clear" w:color="auto" w:fill="FFFFFF"/>
            <w:vAlign w:val="center"/>
          </w:tcPr>
          <w:p>
            <w:pPr>
              <w:spacing w:line="240" w:lineRule="exact"/>
              <w:jc w:val="left"/>
              <w:rPr>
                <w:spacing w:val="-6"/>
              </w:rPr>
            </w:pPr>
          </w:p>
        </w:tc>
        <w:tc>
          <w:tcPr>
            <w:tcW w:w="818" w:type="dxa"/>
            <w:tcBorders>
              <w:top w:val="nil"/>
              <w:left w:val="nil"/>
              <w:bottom w:val="nil"/>
              <w:right w:val="nil"/>
            </w:tcBorders>
            <w:shd w:val="clear" w:color="auto" w:fill="FFFFFF"/>
            <w:vAlign w:val="center"/>
          </w:tcPr>
          <w:p>
            <w:pPr>
              <w:spacing w:line="240" w:lineRule="exact"/>
              <w:jc w:val="left"/>
              <w:rPr>
                <w:spacing w:val="-6"/>
              </w:rPr>
            </w:pPr>
          </w:p>
        </w:tc>
        <w:tc>
          <w:tcPr>
            <w:tcW w:w="4262" w:type="dxa"/>
            <w:gridSpan w:val="5"/>
            <w:tcBorders>
              <w:top w:val="nil"/>
              <w:left w:val="nil"/>
              <w:bottom w:val="nil"/>
              <w:right w:val="nil"/>
            </w:tcBorders>
            <w:shd w:val="clear" w:color="auto" w:fill="FFFFFF"/>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FFFFFF"/>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90" w:hRule="atLeast"/>
          <w:tblHeader/>
          <w:jc w:val="center"/>
        </w:trPr>
        <w:tc>
          <w:tcPr>
            <w:tcW w:w="427" w:type="dxa"/>
            <w:vMerge w:val="continue"/>
            <w:tcBorders>
              <w:top w:val="single" w:color="000000" w:sz="4" w:space="0"/>
              <w:left w:val="single" w:color="000000" w:sz="4" w:space="0"/>
              <w:bottom w:val="nil"/>
              <w:right w:val="single" w:color="000000" w:sz="4" w:space="0"/>
            </w:tcBorders>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FFFFFF"/>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nil"/>
              <w:left w:val="nil"/>
              <w:bottom w:val="nil"/>
              <w:right w:val="single" w:color="000000" w:sz="4" w:space="0"/>
            </w:tcBorders>
            <w:shd w:val="clear" w:color="auto" w:fill="FFFFFF"/>
            <w:vAlign w:val="center"/>
          </w:tcPr>
          <w:p>
            <w:pPr>
              <w:widowControl/>
              <w:spacing w:line="240" w:lineRule="exact"/>
              <w:ind w:right="-105" w:rightChars="-50"/>
              <w:jc w:val="left"/>
              <w:textAlignment w:val="center"/>
              <w:rPr>
                <w:spacing w:val="-6"/>
                <w:kern w:val="0"/>
              </w:rPr>
            </w:pPr>
          </w:p>
        </w:tc>
        <w:tc>
          <w:tcPr>
            <w:tcW w:w="1140" w:type="dxa"/>
            <w:tcBorders>
              <w:top w:val="nil"/>
              <w:left w:val="nil"/>
              <w:bottom w:val="nil"/>
              <w:right w:val="single" w:color="000000" w:sz="4" w:space="0"/>
            </w:tcBorders>
            <w:shd w:val="clear" w:color="auto" w:fill="FFFFFF"/>
            <w:vAlign w:val="center"/>
          </w:tcPr>
          <w:p>
            <w:pPr>
              <w:spacing w:line="240" w:lineRule="exact"/>
              <w:jc w:val="left"/>
              <w:rPr>
                <w:spacing w:val="-6"/>
              </w:rPr>
            </w:pPr>
          </w:p>
        </w:tc>
        <w:tc>
          <w:tcPr>
            <w:tcW w:w="2401" w:type="dxa"/>
            <w:tcBorders>
              <w:top w:val="nil"/>
              <w:left w:val="nil"/>
              <w:bottom w:val="nil"/>
              <w:right w:val="single" w:color="000000" w:sz="4" w:space="0"/>
            </w:tcBorders>
            <w:shd w:val="clear" w:color="auto" w:fill="FFFFFF"/>
            <w:vAlign w:val="center"/>
          </w:tcPr>
          <w:p>
            <w:pPr>
              <w:widowControl/>
              <w:spacing w:line="240" w:lineRule="exact"/>
              <w:jc w:val="center"/>
              <w:textAlignment w:val="center"/>
              <w:rPr>
                <w:spacing w:val="-6"/>
              </w:rPr>
            </w:pPr>
            <w:r>
              <w:rPr>
                <w:spacing w:val="-6"/>
                <w:kern w:val="0"/>
              </w:rPr>
              <w:t>合计</w:t>
            </w:r>
          </w:p>
        </w:tc>
        <w:tc>
          <w:tcPr>
            <w:tcW w:w="966"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rFonts w:hint="default" w:eastAsia="宋体"/>
                <w:spacing w:val="-6"/>
                <w:lang w:val="en-US" w:eastAsia="zh-CN"/>
              </w:rPr>
            </w:pPr>
          </w:p>
        </w:tc>
        <w:tc>
          <w:tcPr>
            <w:tcW w:w="1049"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85" w:type="dxa"/>
            <w:tcBorders>
              <w:top w:val="nil"/>
              <w:left w:val="nil"/>
              <w:bottom w:val="nil"/>
              <w:right w:val="single" w:color="000000" w:sz="4" w:space="0"/>
            </w:tcBorders>
            <w:shd w:val="clear" w:color="auto" w:fill="FFFFFF"/>
            <w:vAlign w:val="center"/>
          </w:tcPr>
          <w:p>
            <w:pPr>
              <w:widowControl/>
              <w:spacing w:line="240" w:lineRule="exact"/>
              <w:jc w:val="right"/>
              <w:textAlignment w:val="center"/>
              <w:rPr>
                <w:spacing w:val="-6"/>
              </w:rPr>
            </w:pPr>
          </w:p>
        </w:tc>
        <w:tc>
          <w:tcPr>
            <w:tcW w:w="818"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45"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951"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794" w:type="dxa"/>
            <w:tcBorders>
              <w:top w:val="nil"/>
              <w:left w:val="nil"/>
              <w:bottom w:val="nil"/>
              <w:right w:val="single" w:color="000000" w:sz="4" w:space="0"/>
            </w:tcBorders>
            <w:vAlign w:val="center"/>
          </w:tcPr>
          <w:p>
            <w:pPr>
              <w:widowControl/>
              <w:spacing w:line="240" w:lineRule="exact"/>
              <w:jc w:val="right"/>
              <w:textAlignment w:val="center"/>
              <w:rPr>
                <w:spacing w:val="-6"/>
              </w:rPr>
            </w:pPr>
          </w:p>
        </w:tc>
        <w:tc>
          <w:tcPr>
            <w:tcW w:w="878" w:type="dxa"/>
            <w:tcBorders>
              <w:top w:val="nil"/>
              <w:left w:val="nil"/>
              <w:bottom w:val="nil"/>
              <w:right w:val="single" w:color="000000" w:sz="4" w:space="0"/>
            </w:tcBorders>
            <w:vAlign w:val="center"/>
          </w:tcPr>
          <w:p>
            <w:pPr>
              <w:widowControl/>
              <w:spacing w:line="240" w:lineRule="exact"/>
              <w:jc w:val="right"/>
              <w:textAlignment w:val="center"/>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eastAsia"/>
                <w:color w:val="0000FF"/>
                <w:spacing w:val="-6"/>
                <w:lang w:val="en-US" w:eastAsia="zh-CN"/>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07"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eastAsia" w:eastAsia="宋体"/>
                <w:spacing w:val="-6"/>
                <w:lang w:eastAsia="zh-CN"/>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eastAsia="宋体"/>
                <w:spacing w:val="-6"/>
                <w:kern w:val="0"/>
                <w:lang w:val="en-US" w:eastAsia="zh-CN"/>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spacing w:val="-6"/>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hint="default" w:ascii="Times New Roman" w:hAnsi="Times New Roman" w:eastAsia="宋体" w:cs="Times New Roman"/>
                <w:spacing w:val="-6"/>
                <w:kern w:val="0"/>
                <w:sz w:val="21"/>
                <w:szCs w:val="21"/>
                <w:lang w:val="en-US" w:eastAsia="zh-CN" w:bidi="ar-SA"/>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rFonts w:ascii="Times New Roman" w:hAnsi="Times New Roman" w:eastAsia="宋体" w:cs="Times New Roman"/>
                <w:spacing w:val="-6"/>
                <w:kern w:val="2"/>
                <w:sz w:val="21"/>
                <w:szCs w:val="21"/>
                <w:lang w:val="en-US" w:eastAsia="zh-CN" w:bidi="ar-SA"/>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240" w:lineRule="exact"/>
              <w:jc w:val="center"/>
              <w:textAlignment w:val="center"/>
              <w:rPr>
                <w:rFonts w:hint="default" w:eastAsia="宋体"/>
                <w:spacing w:val="-6"/>
                <w:kern w:val="0"/>
                <w:lang w:val="en-US" w:eastAsia="zh-CN"/>
              </w:rPr>
            </w:pPr>
          </w:p>
        </w:tc>
        <w:tc>
          <w:tcPr>
            <w:tcW w:w="1205" w:type="dxa"/>
            <w:tcBorders>
              <w:top w:val="single" w:color="000000" w:sz="4" w:space="0"/>
              <w:left w:val="nil"/>
              <w:bottom w:val="single" w:color="000000" w:sz="4" w:space="0"/>
              <w:right w:val="single" w:color="000000" w:sz="4" w:space="0"/>
            </w:tcBorders>
            <w:shd w:val="clear" w:color="auto" w:fill="FFFFFF"/>
            <w:vAlign w:val="center"/>
          </w:tcPr>
          <w:p>
            <w:pPr>
              <w:widowControl/>
              <w:spacing w:line="240" w:lineRule="exact"/>
              <w:ind w:right="-105" w:rightChars="-50"/>
              <w:jc w:val="left"/>
              <w:textAlignment w:val="center"/>
              <w:rPr>
                <w:spacing w:val="-6"/>
              </w:rPr>
            </w:pPr>
          </w:p>
        </w:tc>
        <w:tc>
          <w:tcPr>
            <w:tcW w:w="819"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kern w:val="0"/>
              </w:rPr>
            </w:pPr>
          </w:p>
        </w:tc>
        <w:tc>
          <w:tcPr>
            <w:tcW w:w="1140" w:type="dxa"/>
            <w:tcBorders>
              <w:top w:val="single" w:color="000000" w:sz="4" w:space="0"/>
              <w:left w:val="nil"/>
              <w:bottom w:val="single" w:color="000000" w:sz="4" w:space="0"/>
              <w:right w:val="single" w:color="000000" w:sz="4" w:space="0"/>
            </w:tcBorders>
            <w:vAlign w:val="center"/>
          </w:tcPr>
          <w:p>
            <w:pPr>
              <w:widowControl/>
              <w:spacing w:line="240" w:lineRule="exact"/>
              <w:ind w:right="-105" w:rightChars="-50"/>
              <w:jc w:val="left"/>
              <w:textAlignment w:val="center"/>
              <w:rPr>
                <w:spacing w:val="-6"/>
                <w:sz w:val="21"/>
                <w:szCs w:val="21"/>
              </w:rPr>
            </w:pPr>
          </w:p>
        </w:tc>
        <w:tc>
          <w:tcPr>
            <w:tcW w:w="2401"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spacing w:val="-6"/>
              </w:rPr>
            </w:pPr>
          </w:p>
        </w:tc>
        <w:tc>
          <w:tcPr>
            <w:tcW w:w="966"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eastAsia="宋体"/>
                <w:color w:val="000000" w:themeColor="text1"/>
                <w:spacing w:val="-6"/>
                <w:lang w:val="en-US" w:eastAsia="zh-CN"/>
                <w14:textFill>
                  <w14:solidFill>
                    <w14:schemeClr w14:val="tx1"/>
                  </w14:solidFill>
                </w14:textFill>
              </w:rPr>
            </w:pPr>
          </w:p>
        </w:tc>
        <w:tc>
          <w:tcPr>
            <w:tcW w:w="1049"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8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vAlign w:val="center"/>
          </w:tcPr>
          <w:p>
            <w:pPr>
              <w:spacing w:line="240" w:lineRule="exact"/>
              <w:jc w:val="right"/>
              <w:rPr>
                <w:spacing w:val="-6"/>
              </w:rPr>
            </w:pPr>
          </w:p>
        </w:tc>
      </w:tr>
    </w:tbl>
    <w:p>
      <w:pPr>
        <w:widowControl/>
        <w:jc w:val="left"/>
        <w:rPr>
          <w:rFonts w:hint="eastAsia" w:eastAsia="方正黑体_GBK"/>
          <w:sz w:val="32"/>
          <w:szCs w:val="32"/>
          <w:lang w:eastAsia="zh-CN"/>
        </w:rPr>
      </w:pPr>
    </w:p>
    <w:p>
      <w:pPr>
        <w:pStyle w:val="2"/>
        <w:rPr>
          <w:rFonts w:hint="default"/>
          <w:lang w:val="en-US" w:eastAsia="zh-CN"/>
        </w:rPr>
      </w:pPr>
    </w:p>
    <w:sectPr>
      <w:pgSz w:w="16838" w:h="11906" w:orient="landscape"/>
      <w:pgMar w:top="1417" w:right="1440" w:bottom="1417" w:left="1440"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FjNmZlNjM5YTJkOGIwMDY1MWI0NTFmMGI2NTJhMGMifQ=="/>
  </w:docVars>
  <w:rsids>
    <w:rsidRoot w:val="00172A27"/>
    <w:rsid w:val="001133F8"/>
    <w:rsid w:val="00131B4D"/>
    <w:rsid w:val="00172A27"/>
    <w:rsid w:val="0056157F"/>
    <w:rsid w:val="009D0829"/>
    <w:rsid w:val="009D5EB0"/>
    <w:rsid w:val="00D962AA"/>
    <w:rsid w:val="00E9484D"/>
    <w:rsid w:val="00EC1251"/>
    <w:rsid w:val="00F3229F"/>
    <w:rsid w:val="02060234"/>
    <w:rsid w:val="0249007B"/>
    <w:rsid w:val="05311FA6"/>
    <w:rsid w:val="0590125E"/>
    <w:rsid w:val="067363D8"/>
    <w:rsid w:val="087F4893"/>
    <w:rsid w:val="0C131752"/>
    <w:rsid w:val="0FD23BEF"/>
    <w:rsid w:val="0FD90D23"/>
    <w:rsid w:val="114A67E0"/>
    <w:rsid w:val="116E767B"/>
    <w:rsid w:val="12203D82"/>
    <w:rsid w:val="13637D2A"/>
    <w:rsid w:val="13DF4865"/>
    <w:rsid w:val="14C62161"/>
    <w:rsid w:val="1527592D"/>
    <w:rsid w:val="15B119C6"/>
    <w:rsid w:val="17307970"/>
    <w:rsid w:val="18EB46B4"/>
    <w:rsid w:val="19770339"/>
    <w:rsid w:val="1C8C5982"/>
    <w:rsid w:val="1CFA4F26"/>
    <w:rsid w:val="21314EE3"/>
    <w:rsid w:val="230C64FE"/>
    <w:rsid w:val="239C6646"/>
    <w:rsid w:val="24EA08D2"/>
    <w:rsid w:val="26E060BA"/>
    <w:rsid w:val="273112B5"/>
    <w:rsid w:val="27D74B17"/>
    <w:rsid w:val="27EC016B"/>
    <w:rsid w:val="2A7F3009"/>
    <w:rsid w:val="2DBD7D34"/>
    <w:rsid w:val="2EC125C3"/>
    <w:rsid w:val="30383730"/>
    <w:rsid w:val="30755157"/>
    <w:rsid w:val="31670438"/>
    <w:rsid w:val="31D82315"/>
    <w:rsid w:val="33FD5E6B"/>
    <w:rsid w:val="344641CF"/>
    <w:rsid w:val="34546448"/>
    <w:rsid w:val="34DC5305"/>
    <w:rsid w:val="36124076"/>
    <w:rsid w:val="38C120F7"/>
    <w:rsid w:val="39517F11"/>
    <w:rsid w:val="3A8C6E62"/>
    <w:rsid w:val="3ABE1842"/>
    <w:rsid w:val="3BCA553C"/>
    <w:rsid w:val="3C7E15AD"/>
    <w:rsid w:val="3DC13FF1"/>
    <w:rsid w:val="3EB92825"/>
    <w:rsid w:val="3EE72435"/>
    <w:rsid w:val="3FB15CFE"/>
    <w:rsid w:val="42C24CF6"/>
    <w:rsid w:val="44793925"/>
    <w:rsid w:val="465150B5"/>
    <w:rsid w:val="48026DBF"/>
    <w:rsid w:val="4828381B"/>
    <w:rsid w:val="482E26EE"/>
    <w:rsid w:val="4DF72F6D"/>
    <w:rsid w:val="4E4A41D1"/>
    <w:rsid w:val="4EC233B4"/>
    <w:rsid w:val="50970A38"/>
    <w:rsid w:val="50D16369"/>
    <w:rsid w:val="50D42814"/>
    <w:rsid w:val="513C2CB8"/>
    <w:rsid w:val="51EA76C8"/>
    <w:rsid w:val="52000723"/>
    <w:rsid w:val="52336BB3"/>
    <w:rsid w:val="52FB35C3"/>
    <w:rsid w:val="561D61FD"/>
    <w:rsid w:val="56B1699F"/>
    <w:rsid w:val="56DC61AD"/>
    <w:rsid w:val="576F14E4"/>
    <w:rsid w:val="590936E9"/>
    <w:rsid w:val="5B597F82"/>
    <w:rsid w:val="5B6A7475"/>
    <w:rsid w:val="5D656005"/>
    <w:rsid w:val="5E9C14A8"/>
    <w:rsid w:val="60FD77B8"/>
    <w:rsid w:val="63EF48D9"/>
    <w:rsid w:val="648D4AF3"/>
    <w:rsid w:val="64BF4C64"/>
    <w:rsid w:val="65621307"/>
    <w:rsid w:val="67A4705C"/>
    <w:rsid w:val="680F3C5E"/>
    <w:rsid w:val="685E4D0D"/>
    <w:rsid w:val="6A60691D"/>
    <w:rsid w:val="6A953B63"/>
    <w:rsid w:val="706571CF"/>
    <w:rsid w:val="732F037E"/>
    <w:rsid w:val="737940D8"/>
    <w:rsid w:val="73803DB4"/>
    <w:rsid w:val="73FA7A0A"/>
    <w:rsid w:val="75866BBD"/>
    <w:rsid w:val="761900DF"/>
    <w:rsid w:val="78594FCE"/>
    <w:rsid w:val="798811DC"/>
    <w:rsid w:val="79FB68DB"/>
    <w:rsid w:val="7A0258D3"/>
    <w:rsid w:val="7C3E0267"/>
    <w:rsid w:val="7C446A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 w:type="paragraph" w:styleId="6">
    <w:name w:val="List Paragraph"/>
    <w:basedOn w:val="1"/>
    <w:unhideWhenUsed/>
    <w:qFormat/>
    <w:uiPriority w:val="34"/>
    <w:pPr>
      <w:spacing w:line="360" w:lineRule="auto"/>
      <w:ind w:firstLine="420" w:firstLineChars="200"/>
    </w:pPr>
    <w:rPr>
      <w:sz w:val="24"/>
      <w:szCs w:val="22"/>
    </w:rPr>
  </w:style>
  <w:style w:type="character" w:customStyle="1" w:styleId="7">
    <w:name w:val="font31"/>
    <w:basedOn w:val="4"/>
    <w:qFormat/>
    <w:uiPriority w:val="0"/>
    <w:rPr>
      <w:rFonts w:hint="default" w:ascii="Calibri" w:hAnsi="Calibri" w:cs="Calibri"/>
      <w:color w:val="000000"/>
      <w:sz w:val="24"/>
      <w:szCs w:val="24"/>
      <w:u w:val="none"/>
    </w:rPr>
  </w:style>
  <w:style w:type="character" w:customStyle="1" w:styleId="8">
    <w:name w:val="font11"/>
    <w:basedOn w:val="4"/>
    <w:qFormat/>
    <w:uiPriority w:val="0"/>
    <w:rPr>
      <w:rFonts w:hint="eastAsia" w:ascii="宋体" w:hAnsi="宋体" w:eastAsia="宋体" w:cs="宋体"/>
      <w:color w:val="000000"/>
      <w:sz w:val="24"/>
      <w:szCs w:val="24"/>
      <w:u w:val="none"/>
    </w:rPr>
  </w:style>
  <w:style w:type="character" w:customStyle="1" w:styleId="9">
    <w:name w:val="font41"/>
    <w:basedOn w:val="4"/>
    <w:qFormat/>
    <w:uiPriority w:val="0"/>
    <w:rPr>
      <w:rFonts w:hint="eastAsia" w:ascii="宋体" w:hAnsi="宋体" w:eastAsia="宋体" w:cs="宋体"/>
      <w:color w:val="000000"/>
      <w:sz w:val="24"/>
      <w:szCs w:val="24"/>
      <w:u w:val="none"/>
    </w:rPr>
  </w:style>
  <w:style w:type="character" w:customStyle="1" w:styleId="10">
    <w:name w:val="font51"/>
    <w:basedOn w:val="4"/>
    <w:qFormat/>
    <w:uiPriority w:val="0"/>
    <w:rPr>
      <w:rFonts w:hint="default" w:ascii="仿宋_GB2312" w:eastAsia="仿宋_GB2312" w:cs="仿宋_GB2312"/>
      <w:color w:val="000000"/>
      <w:sz w:val="24"/>
      <w:szCs w:val="24"/>
      <w:u w:val="none"/>
    </w:rPr>
  </w:style>
  <w:style w:type="character" w:customStyle="1" w:styleId="11">
    <w:name w:val="font01"/>
    <w:basedOn w:val="4"/>
    <w:qFormat/>
    <w:uiPriority w:val="0"/>
    <w:rPr>
      <w:rFonts w:hint="default" w:ascii="Calibri" w:hAnsi="Calibri" w:cs="Calibri"/>
      <w:color w:val="000000"/>
      <w:sz w:val="24"/>
      <w:szCs w:val="24"/>
      <w:u w:val="none"/>
    </w:rPr>
  </w:style>
  <w:style w:type="character" w:customStyle="1" w:styleId="12">
    <w:name w:val="font61"/>
    <w:basedOn w:val="4"/>
    <w:qFormat/>
    <w:uiPriority w:val="0"/>
    <w:rPr>
      <w:rFonts w:hint="default" w:ascii="Calibri" w:hAnsi="Calibri" w:cs="Calibri"/>
      <w:color w:val="000000"/>
      <w:sz w:val="24"/>
      <w:szCs w:val="24"/>
      <w:u w:val="none"/>
    </w:rPr>
  </w:style>
  <w:style w:type="character" w:customStyle="1" w:styleId="13">
    <w:name w:val="font21"/>
    <w:basedOn w:val="4"/>
    <w:qFormat/>
    <w:uiPriority w:val="0"/>
    <w:rPr>
      <w:rFonts w:hint="eastAsia" w:ascii="宋体" w:hAnsi="宋体" w:eastAsia="宋体" w:cs="宋体"/>
      <w:color w:val="000000"/>
      <w:sz w:val="24"/>
      <w:szCs w:val="24"/>
      <w:u w:val="none"/>
    </w:rPr>
  </w:style>
  <w:style w:type="character" w:customStyle="1" w:styleId="14">
    <w:name w:val="font91"/>
    <w:basedOn w:val="4"/>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3786</Words>
  <Characters>4746</Characters>
  <Lines>35</Lines>
  <Paragraphs>25</Paragraphs>
  <TotalTime>4</TotalTime>
  <ScaleCrop>false</ScaleCrop>
  <LinksUpToDate>false</LinksUpToDate>
  <CharactersWithSpaces>4933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2020-02-18T05:53:00Z</dcterms:created>
  <dc:creator>Administrator</dc:creator>
  <cp:lastModifiedBy>Administrator</cp:lastModifiedBy>
  <cp:lastPrinted>2021-02-01T03:40:00Z</cp:lastPrinted>
  <dcterms:modified xsi:type="dcterms:W3CDTF">2024-03-08T02:51:11Z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A8F51EEB65744CFF9929675596DF9E6B</vt:lpwstr>
  </property>
  <property fmtid="{D5CDD505-2E9C-101B-9397-08002B2CF9AE}" pid="4" name="KSOSaveFontToCloudKey">
    <vt:lpwstr>1034944140_cloud</vt:lpwstr>
  </property>
</Properties>
</file>