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5" w:lineRule="atLeast"/>
        <w:ind w:left="0" w:right="0"/>
        <w:jc w:val="center"/>
      </w:pPr>
      <w:bookmarkStart w:id="0" w:name="_GoBack"/>
      <w:r>
        <w:rPr>
          <w:rFonts w:ascii="方正小标宋简体" w:hAnsi="方正小标宋简体" w:eastAsia="方正小标宋简体" w:cs="方正小标宋简体"/>
          <w:color w:val="282828"/>
          <w:sz w:val="44"/>
          <w:szCs w:val="44"/>
          <w:shd w:val="clear" w:fill="FFFFFF"/>
        </w:rPr>
        <w:t>民政部关于贯彻落实《国务院关于进一步健全特困人员救助供养制度的意见》的通知</w:t>
      </w:r>
      <w:bookmarkEnd w:id="0"/>
    </w:p>
    <w:p>
      <w:pPr>
        <w:pStyle w:val="2"/>
        <w:keepNext w:val="0"/>
        <w:keepLines w:val="0"/>
        <w:widowControl/>
        <w:suppressLineNumbers w:val="0"/>
        <w:shd w:val="clear" w:fill="FFFFFF"/>
        <w:spacing w:before="0" w:beforeAutospacing="0" w:after="0" w:afterAutospacing="0" w:line="605" w:lineRule="atLeast"/>
        <w:ind w:left="0" w:right="0"/>
        <w:jc w:val="center"/>
      </w:pPr>
      <w:r>
        <w:rPr>
          <w:rFonts w:ascii="仿宋_GB2312" w:hAnsi="宋体" w:eastAsia="仿宋_GB2312" w:cs="仿宋_GB2312"/>
          <w:color w:val="282828"/>
          <w:sz w:val="32"/>
          <w:szCs w:val="32"/>
          <w:shd w:val="clear" w:fill="FFFFFF"/>
        </w:rPr>
        <w:t>民发〔</w:t>
      </w:r>
      <w:r>
        <w:rPr>
          <w:rFonts w:hint="default" w:ascii="仿宋_GB2312" w:eastAsia="仿宋_GB2312" w:cs="仿宋_GB2312"/>
          <w:sz w:val="32"/>
          <w:szCs w:val="32"/>
          <w:shd w:val="clear" w:fill="FFFFFF"/>
        </w:rPr>
        <w:t>2016</w:t>
      </w:r>
      <w:r>
        <w:rPr>
          <w:rFonts w:hint="default" w:ascii="仿宋_GB2312" w:hAnsi="宋体" w:eastAsia="仿宋_GB2312" w:cs="仿宋_GB2312"/>
          <w:sz w:val="32"/>
          <w:szCs w:val="32"/>
          <w:shd w:val="clear" w:fill="FFFFFF"/>
        </w:rPr>
        <w:t>〕</w:t>
      </w:r>
      <w:r>
        <w:rPr>
          <w:rFonts w:hint="default" w:ascii="仿宋_GB2312" w:eastAsia="仿宋_GB2312" w:cs="仿宋_GB2312"/>
          <w:sz w:val="32"/>
          <w:szCs w:val="32"/>
          <w:shd w:val="clear" w:fill="FFFFFF"/>
        </w:rPr>
        <w:t>115</w:t>
      </w:r>
      <w:r>
        <w:rPr>
          <w:rFonts w:hint="default" w:ascii="仿宋_GB2312" w:hAnsi="宋体" w:eastAsia="仿宋_GB2312" w:cs="仿宋_GB2312"/>
          <w:sz w:val="32"/>
          <w:szCs w:val="32"/>
          <w:shd w:val="clear" w:fill="FFFFFF"/>
        </w:rPr>
        <w:t>号</w:t>
      </w:r>
    </w:p>
    <w:p>
      <w:pPr>
        <w:pStyle w:val="2"/>
        <w:keepNext w:val="0"/>
        <w:keepLines w:val="0"/>
        <w:widowControl/>
        <w:suppressLineNumbers w:val="0"/>
        <w:shd w:val="clear" w:fill="FFFFFF"/>
        <w:spacing w:before="101" w:beforeAutospacing="0" w:after="101" w:afterAutospacing="0" w:line="605" w:lineRule="atLeast"/>
        <w:ind w:left="0" w:right="0"/>
        <w:jc w:val="both"/>
      </w:pPr>
      <w:r>
        <w:rPr>
          <w:rFonts w:hint="default" w:ascii="仿宋_GB2312" w:hAnsi="宋体" w:eastAsia="仿宋_GB2312" w:cs="仿宋_GB2312"/>
          <w:color w:val="282828"/>
          <w:sz w:val="32"/>
          <w:szCs w:val="32"/>
          <w:shd w:val="clear" w:fill="FFFFFF"/>
        </w:rPr>
        <w:t>各省、自治区、直辖市民政厅（局），各计划单列市民政局，新疆生产建设兵团民政局：</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国务院印发《关于进一步健全特困人员救助供养制度的意见》（国发〔</w:t>
      </w:r>
      <w:r>
        <w:rPr>
          <w:rFonts w:hint="default" w:ascii="仿宋_GB2312" w:eastAsia="仿宋_GB2312" w:cs="仿宋_GB2312"/>
          <w:sz w:val="32"/>
          <w:szCs w:val="32"/>
          <w:shd w:val="clear" w:fill="FFFFFF"/>
        </w:rPr>
        <w:t>2016</w:t>
      </w:r>
      <w:r>
        <w:rPr>
          <w:rFonts w:hint="default" w:ascii="仿宋_GB2312" w:hAnsi="宋体" w:eastAsia="仿宋_GB2312" w:cs="仿宋_GB2312"/>
          <w:sz w:val="32"/>
          <w:szCs w:val="32"/>
          <w:shd w:val="clear" w:fill="FFFFFF"/>
        </w:rPr>
        <w:t>〕</w:t>
      </w:r>
      <w:r>
        <w:rPr>
          <w:rFonts w:hint="default" w:ascii="仿宋_GB2312" w:eastAsia="仿宋_GB2312" w:cs="仿宋_GB2312"/>
          <w:sz w:val="32"/>
          <w:szCs w:val="32"/>
          <w:shd w:val="clear" w:fill="FFFFFF"/>
        </w:rPr>
        <w:t>14</w:t>
      </w:r>
      <w:r>
        <w:rPr>
          <w:rFonts w:hint="default" w:ascii="仿宋_GB2312" w:hAnsi="宋体" w:eastAsia="仿宋_GB2312" w:cs="仿宋_GB2312"/>
          <w:sz w:val="32"/>
          <w:szCs w:val="32"/>
          <w:shd w:val="clear" w:fill="FFFFFF"/>
        </w:rPr>
        <w:t>号，以下简称《意见》），对做好新形势下的特困人员救助供养工作做出了系统安排，为深入贯彻落实《意见》精神，现就有关事项通知如下：</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ascii="黑体" w:hAnsi="宋体" w:eastAsia="黑体" w:cs="黑体"/>
          <w:color w:val="282828"/>
          <w:sz w:val="32"/>
          <w:szCs w:val="32"/>
          <w:shd w:val="clear" w:fill="FFFFFF"/>
        </w:rPr>
        <w:t>一、充分认识贯彻落实《意见》的重大意义</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特困人员没有劳动能力，没有生活来源，也没有法定赡养抚养扶养义务人或者其法定义务人无履行义务能力，是我国现阶段最困难、最脆弱的人群。为城乡特困人员提供制度化的基本生活保障和照料护理服务，是落实《社会救助暂行办法》的具体举措，是完善社会救助体系、编密织牢基本民生安全网的重要内容，对于坚持共享发展理念、保障和改善民生、如期实现全面建成小康社会奋斗目标具有十分重要的意义。</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各级民政部门要结合贯彻落实党的十八届三中、四中、五中全会精神和习近平总书记系列重要讲话精神，站在保持党和人民群众血肉联系、发挥中国特色社会主义制度优势的高度，充分认识贯彻落实《意见》的重大意义，切实增强责任感、使命感和紧迫感。要全面理解、准确把握《意见》的基本精神和主要内容，将贯彻落实好《意见》精神作为打赢脱贫攻坚战的重要任务和举措抓紧抓好，坚持城乡统筹，强化托底保障，优化服务供给，落实精准救助，切实维护好城乡特困人员的基本生活权益。</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黑体" w:hAnsi="宋体" w:eastAsia="黑体" w:cs="黑体"/>
          <w:color w:val="282828"/>
          <w:sz w:val="32"/>
          <w:szCs w:val="32"/>
          <w:shd w:val="clear" w:fill="FFFFFF"/>
        </w:rPr>
        <w:t>二、全面把握贯彻落实《意见》的重点任务</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各地要根据《意见》要求，结合实际，突出重点，抓紧完善相关配套政策，确保《意见》的有关规定落到实处。特困人员救助供养已经实现城乡统筹的地方，要按照《意见》要求，重点在标准制定、供养服务供给等方面进一步调整完善现有政策；尚未实现城乡统筹的地方，要抓紧健全制度、完善政策、理顺体制、建立机制，尽快部署实施城乡统一的特困人员救助供养制度。</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一）健全完善对象认定条件。各地要进一步细化特困人员“三无”认定条件，可根据申请人的年龄、残疾等级和罹患重病等情况，确定其有无劳动能力；根据申请人的收入是否足以维持其基本生活、财产状况及使用情况等，确定其有无生活来源；根据申请人的法定赡养抚养扶养义务人身体状况、家庭经济状况以及与申请人生活关联情况等，确定其是否具备赡养、抚养或扶养能力。客观评估特困人员生活自理能力。可按照直观、简便、易操作的原则，参照国际通行标准和《劳动能力鉴定职工工伤与职业病致残等级》（</w:t>
      </w:r>
      <w:r>
        <w:rPr>
          <w:rFonts w:hint="default" w:ascii="仿宋_GB2312" w:eastAsia="仿宋_GB2312" w:cs="仿宋_GB2312"/>
          <w:sz w:val="32"/>
          <w:szCs w:val="32"/>
          <w:shd w:val="clear" w:fill="FFFFFF"/>
        </w:rPr>
        <w:t>GB/T16180</w:t>
      </w:r>
      <w:r>
        <w:rPr>
          <w:rFonts w:hint="default" w:ascii="仿宋_GB2312" w:hAnsi="宋体" w:eastAsia="仿宋_GB2312" w:cs="仿宋_GB2312"/>
          <w:sz w:val="32"/>
          <w:szCs w:val="32"/>
          <w:shd w:val="clear" w:fill="FFFFFF"/>
        </w:rPr>
        <w:t>－</w:t>
      </w:r>
      <w:r>
        <w:rPr>
          <w:rFonts w:hint="default" w:ascii="仿宋_GB2312" w:eastAsia="仿宋_GB2312" w:cs="仿宋_GB2312"/>
          <w:sz w:val="32"/>
          <w:szCs w:val="32"/>
          <w:shd w:val="clear" w:fill="FFFFFF"/>
        </w:rPr>
        <w:t>2014</w:t>
      </w:r>
      <w:r>
        <w:rPr>
          <w:rFonts w:hint="default" w:ascii="仿宋_GB2312" w:hAnsi="宋体" w:eastAsia="仿宋_GB2312" w:cs="仿宋_GB2312"/>
          <w:sz w:val="32"/>
          <w:szCs w:val="32"/>
          <w:shd w:val="clear" w:fill="FFFFFF"/>
        </w:rPr>
        <w:t>）、《老年人能力评估》（</w:t>
      </w:r>
      <w:r>
        <w:rPr>
          <w:rFonts w:hint="default" w:ascii="仿宋_GB2312" w:eastAsia="仿宋_GB2312" w:cs="仿宋_GB2312"/>
          <w:sz w:val="32"/>
          <w:szCs w:val="32"/>
          <w:shd w:val="clear" w:fill="FFFFFF"/>
        </w:rPr>
        <w:t>MZ/T039—2013</w:t>
      </w:r>
      <w:r>
        <w:rPr>
          <w:rFonts w:hint="default" w:ascii="仿宋_GB2312" w:hAnsi="宋体" w:eastAsia="仿宋_GB2312" w:cs="仿宋_GB2312"/>
          <w:sz w:val="32"/>
          <w:szCs w:val="32"/>
          <w:shd w:val="clear" w:fill="FFFFFF"/>
        </w:rPr>
        <w:t>）等有关标准，运用是否具备自主吃饭、穿衣、上下床、如厕、室内行走、洗澡能力等</w:t>
      </w:r>
      <w:r>
        <w:rPr>
          <w:rFonts w:hint="default" w:ascii="仿宋_GB2312" w:eastAsia="仿宋_GB2312" w:cs="仿宋_GB2312"/>
          <w:sz w:val="32"/>
          <w:szCs w:val="32"/>
          <w:shd w:val="clear" w:fill="FFFFFF"/>
        </w:rPr>
        <w:t>6</w:t>
      </w:r>
      <w:r>
        <w:rPr>
          <w:rFonts w:hint="default" w:ascii="仿宋_GB2312" w:hAnsi="宋体" w:eastAsia="仿宋_GB2312" w:cs="仿宋_GB2312"/>
          <w:sz w:val="32"/>
          <w:szCs w:val="32"/>
          <w:shd w:val="clear" w:fill="FFFFFF"/>
        </w:rPr>
        <w:t>项指标评估特困人员生活自理能力。</w:t>
      </w:r>
      <w:r>
        <w:rPr>
          <w:rFonts w:hint="default" w:ascii="仿宋_GB2312" w:eastAsia="仿宋_GB2312" w:cs="仿宋_GB2312"/>
          <w:sz w:val="32"/>
          <w:szCs w:val="32"/>
          <w:shd w:val="clear" w:fill="FFFFFF"/>
        </w:rPr>
        <w:t>6</w:t>
      </w:r>
      <w:r>
        <w:rPr>
          <w:rFonts w:hint="default" w:ascii="仿宋_GB2312" w:hAnsi="宋体" w:eastAsia="仿宋_GB2312" w:cs="仿宋_GB2312"/>
          <w:sz w:val="32"/>
          <w:szCs w:val="32"/>
          <w:shd w:val="clear" w:fill="FFFFFF"/>
        </w:rPr>
        <w:t>项都能自主完成的，可认定为具备生活自理能力；有</w:t>
      </w:r>
      <w:r>
        <w:rPr>
          <w:rFonts w:hint="default" w:ascii="仿宋_GB2312" w:eastAsia="仿宋_GB2312" w:cs="仿宋_GB2312"/>
          <w:sz w:val="32"/>
          <w:szCs w:val="32"/>
          <w:shd w:val="clear" w:fill="FFFFFF"/>
        </w:rPr>
        <w:t>1</w:t>
      </w:r>
      <w:r>
        <w:rPr>
          <w:rFonts w:hint="default" w:ascii="仿宋_GB2312" w:hAnsi="宋体" w:eastAsia="仿宋_GB2312" w:cs="仿宋_GB2312"/>
          <w:sz w:val="32"/>
          <w:szCs w:val="32"/>
          <w:shd w:val="clear" w:fill="FFFFFF"/>
        </w:rPr>
        <w:t>－</w:t>
      </w:r>
      <w:r>
        <w:rPr>
          <w:rFonts w:hint="default" w:ascii="仿宋_GB2312" w:eastAsia="仿宋_GB2312" w:cs="仿宋_GB2312"/>
          <w:sz w:val="32"/>
          <w:szCs w:val="32"/>
          <w:shd w:val="clear" w:fill="FFFFFF"/>
        </w:rPr>
        <w:t>3</w:t>
      </w:r>
      <w:r>
        <w:rPr>
          <w:rFonts w:hint="default" w:ascii="仿宋_GB2312" w:hAnsi="宋体" w:eastAsia="仿宋_GB2312" w:cs="仿宋_GB2312"/>
          <w:sz w:val="32"/>
          <w:szCs w:val="32"/>
          <w:shd w:val="clear" w:fill="FFFFFF"/>
        </w:rPr>
        <w:t>项不能自主完成的，可认定为部分丧失生活自理能力；有</w:t>
      </w:r>
      <w:r>
        <w:rPr>
          <w:rFonts w:hint="default" w:ascii="仿宋_GB2312" w:eastAsia="仿宋_GB2312" w:cs="仿宋_GB2312"/>
          <w:sz w:val="32"/>
          <w:szCs w:val="32"/>
          <w:shd w:val="clear" w:fill="FFFFFF"/>
        </w:rPr>
        <w:t>4</w:t>
      </w:r>
      <w:r>
        <w:rPr>
          <w:rFonts w:hint="default" w:ascii="仿宋_GB2312" w:hAnsi="宋体" w:eastAsia="仿宋_GB2312" w:cs="仿宋_GB2312"/>
          <w:sz w:val="32"/>
          <w:szCs w:val="32"/>
          <w:shd w:val="clear" w:fill="FFFFFF"/>
        </w:rPr>
        <w:t>项以上（含</w:t>
      </w:r>
      <w:r>
        <w:rPr>
          <w:rFonts w:hint="default" w:ascii="仿宋_GB2312" w:eastAsia="仿宋_GB2312" w:cs="仿宋_GB2312"/>
          <w:sz w:val="32"/>
          <w:szCs w:val="32"/>
          <w:shd w:val="clear" w:fill="FFFFFF"/>
        </w:rPr>
        <w:t>4</w:t>
      </w:r>
      <w:r>
        <w:rPr>
          <w:rFonts w:hint="default" w:ascii="仿宋_GB2312" w:hAnsi="宋体" w:eastAsia="仿宋_GB2312" w:cs="仿宋_GB2312"/>
          <w:sz w:val="32"/>
          <w:szCs w:val="32"/>
          <w:shd w:val="clear" w:fill="FFFFFF"/>
        </w:rPr>
        <w:t>项）不能自主完成的，可认定为完全丧失生活自理能力。各地要积极探索委托医疗卫生机构、第三方专业机构等开展特困人员生活自理能力评估。尊重基层首创精神，坚持从实际出发，认真总结以往工作实践中切实可行的特困人员认定做法，并及时上升为政策规定。民政部将在总结地方经验、做法的基础上，适时出台特困人员认定办法。</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二）科学制定救助供养标准。按照《意见》要求，特困人员救助供养标准包括基本生活标准和照料护理标准两部分。各地要按照“分类定标、差异服务”的思路，根据特困人员基本生活需求和照料护理需求，合理确定救助供养标准。基本生活标准应当满足特困人员基本生活所需，一般可参照上年度当地居民人均消费支出、人均可支配收入或低保标准的一定比例确定，原则上应不低于当地低保标准的</w:t>
      </w:r>
      <w:r>
        <w:rPr>
          <w:rFonts w:hint="default" w:ascii="仿宋_GB2312" w:eastAsia="仿宋_GB2312" w:cs="仿宋_GB2312"/>
          <w:sz w:val="32"/>
          <w:szCs w:val="32"/>
          <w:shd w:val="clear" w:fill="FFFFFF"/>
        </w:rPr>
        <w:t>1</w:t>
      </w:r>
      <w:r>
        <w:rPr>
          <w:rFonts w:hint="default" w:ascii="仿宋_GB2312" w:hAnsi="宋体" w:eastAsia="仿宋_GB2312" w:cs="仿宋_GB2312"/>
          <w:sz w:val="32"/>
          <w:szCs w:val="32"/>
          <w:shd w:val="clear" w:fill="FFFFFF"/>
        </w:rPr>
        <w:t>．</w:t>
      </w:r>
      <w:r>
        <w:rPr>
          <w:rFonts w:hint="default" w:ascii="仿宋_GB2312" w:eastAsia="仿宋_GB2312" w:cs="仿宋_GB2312"/>
          <w:sz w:val="32"/>
          <w:szCs w:val="32"/>
          <w:shd w:val="clear" w:fill="FFFFFF"/>
        </w:rPr>
        <w:t>3</w:t>
      </w:r>
      <w:r>
        <w:rPr>
          <w:rFonts w:hint="default" w:ascii="仿宋_GB2312" w:hAnsi="宋体" w:eastAsia="仿宋_GB2312" w:cs="仿宋_GB2312"/>
          <w:sz w:val="32"/>
          <w:szCs w:val="32"/>
          <w:shd w:val="clear" w:fill="FFFFFF"/>
        </w:rPr>
        <w:t>倍。照料护理标准应当按照差异化服务原则，依据特困人员生活自理能力和服务需求分档制定，一般可分为三档，参照当地日常生活照料、养老机构护理费用或当地最低工资标准的一定比例确定。救助供养标准要与当地经济社会发展相适应，遵循托底、适度原则，适时调整。省级民政部门要加强对标准制定的统筹和指导，鼓励有条件的省份研究制定全省统一的救助供养标准或指导标准，逐步推进城乡统筹、区域统筹。</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三）落实审核审批主体责任。各地要进一步规范特困人员认定程序，强化审核、审批等关键环节的主体责任。县级人民政府民政部门要指导乡镇人民政府（街道办事处）做好特困人员救助供养申请的受理及调查核实工作，及时提出审核意见；指导乡镇人民政府（街道办事处）以及村（居）民委员会根据日常了解掌握的辖区内居民生活情况，对符合条件的居民做好政策宣讲，对无民事行为能力等无法自主申请的，主动帮助其提出申请。县级人民政府民政部门要全面审查调查材料及审核意见，随机抽查核实，及时作出审批决定，并建立特困人员救助供养档案。规范救助供养终止程序，对不再符合救助供养条件的特困人员，村（居）民委员会或供养服务机构应及时告知乡镇人民政府（街道办事处），按规定启动终止程序，经乡镇人民政府（街道办事处）审核、县级人民政府民政部门审批后，终止救助供养并予以公示。终止救助供养后，符合最低生活保障或其他社会救助条件的，要及时纳入相应救助范围，确保其基本生活有保障。</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四）优化救助供养形式。各地要结合本地区特困人员集中供养工作现状，按照《民政事业发展第十三个五年规划》关于特困人员集中供养的总体要求和目标任务，制定年度实施计划，分解有关量化指标，明确具体工作措施，确保完全或部分丧失生活自理能力的特困人员优先到供养服务机构集中供养，获得稳定的生活照料。鼓励和支持具备生活自理能力的特困人员在家分散供养，可委托其亲友或村（居）民委员会、供养服务机构、社会组织等提供日常看护、生活照料、住院陪护等服务，继续探索推进家庭托养、寄养和社会助养，确保其“平日有人照应、生病有人看护”。有条件的地方，可为分散供养的特困人员提供无偿或低偿的社区日间照料服务。特困人员救助供养金中的照料护理费用，可由县级人民政府民政部门统筹用于购买特困人员照料护理服务。集中供养的，统一用于供养服务机构照料护理开支；分散供养的，由乡镇人民政府（街道办事处）按照委托照料服务协议，用于支付服务费用。县级人民政府民政部门要规范委托服务行为，明确协议中服务项目、费用标准、责任追究等内容；要指导乡镇人民政府（街道办事处）与受托方签订照料服务协议，并加强对协议履行情况的监督，督促约定服务事项落实到位。支持、引导社会工作服务机构和专业社会工作者为特困人员提供困难帮扶、社会融入、心理疏导、资源链接、社会康复、权益维护等专业服务，积极构建物质资金帮扶与心理社会支持相结合、基本照料服务与专业化个性化服务相配套的供养模式。</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五）提升机构管理服务能力。各地要进一步明确政府设立的敬老院、福利院等供养服务机构的功能定位，强化为特困人员服务、满足特困人员集中供养需求的职责和义务，积极推动农村供养服务机构依法办理法人登记，充分发挥托底保障作用。要通过将供养服务机构建设纳入本地区“十三五”经济社会发展规划和社会养老服务体系建设等专项规划，加快推进农村特困人员供养服务机构建设改造和设施达标，重点加强对现有机构的改建、扩建和设施改造，使单张床位面积、无障碍设施改造、应急呼叫系统设置以及消防设备、安全监控系统等符合生活不能自理特困人员照料护理要求，不断提高机构托底保障能力。认真落实《意见》关于“根据服务对象人数和照料护理需求，按照一定比例配备工作人员”的要求，不断充实工作人员队伍，加强护理型服务人员配备，合理配备使用专业社会工作者。通过“引进来”、“送出去”、加强岗位培训等方式，吸引更多的专业人才投身特困人员供养服务，多渠道提升供养服务机构工作人员业务能力。建立健全供养服务机构建设和管理服务标准体系，以标准化建设促进供养服务机构服务能力和服务水平的提升。各省级民政部门要统筹规划本地区农村特困人员供养服务机构建设，增强其在老年人照料、护理方面的区域辐射功能，在满足特困人员集中供养需求的前提下，积极为农村其他低收入、高龄、独居和失能老年人提供养老服务。健全机构内部管理制度，研究制定特困人员照料服务标准，不断提高供养服务机构管理服务的规范化、标准化、专业化水平。鼓励采取公建民营、民办公助等方式，支持社会力量参与供养服务机构建设和运营。积极探索通过政府购买服务等方式向民办机构购买供养服务，满足特困人员多样化、个性化服务需求，统筹各方资源提高供养能力。</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六）加强资金保障和管理。各级民政部门要积极配合财政部门，按照属地管理原则，认真落实《意见》关于“县级以上地方人民政府要将政府设立的供养服务机构运转费用、特困人员救助供养所需资金列入财政预算”的要求，强化资金保障，根据特困人员救助供养标准做好资金需求测算，确保资金安排满足为特困人员提供基本生活保障和照料护理服务的需要。同时，积极拓宽资金筹集渠道，确保敬老院、福利院等供养服务机构正常运行。在分配中央下达的社会养老服务体系建设资金和各级彩票公益金时，要加大对农村特困人员供养服务机构投入力度，确保投入占比逐年提高。规范资金筹集、使用和管理，确保特困人员供养资金及时足额发放、机构运转费用落实到位。</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黑体" w:hAnsi="宋体" w:eastAsia="黑体" w:cs="黑体"/>
          <w:color w:val="282828"/>
          <w:sz w:val="32"/>
          <w:szCs w:val="32"/>
          <w:shd w:val="clear" w:fill="FFFFFF"/>
        </w:rPr>
        <w:t>三、认真做好贯彻落实《意见》的相关工作</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一）健全工作机制。各地要将特困人员救助供养工作列入政府重要议事日程，纳入本地区“十三五”经济社会发展规划，建立健全政府领导、民政牵头、部门配合、社会参与的工作机制。各级民政部门要切实履行主管部门职责，发挥好统筹协调作用，加强与财政、发展改革、卫生计生、教育、住房城乡建设、人力资源社会保障等部门的协调配合，形成工作合力。各级民政部门要加快健全和理顺特困人员救助供养工作管理体制，根据业务职能统一由内设社会救助部门归口管理，确保上下对口、高效联动。</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二）加强督促检查。各地要加强对《意见》落实和特困人员救助供养工作的督促检查，总结推广好的经验做法，及时研究解决存在的突出问题。加快建立特困人员救助供养工作绩效评价机制，加强目标考核，合理运用评价结果，推动工作落实。民政部将会同有关部门适时开展绩效评价和专项检查，并按要求将结果报送中央组织部，作为对省级政府领导班子和有关领导干部综合考核评价的重要参考。</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三）加强宣传培训。各地要结合学习贯彻《社会救助暂行办法》，组织开展业务培训，使各级社会救助工作人员、供养服务机构管理人员全面准确掌握政策、吃透精神、领会要求，切实将特困人员救助供养政策落到实处。要利用城乡社区公共服务综合信息平台、信息宣传栏、宣传册等群众喜闻乐见的途径和形式，加强特困人员救助供养政策宣传，不断提高政策知晓度，使群众了解政策、求助有门。坚持正确的舆论导向，充分发挥供养服务机构“窗口”作用，大力宣传社会救助工作成效和在救助供养工作中涌现的先进人物、感动故事，凝聚人心，汇聚力量，营造全社会关爱特困人员、支持社会救助的良好氛围。</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四）开展摸底排查。各地要抓紧对现有农村五保对象、城市“三无”人员，以及其他符合救助供养条件的困难群众开展一次全面摸底排查，将符合条件的全部纳入救助供养范围，综合评估其生活自理能力，详细了解其集中供养意愿，对完全或者部分丧失生活自理能力的，优先为其提供集中供养服务，做到应救尽救、应养尽养。要按照“一人一档案”的要求，全面建立特困人员分类管理档案。</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各地贯彻落实《意见》的有关情况和出台的政策文件、重要工作信息等，请及时报民政部。</w:t>
      </w:r>
    </w:p>
    <w:p>
      <w:pPr>
        <w:pStyle w:val="2"/>
        <w:keepNext w:val="0"/>
        <w:keepLines w:val="0"/>
        <w:widowControl/>
        <w:suppressLineNumbers w:val="0"/>
        <w:shd w:val="clear" w:fill="FFFFFF"/>
        <w:spacing w:before="101" w:beforeAutospacing="0" w:after="101" w:afterAutospacing="0" w:line="605" w:lineRule="atLeast"/>
        <w:ind w:left="0" w:right="0" w:firstLine="418"/>
        <w:jc w:val="both"/>
      </w:pPr>
      <w:r>
        <w:rPr>
          <w:rFonts w:hint="default" w:ascii="仿宋_GB2312" w:hAnsi="宋体" w:eastAsia="仿宋_GB2312" w:cs="仿宋_GB2312"/>
          <w:color w:val="282828"/>
          <w:sz w:val="32"/>
          <w:szCs w:val="32"/>
          <w:shd w:val="clear" w:fill="FFFFFF"/>
        </w:rPr>
        <w:t>(此件公开发布）</w:t>
      </w:r>
    </w:p>
    <w:p>
      <w:pPr>
        <w:pStyle w:val="2"/>
        <w:keepNext w:val="0"/>
        <w:keepLines w:val="0"/>
        <w:widowControl/>
        <w:suppressLineNumbers w:val="0"/>
        <w:shd w:val="clear" w:fill="FFFFFF"/>
        <w:spacing w:before="101" w:beforeAutospacing="0" w:after="101" w:afterAutospacing="0" w:line="605" w:lineRule="atLeast"/>
        <w:ind w:left="0" w:right="0" w:firstLine="6307"/>
      </w:pPr>
      <w:r>
        <w:rPr>
          <w:rFonts w:hint="default" w:ascii="仿宋_GB2312" w:hAnsi="宋体" w:eastAsia="仿宋_GB2312" w:cs="仿宋_GB2312"/>
          <w:color w:val="282828"/>
          <w:sz w:val="32"/>
          <w:szCs w:val="32"/>
          <w:shd w:val="clear" w:fill="FFFFFF"/>
        </w:rPr>
        <w:t>民政部</w:t>
      </w:r>
    </w:p>
    <w:p>
      <w:pPr>
        <w:pStyle w:val="2"/>
        <w:keepNext w:val="0"/>
        <w:keepLines w:val="0"/>
        <w:widowControl/>
        <w:suppressLineNumbers w:val="0"/>
        <w:shd w:val="clear" w:fill="FFFFFF"/>
        <w:spacing w:before="101" w:beforeAutospacing="0" w:after="0" w:afterAutospacing="0" w:line="605" w:lineRule="atLeast"/>
        <w:ind w:left="0" w:right="0" w:firstLine="5458"/>
      </w:pPr>
      <w:r>
        <w:rPr>
          <w:rFonts w:hint="default" w:ascii="仿宋_GB2312" w:eastAsia="仿宋_GB2312" w:cs="仿宋_GB2312"/>
          <w:color w:val="282828"/>
          <w:sz w:val="32"/>
          <w:szCs w:val="32"/>
          <w:shd w:val="clear" w:fill="FFFFFF"/>
        </w:rPr>
        <w:t>2016</w:t>
      </w:r>
      <w:r>
        <w:rPr>
          <w:rFonts w:hint="default" w:ascii="仿宋_GB2312" w:hAnsi="宋体" w:eastAsia="仿宋_GB2312" w:cs="仿宋_GB2312"/>
          <w:color w:val="282828"/>
          <w:sz w:val="32"/>
          <w:szCs w:val="32"/>
          <w:shd w:val="clear" w:fill="FFFFFF"/>
        </w:rPr>
        <w:t>年</w:t>
      </w:r>
      <w:r>
        <w:rPr>
          <w:rFonts w:hint="default" w:ascii="仿宋_GB2312" w:eastAsia="仿宋_GB2312" w:cs="仿宋_GB2312"/>
          <w:color w:val="282828"/>
          <w:sz w:val="32"/>
          <w:szCs w:val="32"/>
          <w:shd w:val="clear" w:fill="FFFFFF"/>
        </w:rPr>
        <w:t>7</w:t>
      </w:r>
      <w:r>
        <w:rPr>
          <w:rFonts w:hint="default" w:ascii="仿宋_GB2312" w:hAnsi="宋体" w:eastAsia="仿宋_GB2312" w:cs="仿宋_GB2312"/>
          <w:color w:val="282828"/>
          <w:sz w:val="32"/>
          <w:szCs w:val="32"/>
          <w:shd w:val="clear" w:fill="FFFFFF"/>
        </w:rPr>
        <w:t>月</w:t>
      </w:r>
      <w:r>
        <w:rPr>
          <w:rFonts w:hint="default" w:ascii="仿宋_GB2312" w:eastAsia="仿宋_GB2312" w:cs="仿宋_GB2312"/>
          <w:color w:val="282828"/>
          <w:sz w:val="32"/>
          <w:szCs w:val="32"/>
          <w:shd w:val="clear" w:fill="FFFFFF"/>
        </w:rPr>
        <w:t>7</w:t>
      </w:r>
      <w:r>
        <w:rPr>
          <w:rFonts w:hint="default" w:ascii="仿宋_GB2312" w:hAnsi="宋体" w:eastAsia="仿宋_GB2312" w:cs="仿宋_GB2312"/>
          <w:color w:val="282828"/>
          <w:sz w:val="32"/>
          <w:szCs w:val="32"/>
          <w:shd w:val="clear" w:fill="FFFFFF"/>
        </w:rPr>
        <w:t>日</w:t>
      </w:r>
    </w:p>
    <w:p>
      <w:pPr>
        <w:pStyle w:val="2"/>
        <w:keepNext w:val="0"/>
        <w:keepLines w:val="0"/>
        <w:widowControl/>
        <w:suppressLineNumbers w:val="0"/>
        <w:spacing w:before="0" w:beforeAutospacing="0" w:after="0" w:afterAutospacing="0" w:line="240" w:lineRule="atLeast"/>
        <w:ind w:left="0" w:right="0"/>
      </w:pPr>
    </w:p>
    <w:p>
      <w:pPr>
        <w:pStyle w:val="2"/>
        <w:keepNext w:val="0"/>
        <w:keepLines w:val="0"/>
        <w:widowControl/>
        <w:suppressLineNumbers w:val="0"/>
        <w:spacing w:before="0" w:beforeAutospacing="0" w:after="0" w:afterAutospacing="0" w:line="315" w:lineRule="atLeast"/>
        <w:ind w:left="0" w:right="0"/>
      </w:pPr>
    </w:p>
    <w:p>
      <w:pPr>
        <w:rPr>
          <w:rFonts w:hint="eastAsia" w:ascii="Times New Roman" w:hAnsi="Times New Roman" w:eastAsia="方正仿宋_GBK" w:cs="Times New Roman"/>
          <w:sz w:val="32"/>
          <w:szCs w:val="32"/>
          <w:lang w:val="en-US" w:eastAsia="zh-CN"/>
        </w:rPr>
      </w:pPr>
    </w:p>
    <w:sectPr>
      <w:pgSz w:w="11906" w:h="16838"/>
      <w:pgMar w:top="1814" w:right="170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黑体">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DBjNjVjY2IxZTlmNDY5ZGYxYzlhMWYyMjlhYjQifQ=="/>
  </w:docVars>
  <w:rsids>
    <w:rsidRoot w:val="FFBF869E"/>
    <w:rsid w:val="19EC62E3"/>
    <w:rsid w:val="24D2664D"/>
    <w:rsid w:val="26191234"/>
    <w:rsid w:val="28AA6073"/>
    <w:rsid w:val="6ED76ED1"/>
    <w:rsid w:val="FBF0F0CF"/>
    <w:rsid w:val="FFBF8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3450</Words>
  <Characters>3467</Characters>
  <Lines>0</Lines>
  <Paragraphs>0</Paragraphs>
  <TotalTime>1</TotalTime>
  <ScaleCrop>false</ScaleCrop>
  <LinksUpToDate>false</LinksUpToDate>
  <CharactersWithSpaces>3468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2023-05-26T09:13:00Z</dcterms:created>
  <dc:creator>guest</dc:creator>
  <cp:lastModifiedBy>Administrator</cp:lastModifiedBy>
  <dcterms:modified xsi:type="dcterms:W3CDTF">2023-12-05T02:36:37Z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7F079DEA7C934862A32F8D825AF7EA08</vt:lpwstr>
  </property>
</Properties>
</file>