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pacing w:line="600" w:lineRule="exact"/>
        <w:jc w:val="center"/>
        <w:outlineLvl w:val="0"/>
        <w:rPr>
          <w:rFonts w:hint="eastAsia" w:eastAsia="方正小标宋_GBK"/>
          <w:sz w:val="44"/>
          <w:szCs w:val="44"/>
          <w:lang w:val="en-US" w:eastAsia="zh-CN"/>
        </w:rPr>
      </w:pPr>
      <w:r>
        <w:rPr>
          <w:rFonts w:eastAsia="方正小标宋_GBK"/>
          <w:sz w:val="44"/>
          <w:szCs w:val="44"/>
        </w:rPr>
        <w:t>重庆市潼南区</w:t>
      </w:r>
      <w:r>
        <w:rPr>
          <w:rFonts w:hint="eastAsia" w:eastAsia="方正小标宋_GBK"/>
          <w:sz w:val="44"/>
          <w:szCs w:val="44"/>
          <w:lang w:val="en-US" w:eastAsia="zh-CN"/>
        </w:rPr>
        <w:t>五桂镇综合行政执法大队</w:t>
      </w:r>
    </w:p>
    <w:p>
      <w:pPr>
        <w:keepNext w:val="0"/>
        <w:keepLines w:val="0"/>
        <w:pageBreakBefore w:val="0"/>
        <w:kinsoku/>
        <w:wordWrap/>
        <w:overflowPunct/>
        <w:topLinePunct w:val="0"/>
        <w:autoSpaceDE w:val="0"/>
        <w:autoSpaceDN/>
        <w:bidi w:val="0"/>
        <w:adjustRightInd/>
        <w:spacing w:line="60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年部门预算情况说明</w:t>
      </w:r>
    </w:p>
    <w:p>
      <w:pPr>
        <w:keepNext w:val="0"/>
        <w:keepLines w:val="0"/>
        <w:pageBreakBefore w:val="0"/>
        <w:kinsoku/>
        <w:wordWrap/>
        <w:overflowPunct/>
        <w:topLinePunct w:val="0"/>
        <w:autoSpaceDN/>
        <w:bidi w:val="0"/>
        <w:adjustRightInd/>
        <w:spacing w:line="600" w:lineRule="exact"/>
        <w:ind w:firstLine="640" w:firstLineChars="200"/>
        <w:jc w:val="center"/>
        <w:rPr>
          <w:rFonts w:eastAsia="方正仿宋_GBK"/>
          <w:sz w:val="32"/>
          <w:szCs w:val="32"/>
        </w:rPr>
      </w:pPr>
      <w:r>
        <w:rPr>
          <w:rFonts w:eastAsia="仿宋_GB2312"/>
          <w:sz w:val="32"/>
          <w:szCs w:val="32"/>
        </w:rPr>
        <w:t xml:space="preserve"> </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一、单位基本情况</w:t>
      </w:r>
    </w:p>
    <w:p>
      <w:pPr>
        <w:keepNext w:val="0"/>
        <w:keepLines w:val="0"/>
        <w:pageBreakBefore w:val="0"/>
        <w:kinsoku/>
        <w:wordWrap/>
        <w:overflowPunct/>
        <w:topLinePunct w:val="0"/>
        <w:autoSpaceDN/>
        <w:bidi w:val="0"/>
        <w:adjustRightInd/>
        <w:spacing w:line="600" w:lineRule="exact"/>
        <w:ind w:firstLine="684" w:firstLineChars="214"/>
        <w:rPr>
          <w:rFonts w:eastAsia="方正楷体_GBK"/>
          <w:sz w:val="32"/>
          <w:szCs w:val="32"/>
        </w:rPr>
      </w:pPr>
      <w:r>
        <w:rPr>
          <w:rFonts w:eastAsia="方正楷体_GBK"/>
          <w:sz w:val="32"/>
          <w:szCs w:val="32"/>
        </w:rPr>
        <w:t>（一）</w:t>
      </w:r>
      <w:r>
        <w:rPr>
          <w:rFonts w:hint="default" w:eastAsia="方正楷体_GBK"/>
          <w:sz w:val="32"/>
          <w:szCs w:val="32"/>
          <w:lang w:val="en-US" w:eastAsia="zh-CN"/>
        </w:rPr>
        <w:t>职能职责</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负责行使依法授权或委托的农林水利、规划建设、生态环境、卫生健康、文化旅游、民政管理、劳动监察、交通运输、安全生产执法、民族宗教等领域行政执法。</w:t>
      </w:r>
    </w:p>
    <w:p>
      <w:pPr>
        <w:keepNext w:val="0"/>
        <w:keepLines w:val="0"/>
        <w:pageBreakBefore w:val="0"/>
        <w:kinsoku/>
        <w:wordWrap/>
        <w:overflowPunct/>
        <w:topLinePunct w:val="0"/>
        <w:autoSpaceDN/>
        <w:bidi w:val="0"/>
        <w:adjustRightInd/>
        <w:spacing w:line="600" w:lineRule="exact"/>
        <w:ind w:firstLine="684" w:firstLineChars="214"/>
        <w:rPr>
          <w:rFonts w:eastAsia="方正楷体_GBK"/>
          <w:sz w:val="32"/>
          <w:szCs w:val="32"/>
        </w:rPr>
      </w:pPr>
      <w:r>
        <w:rPr>
          <w:rFonts w:eastAsia="方正楷体_GBK"/>
          <w:sz w:val="32"/>
          <w:szCs w:val="32"/>
        </w:rPr>
        <w:t>（二）单位构成</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重庆市潼南区五桂镇综合行政执法大队是重庆市潼南区五桂镇人民政府下属二级预算单位</w:t>
      </w:r>
      <w:r>
        <w:rPr>
          <w:rFonts w:hint="eastAsia" w:eastAsia="方正仿宋_GBK" w:cs="Times New Roman"/>
          <w:kern w:val="2"/>
          <w:sz w:val="32"/>
          <w:szCs w:val="32"/>
          <w:lang w:val="en-US" w:eastAsia="zh-CN" w:bidi="ar-SA"/>
        </w:rPr>
        <w:t>,为全额拨款事业单位</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二、部门收支总体情况</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（一）收入预算：2024年年初预算数63.92万元，其中：一般公共预算拨款63.92万元，政府性基金预算拨款 0万元,国有资本经营预算收入0万元，事业收入0万元，事业单位经营收入0 万元，其他收入0万元，收入较去年</w:t>
      </w:r>
      <w:r>
        <w:rPr>
          <w:rFonts w:hint="eastAsia" w:eastAsia="方正仿宋_GBK" w:cs="Times New Roman"/>
          <w:kern w:val="2"/>
          <w:sz w:val="32"/>
          <w:szCs w:val="32"/>
          <w:lang w:val="en-US" w:eastAsia="zh-CN" w:bidi="ar-SA"/>
        </w:rPr>
        <w:t>减少4.47</w:t>
      </w:r>
      <w:r>
        <w:rPr>
          <w:rFonts w:hint="eastAsia" w:ascii="Times New Roman" w:hAnsi="Times New Roman" w:eastAsia="方正仿宋_GBK" w:cs="Times New Roman"/>
          <w:kern w:val="2"/>
          <w:sz w:val="32"/>
          <w:szCs w:val="32"/>
          <w:lang w:val="en-US" w:eastAsia="zh-CN" w:bidi="ar-SA"/>
        </w:rPr>
        <w:t>万元。</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（二）支出预算：2024年年初预算数 63.92万元，其中：一般公共服务支出支出0.18万元，社会保障和就业支出7.75 万元，卫生健康支出 3.22万元，农林水支出 50.23万元，住房保障支出2.54万元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支出较去年</w:t>
      </w:r>
      <w:r>
        <w:rPr>
          <w:rFonts w:hint="eastAsia" w:eastAsia="方正仿宋_GBK" w:cs="Times New Roman"/>
          <w:kern w:val="2"/>
          <w:sz w:val="32"/>
          <w:szCs w:val="32"/>
          <w:lang w:val="en-US" w:eastAsia="zh-CN" w:bidi="ar-SA"/>
        </w:rPr>
        <w:t>减少4.47</w:t>
      </w:r>
      <w:r>
        <w:rPr>
          <w:rFonts w:hint="eastAsia" w:ascii="Times New Roman" w:hAnsi="Times New Roman" w:eastAsia="方正仿宋_GBK" w:cs="Times New Roman"/>
          <w:kern w:val="2"/>
          <w:sz w:val="32"/>
          <w:szCs w:val="32"/>
          <w:lang w:val="en-US" w:eastAsia="zh-CN" w:bidi="ar-SA"/>
        </w:rPr>
        <w:t>万元。</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三、部门预算情况说明</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2024年一般公共预算财政拨款收入63.92万元，一般公共预算财政拨款支出63.92万元，比2023年</w:t>
      </w:r>
      <w:r>
        <w:rPr>
          <w:rFonts w:hint="eastAsia" w:eastAsia="方正仿宋_GBK" w:cs="Times New Roman"/>
          <w:kern w:val="2"/>
          <w:sz w:val="32"/>
          <w:szCs w:val="32"/>
          <w:lang w:val="en-US" w:eastAsia="zh-CN" w:bidi="ar-SA"/>
        </w:rPr>
        <w:t>减少4.47</w:t>
      </w:r>
      <w:r>
        <w:rPr>
          <w:rFonts w:hint="eastAsia" w:ascii="Times New Roman" w:hAnsi="Times New Roman" w:eastAsia="方正仿宋_GBK" w:cs="Times New Roman"/>
          <w:kern w:val="2"/>
          <w:sz w:val="32"/>
          <w:szCs w:val="32"/>
          <w:lang w:val="en-US" w:eastAsia="zh-CN" w:bidi="ar-SA"/>
        </w:rPr>
        <w:t>万元。其中：基本支出 63.92万元，比2023</w:t>
      </w:r>
      <w:r>
        <w:rPr>
          <w:rFonts w:hint="eastAsia" w:eastAsia="方正仿宋_GBK" w:cs="Times New Roman"/>
          <w:kern w:val="2"/>
          <w:sz w:val="32"/>
          <w:szCs w:val="32"/>
          <w:lang w:val="en-US" w:eastAsia="zh-CN" w:bidi="ar-SA"/>
        </w:rPr>
        <w:t>减少4.47</w:t>
      </w:r>
      <w:r>
        <w:rPr>
          <w:rFonts w:hint="eastAsia" w:ascii="Times New Roman" w:hAnsi="Times New Roman" w:eastAsia="方正仿宋_GBK" w:cs="Times New Roman"/>
          <w:kern w:val="2"/>
          <w:sz w:val="32"/>
          <w:szCs w:val="32"/>
          <w:lang w:val="en-US" w:eastAsia="zh-CN" w:bidi="ar-SA"/>
        </w:rPr>
        <w:t>万元，主要原因</w:t>
      </w:r>
      <w:r>
        <w:rPr>
          <w:rFonts w:hint="eastAsia" w:eastAsia="方正仿宋_GBK" w:cs="Times New Roman"/>
          <w:color w:val="auto"/>
          <w:kern w:val="2"/>
          <w:sz w:val="32"/>
          <w:szCs w:val="32"/>
          <w:lang w:val="en-US" w:eastAsia="zh-CN" w:bidi="ar-SA"/>
        </w:rPr>
        <w:t>是本单位厉行节约政策，减少开支</w:t>
      </w:r>
      <w:r>
        <w:rPr>
          <w:rFonts w:hint="eastAsia" w:ascii="Times New Roman" w:hAnsi="Times New Roman" w:eastAsia="方正仿宋_GBK" w:cs="Times New Roman"/>
          <w:kern w:val="2"/>
          <w:sz w:val="32"/>
          <w:szCs w:val="32"/>
          <w:lang w:val="en-US" w:eastAsia="zh-CN" w:bidi="ar-SA"/>
        </w:rPr>
        <w:t>；项目支出</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与</w:t>
      </w:r>
      <w:r>
        <w:rPr>
          <w:rFonts w:hint="eastAsia" w:ascii="Times New Roman" w:hAnsi="Times New Roman" w:eastAsia="方正仿宋_GBK" w:cs="Times New Roman"/>
          <w:kern w:val="2"/>
          <w:sz w:val="32"/>
          <w:szCs w:val="32"/>
          <w:lang w:val="en-US" w:eastAsia="zh-CN" w:bidi="ar-SA"/>
        </w:rPr>
        <w:t>2023年</w:t>
      </w:r>
      <w:r>
        <w:rPr>
          <w:rFonts w:hint="eastAsia" w:eastAsia="方正仿宋_GBK" w:cs="Times New Roman"/>
          <w:kern w:val="2"/>
          <w:sz w:val="32"/>
          <w:szCs w:val="32"/>
          <w:lang w:val="en-US" w:eastAsia="zh-CN" w:bidi="ar-SA"/>
        </w:rPr>
        <w:t>持平</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2024年政府性基金预算收入0万元，政府性基金预算支出0元，与2023年持平。</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四、“三公”经费情况说明</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本单位</w:t>
      </w:r>
      <w:r>
        <w:rPr>
          <w:rFonts w:hint="eastAsia" w:ascii="Times New Roman" w:hAnsi="Times New Roman" w:eastAsia="方正仿宋_GBK" w:cs="Times New Roman"/>
          <w:kern w:val="2"/>
          <w:sz w:val="32"/>
          <w:szCs w:val="32"/>
          <w:lang w:val="en-US" w:eastAsia="zh-CN" w:bidi="ar-SA"/>
        </w:rPr>
        <w:t>2024年“三公”经费预算</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与2023年持平。</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五、其他重要事项的情况说明</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1、机关运行经费。2024年一般公共预算财政拨款运行经费</w:t>
      </w:r>
      <w:r>
        <w:rPr>
          <w:rFonts w:hint="eastAsia" w:eastAsia="方正仿宋_GBK" w:cs="Times New Roman"/>
          <w:kern w:val="2"/>
          <w:sz w:val="32"/>
          <w:szCs w:val="32"/>
          <w:lang w:val="en-US" w:eastAsia="zh-CN" w:bidi="ar-SA"/>
        </w:rPr>
        <w:t>10.34</w:t>
      </w:r>
      <w:r>
        <w:rPr>
          <w:rFonts w:hint="eastAsia" w:ascii="Times New Roman" w:hAnsi="Times New Roman" w:eastAsia="方正仿宋_GBK" w:cs="Times New Roman"/>
          <w:kern w:val="2"/>
          <w:sz w:val="32"/>
          <w:szCs w:val="32"/>
          <w:lang w:val="en-US" w:eastAsia="zh-CN" w:bidi="ar-SA"/>
        </w:rPr>
        <w:t>万元，比上年</w:t>
      </w:r>
      <w:r>
        <w:rPr>
          <w:rFonts w:hint="eastAsia" w:eastAsia="方正仿宋_GBK" w:cs="Times New Roman"/>
          <w:kern w:val="2"/>
          <w:sz w:val="32"/>
          <w:szCs w:val="32"/>
          <w:lang w:val="en-US" w:eastAsia="zh-CN" w:bidi="ar-SA"/>
        </w:rPr>
        <w:t>减少0.78</w:t>
      </w:r>
      <w:r>
        <w:rPr>
          <w:rFonts w:hint="eastAsia" w:ascii="Times New Roman" w:hAnsi="Times New Roman" w:eastAsia="方正仿宋_GBK" w:cs="Times New Roman"/>
          <w:kern w:val="2"/>
          <w:sz w:val="32"/>
          <w:szCs w:val="32"/>
          <w:lang w:val="en-US" w:eastAsia="zh-CN" w:bidi="ar-SA"/>
        </w:rPr>
        <w:t>万元。机关运行经费主要用于办公费、电费、水费、邮电费、差旅费和其他交通费等。</w:t>
      </w:r>
    </w:p>
    <w:p>
      <w:pPr>
        <w:keepNext w:val="0"/>
        <w:keepLines w:val="0"/>
        <w:pageBreakBefore w:val="0"/>
        <w:kinsoku/>
        <w:wordWrap/>
        <w:overflowPunct/>
        <w:topLinePunct w:val="0"/>
        <w:autoSpaceDN/>
        <w:bidi w:val="0"/>
        <w:adjustRightInd/>
        <w:spacing w:line="600" w:lineRule="exact"/>
        <w:ind w:firstLine="684" w:firstLineChars="214"/>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2、政府采购情况。2024年无政府采购预算。</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3、绩效目标设置情况。2024年项目支出均实行了绩效目标管理，涉及一般公共预算当年财政拨款</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万元,涉及政府性基金预算当年财政拨款0万元。</w:t>
      </w:r>
    </w:p>
    <w:p>
      <w:pPr>
        <w:keepNext w:val="0"/>
        <w:keepLines w:val="0"/>
        <w:pageBreakBefore w:val="0"/>
        <w:kinsoku/>
        <w:wordWrap/>
        <w:overflowPunct/>
        <w:topLinePunct w:val="0"/>
        <w:autoSpaceDN/>
        <w:bidi w:val="0"/>
        <w:adjustRightInd/>
        <w:spacing w:line="600" w:lineRule="exact"/>
        <w:ind w:firstLine="684" w:firstLineChars="214"/>
        <w:rPr>
          <w:rFonts w:hint="eastAsia"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4、国有资产占有使用情况。</w:t>
      </w:r>
      <w:r>
        <w:rPr>
          <w:rFonts w:hint="eastAsia" w:eastAsia="方正仿宋_GBK" w:cs="Times New Roman"/>
          <w:kern w:val="2"/>
          <w:sz w:val="32"/>
          <w:szCs w:val="32"/>
          <w:lang w:val="en-US" w:eastAsia="zh-CN" w:bidi="ar-SA"/>
        </w:rPr>
        <w:t>无。</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keepNext w:val="0"/>
        <w:keepLines w:val="0"/>
        <w:pageBreakBefore w:val="0"/>
        <w:kinsoku/>
        <w:wordWrap/>
        <w:overflowPunct/>
        <w:topLinePunct w:val="0"/>
        <w:autoSpaceDN/>
        <w:bidi w:val="0"/>
        <w:adjustRightInd/>
        <w:spacing w:line="60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N/>
        <w:bidi w:val="0"/>
        <w:adjustRightInd/>
        <w:spacing w:line="600" w:lineRule="exact"/>
        <w:ind w:firstLine="640" w:firstLineChars="200"/>
        <w:rPr>
          <w:rFonts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N/>
        <w:bidi w:val="0"/>
        <w:adjustRightInd/>
        <w:spacing w:line="600" w:lineRule="exact"/>
        <w:ind w:firstLine="640" w:firstLineChars="200"/>
        <w:jc w:val="right"/>
        <w:rPr>
          <w:rFonts w:eastAsia="方正仿宋_GBK"/>
          <w:sz w:val="32"/>
          <w:szCs w:val="32"/>
        </w:rPr>
      </w:pPr>
      <w:bookmarkStart w:id="0" w:name="_GoBack"/>
      <w:bookmarkEnd w:id="0"/>
      <w:r>
        <w:rPr>
          <w:rFonts w:eastAsia="方正仿宋_GBK"/>
          <w:sz w:val="32"/>
          <w:szCs w:val="32"/>
        </w:rPr>
        <w:t>部门预算公开联系人：</w:t>
      </w:r>
      <w:r>
        <w:rPr>
          <w:rFonts w:hint="eastAsia" w:eastAsia="方正仿宋_GBK"/>
          <w:sz w:val="32"/>
          <w:szCs w:val="32"/>
          <w:lang w:eastAsia="zh-CN"/>
        </w:rPr>
        <w:t>黄兵</w:t>
      </w: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jc w:val="right"/>
        <w:rPr>
          <w:rFonts w:hint="default" w:eastAsia="方正仿宋_GBK"/>
          <w:sz w:val="32"/>
          <w:szCs w:val="32"/>
          <w:lang w:val="en-US" w:eastAsia="zh-CN"/>
        </w:rPr>
      </w:pPr>
      <w:r>
        <w:rPr>
          <w:rFonts w:eastAsia="方正仿宋_GBK"/>
          <w:sz w:val="32"/>
          <w:szCs w:val="32"/>
        </w:rPr>
        <w:t>联系方式：</w:t>
      </w:r>
      <w:r>
        <w:rPr>
          <w:rFonts w:hint="eastAsia" w:eastAsia="方正仿宋_GBK"/>
          <w:sz w:val="32"/>
          <w:szCs w:val="32"/>
          <w:lang w:val="en-US" w:eastAsia="zh-CN"/>
        </w:rPr>
        <w:t xml:space="preserve"> 44775513</w:t>
      </w:r>
    </w:p>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footerReference r:id="rId3" w:type="default"/>
          <w:pgSz w:w="11906" w:h="16838"/>
          <w:pgMar w:top="1814" w:right="1701" w:bottom="1814" w:left="1701"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附件1</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81"/>
        <w:gridCol w:w="1126"/>
        <w:gridCol w:w="2528"/>
        <w:gridCol w:w="825"/>
        <w:gridCol w:w="2013"/>
        <w:gridCol w:w="2315"/>
        <w:gridCol w:w="2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00" w:type="pct"/>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五桂镇综合行政执法大队</w:t>
            </w:r>
            <w:r>
              <w:rPr>
                <w:rFonts w:eastAsia="方正小标宋_GBK"/>
                <w:kern w:val="0"/>
                <w:sz w:val="36"/>
                <w:szCs w:val="36"/>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36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合计</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一般公共预算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政府性基金预算</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一、本年收入</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63.92</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63.92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63.92</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63.92</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一般公共服务支出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7.75</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3.22</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50.23</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50.23</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二、上年结转</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二、结转下年</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一般公共预算拨款</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政府性基金预算拨款</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国有资本经营收入</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收入合计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63.92</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支出合计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63.92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63.92</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附件2</w:t>
      </w:r>
    </w:p>
    <w:tbl>
      <w:tblPr>
        <w:tblStyle w:val="8"/>
        <w:tblW w:w="5000"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1"/>
        <w:gridCol w:w="6446"/>
        <w:gridCol w:w="2013"/>
        <w:gridCol w:w="2082"/>
        <w:gridCol w:w="2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4"/>
                <w:szCs w:val="34"/>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五桂镇综合行政执法大队</w:t>
            </w:r>
            <w:r>
              <w:rPr>
                <w:rFonts w:eastAsia="方正小标宋_GBK"/>
                <w:kern w:val="0"/>
                <w:sz w:val="36"/>
                <w:szCs w:val="36"/>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功能分类科目</w:t>
            </w:r>
          </w:p>
        </w:tc>
        <w:tc>
          <w:tcPr>
            <w:tcW w:w="21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63.92</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63.92</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w:t>
            </w:r>
          </w:p>
        </w:tc>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一般公共服务支出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20106</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财政事务</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2010601</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行政运行</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208</w:t>
            </w:r>
          </w:p>
        </w:tc>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社会保障和就业支出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7.75</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7.75</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行政事业单位养老支出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7.75</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7.75</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2080505</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3.39</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3.39</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2080506</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机关事业单位职业年金缴费支出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2080599</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其他行政事业单位养老支出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210</w:t>
            </w:r>
          </w:p>
        </w:tc>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卫生健康支出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行政事业单位医疗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2101101</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行政单位医疗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2101102</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事业单位医疗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2101103</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公务员医疗补助</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2101199</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其他行政事业单位医疗支出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0.68</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0.68</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213</w:t>
            </w:r>
          </w:p>
        </w:tc>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农林水支出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50.23</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50.23</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21301</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农业农村</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50.23</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50.23</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2130110</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执法监管</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50.23</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50.23</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221</w:t>
            </w:r>
          </w:p>
        </w:tc>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住房保障支出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22102</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住房改革支出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2210201</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bl>
    <w:p>
      <w:pPr>
        <w:keepNext w:val="0"/>
        <w:keepLines w:val="0"/>
        <w:pageBreakBefore w:val="0"/>
        <w:widowControl/>
        <w:kinsoku/>
        <w:wordWrap/>
        <w:overflowPunct/>
        <w:topLinePunct w:val="0"/>
        <w:autoSpaceDN/>
        <w:bidi w:val="0"/>
        <w:adjustRightInd/>
        <w:spacing w:line="600" w:lineRule="exact"/>
        <w:jc w:val="left"/>
        <w:rPr>
          <w:rFonts w:hint="eastAsia" w:eastAsia="方正黑体_GBK"/>
          <w:sz w:val="32"/>
          <w:szCs w:val="32"/>
          <w:lang w:val="en-US" w:eastAsia="zh-CN"/>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附件3</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5"/>
        <w:gridCol w:w="5019"/>
        <w:gridCol w:w="1356"/>
        <w:gridCol w:w="2298"/>
        <w:gridCol w:w="3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重庆市潼南区五桂镇综合行政执法大队一般公共预算财政拨款基本支出预算表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5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经济分类科目</w:t>
            </w:r>
          </w:p>
        </w:tc>
        <w:tc>
          <w:tcPr>
            <w:tcW w:w="24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科目编码</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人员经费</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5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63.92</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53.58</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301</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工资福利支出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50.72</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50.72</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30101</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基本工资</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10.75</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10.75</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30102</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津贴补贴</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30107</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绩效工资</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27.02</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27.02</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30108</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机关事业单位基本养老保险缴费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3.39</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3.39</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30109</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职业年金缴费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30110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职工基本医疗保险缴费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30112</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其他社会保障缴费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30113</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住房公积金</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30114</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医疗费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0.48</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0.48</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302</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商品和服务支出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30201</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办公费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5.18</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30202</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印刷费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30216</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培训费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0.16</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30228</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工会经费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0.25</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30229</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福利费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0.74</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30299</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其他商品和服务支出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303</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对个人和家庭的补助</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30307</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医疗费补助</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0.20</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30399</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其他对个人和家庭的补助</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附件4</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1957"/>
        <w:gridCol w:w="516"/>
        <w:gridCol w:w="1476"/>
        <w:gridCol w:w="516"/>
        <w:gridCol w:w="996"/>
        <w:gridCol w:w="1356"/>
        <w:gridCol w:w="876"/>
        <w:gridCol w:w="516"/>
        <w:gridCol w:w="1476"/>
        <w:gridCol w:w="516"/>
        <w:gridCol w:w="997"/>
        <w:gridCol w:w="1357"/>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0" w:type="auto"/>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黑体" w:hAnsi="宋体" w:eastAsia="黑体" w:cs="黑体"/>
                <w:i w:val="0"/>
                <w:iCs w:val="0"/>
                <w:color w:val="000000"/>
                <w:sz w:val="30"/>
                <w:szCs w:val="30"/>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重庆市潼南区五桂镇综合行政执法大队一般公共预算支出“三公”经费预算表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1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2023年预算数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潼南区五桂镇</w:t>
            </w:r>
            <w:r>
              <w:rPr>
                <w:rFonts w:hint="default" w:ascii="宋体" w:hAnsi="宋体" w:eastAsia="宋体" w:cs="宋体"/>
                <w:i w:val="0"/>
                <w:iCs w:val="0"/>
                <w:color w:val="000000"/>
                <w:kern w:val="0"/>
                <w:sz w:val="18"/>
                <w:szCs w:val="18"/>
                <w:u w:val="none"/>
                <w:lang w:val="en-US" w:eastAsia="zh-CN" w:bidi="ar"/>
              </w:rPr>
              <w:t>综合行政执法大队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附件5</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8"/>
        <w:gridCol w:w="5551"/>
        <w:gridCol w:w="2329"/>
        <w:gridCol w:w="2244"/>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5"/>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重庆市潼南区五桂镇综合行政执法大队政府性基金预算支出表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000" w:type="pct"/>
            <w:gridSpan w:val="5"/>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19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24"/>
                <w:szCs w:val="24"/>
                <w:u w:val="none"/>
              </w:rPr>
            </w:pPr>
          </w:p>
        </w:tc>
        <w:tc>
          <w:tcPr>
            <w:tcW w:w="19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5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left"/>
              <w:rPr>
                <w:rFonts w:hint="default" w:ascii="方正仿宋_GBK" w:hAnsi="方正仿宋_GBK" w:eastAsia="方正仿宋_GBK" w:cs="方正仿宋_GBK"/>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0"/>
                <w:szCs w:val="20"/>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（备注：本单位无政府性基金收支，故此表无数据。）</w:t>
            </w: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附件6</w:t>
      </w:r>
    </w:p>
    <w:tbl>
      <w:tblPr>
        <w:tblStyle w:val="8"/>
        <w:tblW w:w="5000"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056"/>
        <w:gridCol w:w="2376"/>
        <w:gridCol w:w="8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4"/>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重庆市潼南区综合行政执法大队五桂镇部门收支总表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4"/>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3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63.92</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63.92</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一般公共服务支出</w:t>
            </w: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财政专户管理资金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事业收入资金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上级补助收入资金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附属单位上缴收入资金 </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事业单位经营收入资金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其他收入资金 </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附件7</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8"/>
        <w:gridCol w:w="2616"/>
        <w:gridCol w:w="621"/>
        <w:gridCol w:w="1373"/>
        <w:gridCol w:w="1371"/>
        <w:gridCol w:w="1467"/>
        <w:gridCol w:w="1274"/>
        <w:gridCol w:w="685"/>
        <w:gridCol w:w="882"/>
        <w:gridCol w:w="1081"/>
        <w:gridCol w:w="1081"/>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12"/>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重庆市潼南区五桂镇综合行政执法大队部门收入总表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000" w:type="pct"/>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2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财政专户管理资金收入</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科目编码</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科目名称</w:t>
            </w: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2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18"/>
                <w:szCs w:val="18"/>
                <w:u w:val="none"/>
              </w:rPr>
            </w:pPr>
            <w:r>
              <w:rPr>
                <w:rFonts w:hint="default" w:ascii="方正仿宋_GBK" w:hAnsi="方正仿宋_GBK" w:eastAsia="方正仿宋_GBK" w:cs="方正仿宋_GBK"/>
                <w:b/>
                <w:bCs/>
                <w:i w:val="0"/>
                <w:iCs w:val="0"/>
                <w:color w:val="000000"/>
                <w:kern w:val="0"/>
                <w:sz w:val="18"/>
                <w:szCs w:val="18"/>
                <w:u w:val="none"/>
                <w:lang w:val="en-US" w:eastAsia="zh-CN" w:bidi="ar"/>
              </w:rPr>
              <w:t>合计</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63.92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63.92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一般公共服务支出</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20106</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财政事务</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2010601</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行政运行</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社会保障和就业支出</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20805</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行政事业单位养老支出</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2080505</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机关事业单位基本养老保险缴费支出</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3.39</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3.39</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2080506</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机关事业单位职业年金缴费支出</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2080599</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其他行政事业单位养老支出</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210</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卫生健康支出</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21011</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行政事业单位医疗</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2101102</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事业单位医疗</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2101199</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其他行政事业单位医疗支出</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0.68</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213</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农林水支出</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50.23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50.23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21301</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农业农村</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50.23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50.23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2130110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执法监管</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50.23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50.23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221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住房保障支出</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22102</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住房改革支出</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2210201</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住房公积金</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附件8</w:t>
      </w:r>
    </w:p>
    <w:tbl>
      <w:tblPr>
        <w:tblStyle w:val="8"/>
        <w:tblW w:w="5000"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7"/>
        <w:gridCol w:w="4183"/>
        <w:gridCol w:w="2679"/>
        <w:gridCol w:w="2593"/>
        <w:gridCol w:w="2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重庆市潼南区五桂镇综合行政执法大队部门支出总表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科目编码</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科目名称</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总计</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基本支出</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3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63.92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63.92</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201</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一般公共服务支出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20106</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财政事务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2010601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208</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7.75</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7.75</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行政事业单位养老支出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7.75</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7.75</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2080505</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机关事业单位基本养老保险缴费支出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3.39</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3.39</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2080506</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机关事业单位职业年金缴费支出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其他行政事业单位养老支出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2.66</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2.66</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210</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3.22</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3.22</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事业单位医疗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其他行政事业单位医疗支出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0.68</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0.68</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213</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50.23</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50.23</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农业农村</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50.23</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50.23</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2130110</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执法监管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50.23</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50.23</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221</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住房改革支出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住房公积金</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附件9</w:t>
      </w:r>
    </w:p>
    <w:tbl>
      <w:tblPr>
        <w:tblStyle w:val="8"/>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keepNext w:val="0"/>
              <w:keepLines w:val="0"/>
              <w:pageBreakBefore w:val="0"/>
              <w:kinsoku/>
              <w:wordWrap/>
              <w:overflowPunct/>
              <w:topLinePunct w:val="0"/>
              <w:autoSpaceDN/>
              <w:bidi w:val="0"/>
              <w:adjustRightInd/>
              <w:spacing w:line="600" w:lineRule="exact"/>
              <w:jc w:val="center"/>
              <w:rPr>
                <w:rFonts w:eastAsia="方正小标宋_GBK"/>
                <w:sz w:val="40"/>
                <w:szCs w:val="40"/>
              </w:rPr>
            </w:pPr>
            <w:r>
              <w:rPr>
                <w:rFonts w:eastAsia="方正小标宋_GBK"/>
                <w:sz w:val="36"/>
                <w:szCs w:val="36"/>
              </w:rPr>
              <w:t>重庆市潼南区</w:t>
            </w:r>
            <w:r>
              <w:rPr>
                <w:rFonts w:hint="eastAsia" w:eastAsia="方正小标宋_GBK"/>
                <w:sz w:val="36"/>
                <w:szCs w:val="36"/>
                <w:lang w:eastAsia="zh-CN"/>
              </w:rPr>
              <w:t>五桂镇</w:t>
            </w:r>
            <w:r>
              <w:rPr>
                <w:rFonts w:hint="default" w:ascii="方正小标宋_GBK" w:hAnsi="方正小标宋_GBK" w:eastAsia="方正小标宋_GBK" w:cs="方正小标宋_GBK"/>
                <w:i w:val="0"/>
                <w:iCs w:val="0"/>
                <w:color w:val="000000"/>
                <w:kern w:val="0"/>
                <w:sz w:val="36"/>
                <w:szCs w:val="36"/>
                <w:u w:val="none"/>
                <w:lang w:val="en-US" w:eastAsia="zh-CN" w:bidi="ar"/>
              </w:rPr>
              <w:t>综合行政执法大队</w:t>
            </w:r>
            <w:r>
              <w:rPr>
                <w:rFonts w:eastAsia="方正小标宋_GBK"/>
                <w:sz w:val="36"/>
                <w:szCs w:val="36"/>
              </w:rPr>
              <w:t>政府采购预算明细表</w:t>
            </w:r>
          </w:p>
        </w:tc>
      </w:tr>
      <w:tr>
        <w:tblPrEx>
          <w:tblCellMar>
            <w:top w:w="0" w:type="dxa"/>
            <w:left w:w="108" w:type="dxa"/>
            <w:bottom w:w="0" w:type="dxa"/>
            <w:right w:w="108" w:type="dxa"/>
          </w:tblCellMar>
        </w:tblPrEx>
        <w:trPr>
          <w:cantSplit/>
          <w:trHeight w:val="329" w:hRule="atLeast"/>
          <w:jc w:val="center"/>
        </w:trPr>
        <w:tc>
          <w:tcPr>
            <w:tcW w:w="13998" w:type="dxa"/>
            <w:gridSpan w:val="12"/>
            <w:tcBorders>
              <w:top w:val="nil"/>
              <w:left w:val="nil"/>
              <w:bottom w:val="nil"/>
              <w:right w:val="nil"/>
            </w:tcBorders>
            <w:vAlign w:val="center"/>
          </w:tcPr>
          <w:p>
            <w:pPr>
              <w:keepNext w:val="0"/>
              <w:keepLines w:val="0"/>
              <w:pageBreakBefore w:val="0"/>
              <w:widowControl/>
              <w:kinsoku/>
              <w:wordWrap/>
              <w:overflowPunct/>
              <w:topLinePunct w:val="0"/>
              <w:autoSpaceDN/>
              <w:bidi w:val="0"/>
              <w:adjustRightInd/>
              <w:spacing w:line="600" w:lineRule="exact"/>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项目</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上年结转结余资金</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合计</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货物类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工程类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服务类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bl>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1202"/>
        <w:gridCol w:w="1202"/>
        <w:gridCol w:w="681"/>
        <w:gridCol w:w="714"/>
        <w:gridCol w:w="714"/>
        <w:gridCol w:w="714"/>
        <w:gridCol w:w="813"/>
        <w:gridCol w:w="680"/>
        <w:gridCol w:w="788"/>
        <w:gridCol w:w="680"/>
        <w:gridCol w:w="5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黑体" w:hAnsi="宋体" w:eastAsia="黑体" w:cs="黑体"/>
                <w:i w:val="0"/>
                <w:iCs w:val="0"/>
                <w:color w:val="000000"/>
                <w:sz w:val="30"/>
                <w:szCs w:val="30"/>
                <w:u w:val="none"/>
              </w:rPr>
            </w:pPr>
            <w:r>
              <w:rPr>
                <w:rFonts w:eastAsia="方正小标宋_GBK"/>
                <w:sz w:val="36"/>
                <w:szCs w:val="36"/>
              </w:rPr>
              <w:t>重庆市潼南区</w:t>
            </w:r>
            <w:r>
              <w:rPr>
                <w:rFonts w:hint="eastAsia" w:eastAsia="方正小标宋_GBK"/>
                <w:sz w:val="36"/>
                <w:szCs w:val="36"/>
                <w:lang w:eastAsia="zh-CN"/>
              </w:rPr>
              <w:t>五桂镇</w:t>
            </w:r>
            <w:r>
              <w:rPr>
                <w:rFonts w:hint="default" w:ascii="方正小标宋_GBK" w:hAnsi="方正小标宋_GBK" w:eastAsia="方正小标宋_GBK" w:cs="方正小标宋_GBK"/>
                <w:i w:val="0"/>
                <w:iCs w:val="0"/>
                <w:color w:val="000000"/>
                <w:kern w:val="0"/>
                <w:sz w:val="36"/>
                <w:szCs w:val="36"/>
                <w:u w:val="none"/>
                <w:lang w:val="en-US" w:eastAsia="zh-CN" w:bidi="ar"/>
              </w:rPr>
              <w:t>综合行政执法大队</w:t>
            </w:r>
            <w:r>
              <w:rPr>
                <w:rFonts w:eastAsia="方正小标宋_GBK"/>
                <w:sz w:val="36"/>
                <w:szCs w:val="36"/>
              </w:rPr>
              <w:t>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序号</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预算单位</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项目名称</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合计</w:t>
            </w:r>
          </w:p>
        </w:tc>
        <w:tc>
          <w:tcPr>
            <w:tcW w:w="1039"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年初特定目标</w:t>
            </w:r>
          </w:p>
        </w:tc>
        <w:tc>
          <w:tcPr>
            <w:tcW w:w="2733"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上级专项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小计</w:t>
            </w: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人员性项目</w:t>
            </w: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一般性项目</w:t>
            </w:r>
          </w:p>
        </w:tc>
        <w:tc>
          <w:tcPr>
            <w:tcW w:w="283"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民生配套项目</w:t>
            </w:r>
          </w:p>
        </w:tc>
        <w:tc>
          <w:tcPr>
            <w:tcW w:w="239"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小计</w:t>
            </w:r>
          </w:p>
        </w:tc>
        <w:tc>
          <w:tcPr>
            <w:tcW w:w="27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提前下达专项</w:t>
            </w:r>
          </w:p>
        </w:tc>
        <w:tc>
          <w:tcPr>
            <w:tcW w:w="239"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结转项目</w:t>
            </w:r>
          </w:p>
        </w:tc>
        <w:tc>
          <w:tcPr>
            <w:tcW w:w="1975"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市级专项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bl>
    <w:p>
      <w:pPr>
        <w:pStyle w:val="5"/>
        <w:keepNext w:val="0"/>
        <w:keepLines w:val="0"/>
        <w:pageBreakBefore w:val="0"/>
        <w:kinsoku/>
        <w:wordWrap/>
        <w:overflowPunct/>
        <w:topLinePunct w:val="0"/>
        <w:autoSpaceDN/>
        <w:bidi w:val="0"/>
        <w:adjustRightInd/>
        <w:spacing w:line="600" w:lineRule="exact"/>
        <w:sectPr>
          <w:footerReference r:id="rId4" w:type="default"/>
          <w:pgSz w:w="16838" w:h="11906" w:orient="landscape"/>
          <w:pgMar w:top="1418" w:right="1418" w:bottom="1418" w:left="1418" w:header="851" w:footer="992" w:gutter="0"/>
          <w:cols w:space="0" w:num="1"/>
          <w:docGrid w:linePitch="312" w:charSpace="0"/>
        </w:sectPr>
      </w:pPr>
    </w:p>
    <w:p>
      <w:pPr>
        <w:pStyle w:val="5"/>
        <w:keepNext w:val="0"/>
        <w:keepLines w:val="0"/>
        <w:pageBreakBefore w:val="0"/>
        <w:kinsoku/>
        <w:wordWrap/>
        <w:overflowPunct/>
        <w:topLinePunct w:val="0"/>
        <w:autoSpaceDN/>
        <w:bidi w:val="0"/>
        <w:adjustRightInd/>
        <w:spacing w:line="600" w:lineRule="exact"/>
      </w:pPr>
    </w:p>
    <w:sectPr>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B244B317-9337-4733-A57D-CD0F850D3A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E0000" w:usb2="00000000" w:usb3="00000000" w:csb0="00040000" w:csb1="00000000"/>
    <w:embedRegular r:id="rId2" w:fontKey="{E88A78B5-616E-4853-BB18-C52E8D1AF44F}"/>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B3A8AD25-0589-4A1C-9F37-B61E1F9789F1}"/>
  </w:font>
  <w:font w:name="仿宋_GB2312">
    <w:panose1 w:val="02010609030101010101"/>
    <w:charset w:val="86"/>
    <w:family w:val="modern"/>
    <w:pitch w:val="default"/>
    <w:sig w:usb0="00000001" w:usb1="080E0000" w:usb2="00000000" w:usb3="00000000" w:csb0="00040000" w:csb1="00000000"/>
    <w:embedRegular r:id="rId4" w:fontKey="{4EFE26E4-2836-44AA-B4C8-434FD51E5656}"/>
  </w:font>
  <w:font w:name="方正黑体_GBK">
    <w:panose1 w:val="03000509000000000000"/>
    <w:charset w:val="86"/>
    <w:family w:val="script"/>
    <w:pitch w:val="default"/>
    <w:sig w:usb0="00000001" w:usb1="080E0000" w:usb2="00000000" w:usb3="00000000" w:csb0="00040000" w:csb1="00000000"/>
    <w:embedRegular r:id="rId5" w:fontKey="{4E4716F6-3EB9-4C4F-861E-7E2D4B927366}"/>
  </w:font>
  <w:font w:name="方正楷体_GBK">
    <w:panose1 w:val="02000000000000000000"/>
    <w:charset w:val="86"/>
    <w:family w:val="script"/>
    <w:pitch w:val="default"/>
    <w:sig w:usb0="800002BF" w:usb1="38CF7CFA" w:usb2="00000016" w:usb3="00000000" w:csb0="00040000" w:csb1="00000000"/>
    <w:embedRegular r:id="rId6" w:fontKey="{1CEFC0AC-A926-4F5F-9F86-83A586EFE46C}"/>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408</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DJiZDc2YzE4NzhkOTYxYzA1NTYzNTkzZmIyZjY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1BCA"/>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97CDB"/>
    <w:rsid w:val="008C2C83"/>
    <w:rsid w:val="008D3E31"/>
    <w:rsid w:val="008D7B5B"/>
    <w:rsid w:val="00970311"/>
    <w:rsid w:val="00980EE4"/>
    <w:rsid w:val="0099444A"/>
    <w:rsid w:val="009C0815"/>
    <w:rsid w:val="009F24FE"/>
    <w:rsid w:val="009F256A"/>
    <w:rsid w:val="00A00605"/>
    <w:rsid w:val="00A272F2"/>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10549E3"/>
    <w:rsid w:val="01274366"/>
    <w:rsid w:val="01401A60"/>
    <w:rsid w:val="015A016E"/>
    <w:rsid w:val="016417A4"/>
    <w:rsid w:val="02177A6B"/>
    <w:rsid w:val="02276CDE"/>
    <w:rsid w:val="02E60851"/>
    <w:rsid w:val="02F216FC"/>
    <w:rsid w:val="0318024C"/>
    <w:rsid w:val="033579B8"/>
    <w:rsid w:val="03FB4339"/>
    <w:rsid w:val="04227034"/>
    <w:rsid w:val="04371904"/>
    <w:rsid w:val="04622B4E"/>
    <w:rsid w:val="051B68CD"/>
    <w:rsid w:val="053C0B8D"/>
    <w:rsid w:val="059D461C"/>
    <w:rsid w:val="05B34E63"/>
    <w:rsid w:val="05E00732"/>
    <w:rsid w:val="05E16ED2"/>
    <w:rsid w:val="06616243"/>
    <w:rsid w:val="06E64DB5"/>
    <w:rsid w:val="07D74CDF"/>
    <w:rsid w:val="07DF2BAA"/>
    <w:rsid w:val="0802440D"/>
    <w:rsid w:val="087459EC"/>
    <w:rsid w:val="089F1C5C"/>
    <w:rsid w:val="09066342"/>
    <w:rsid w:val="09717916"/>
    <w:rsid w:val="099C40FB"/>
    <w:rsid w:val="09CE41EC"/>
    <w:rsid w:val="0A8F3F52"/>
    <w:rsid w:val="0AE40C5E"/>
    <w:rsid w:val="0B624041"/>
    <w:rsid w:val="0B970E43"/>
    <w:rsid w:val="0BDB62C7"/>
    <w:rsid w:val="0C777EF8"/>
    <w:rsid w:val="0CCF4ADA"/>
    <w:rsid w:val="0CEC743A"/>
    <w:rsid w:val="0D566B03"/>
    <w:rsid w:val="0D8C7292"/>
    <w:rsid w:val="0DEE03B4"/>
    <w:rsid w:val="0E1C182B"/>
    <w:rsid w:val="0E3F7123"/>
    <w:rsid w:val="0EDE3D15"/>
    <w:rsid w:val="0F910D13"/>
    <w:rsid w:val="10455B23"/>
    <w:rsid w:val="10D97499"/>
    <w:rsid w:val="11327C27"/>
    <w:rsid w:val="116019C8"/>
    <w:rsid w:val="119D3C86"/>
    <w:rsid w:val="11B5604C"/>
    <w:rsid w:val="122C1D03"/>
    <w:rsid w:val="12344F34"/>
    <w:rsid w:val="123F4338"/>
    <w:rsid w:val="1270142A"/>
    <w:rsid w:val="12A1218B"/>
    <w:rsid w:val="12D1658C"/>
    <w:rsid w:val="12F80A67"/>
    <w:rsid w:val="13367EB4"/>
    <w:rsid w:val="13E13E88"/>
    <w:rsid w:val="144D4292"/>
    <w:rsid w:val="147B7FDB"/>
    <w:rsid w:val="14946A93"/>
    <w:rsid w:val="14DB1FD4"/>
    <w:rsid w:val="151D77DE"/>
    <w:rsid w:val="15235D67"/>
    <w:rsid w:val="152449FC"/>
    <w:rsid w:val="154B54F4"/>
    <w:rsid w:val="15681628"/>
    <w:rsid w:val="15DF1E5E"/>
    <w:rsid w:val="15E71D72"/>
    <w:rsid w:val="166E74A4"/>
    <w:rsid w:val="16A803DE"/>
    <w:rsid w:val="16B44623"/>
    <w:rsid w:val="16EB42BE"/>
    <w:rsid w:val="17052AB3"/>
    <w:rsid w:val="18145165"/>
    <w:rsid w:val="18231D1A"/>
    <w:rsid w:val="185E0ADF"/>
    <w:rsid w:val="187B6642"/>
    <w:rsid w:val="18A04534"/>
    <w:rsid w:val="18D80A32"/>
    <w:rsid w:val="19406586"/>
    <w:rsid w:val="19923A40"/>
    <w:rsid w:val="19A75E26"/>
    <w:rsid w:val="19BE7AD9"/>
    <w:rsid w:val="1A5D6290"/>
    <w:rsid w:val="1AA62AE4"/>
    <w:rsid w:val="1B486BE9"/>
    <w:rsid w:val="1B644B05"/>
    <w:rsid w:val="1BF6363A"/>
    <w:rsid w:val="1C63380A"/>
    <w:rsid w:val="1C6A31C3"/>
    <w:rsid w:val="1C8046AD"/>
    <w:rsid w:val="1CCB4B70"/>
    <w:rsid w:val="1CE23AE0"/>
    <w:rsid w:val="1D2D10AF"/>
    <w:rsid w:val="1DEE2207"/>
    <w:rsid w:val="1DF328B5"/>
    <w:rsid w:val="1E6B327E"/>
    <w:rsid w:val="1E911169"/>
    <w:rsid w:val="1ED50B96"/>
    <w:rsid w:val="1EED3BFB"/>
    <w:rsid w:val="1F833C2E"/>
    <w:rsid w:val="1FC303CA"/>
    <w:rsid w:val="206B7D6A"/>
    <w:rsid w:val="206C2914"/>
    <w:rsid w:val="208115C4"/>
    <w:rsid w:val="20EA5B84"/>
    <w:rsid w:val="210B58E7"/>
    <w:rsid w:val="217F456C"/>
    <w:rsid w:val="21AA6177"/>
    <w:rsid w:val="21AE1594"/>
    <w:rsid w:val="21AF615A"/>
    <w:rsid w:val="21EA1D42"/>
    <w:rsid w:val="222557E0"/>
    <w:rsid w:val="22643293"/>
    <w:rsid w:val="22CB12D2"/>
    <w:rsid w:val="236043E2"/>
    <w:rsid w:val="23E746D1"/>
    <w:rsid w:val="2419690F"/>
    <w:rsid w:val="245D278E"/>
    <w:rsid w:val="24CF5F4B"/>
    <w:rsid w:val="24F02B7D"/>
    <w:rsid w:val="25311480"/>
    <w:rsid w:val="25450795"/>
    <w:rsid w:val="25AB6FE2"/>
    <w:rsid w:val="264674C0"/>
    <w:rsid w:val="265F2724"/>
    <w:rsid w:val="267C6519"/>
    <w:rsid w:val="26C16617"/>
    <w:rsid w:val="270D5FCB"/>
    <w:rsid w:val="27433B66"/>
    <w:rsid w:val="2795146C"/>
    <w:rsid w:val="279F519A"/>
    <w:rsid w:val="27A02EA3"/>
    <w:rsid w:val="27C82549"/>
    <w:rsid w:val="27DA64BD"/>
    <w:rsid w:val="282817BD"/>
    <w:rsid w:val="28595C3D"/>
    <w:rsid w:val="289245B8"/>
    <w:rsid w:val="28CC7C8E"/>
    <w:rsid w:val="28E51EAA"/>
    <w:rsid w:val="2A150A97"/>
    <w:rsid w:val="2AF90B43"/>
    <w:rsid w:val="2B2A36FB"/>
    <w:rsid w:val="2B367AF8"/>
    <w:rsid w:val="2BA52521"/>
    <w:rsid w:val="2C194F20"/>
    <w:rsid w:val="2C4409B5"/>
    <w:rsid w:val="2C7C7152"/>
    <w:rsid w:val="2CA95B0F"/>
    <w:rsid w:val="2CB05500"/>
    <w:rsid w:val="2CE675AA"/>
    <w:rsid w:val="2DC36881"/>
    <w:rsid w:val="2E2547C1"/>
    <w:rsid w:val="2E68444C"/>
    <w:rsid w:val="2E6D2DC0"/>
    <w:rsid w:val="2EB47660"/>
    <w:rsid w:val="2F8A3221"/>
    <w:rsid w:val="2F9A2CA1"/>
    <w:rsid w:val="2F9B3C0D"/>
    <w:rsid w:val="301541ED"/>
    <w:rsid w:val="30221C48"/>
    <w:rsid w:val="30240B15"/>
    <w:rsid w:val="311D122A"/>
    <w:rsid w:val="31451B93"/>
    <w:rsid w:val="31B91B79"/>
    <w:rsid w:val="31C93EE5"/>
    <w:rsid w:val="3208244F"/>
    <w:rsid w:val="326C67A3"/>
    <w:rsid w:val="32797E4A"/>
    <w:rsid w:val="32D103B5"/>
    <w:rsid w:val="331464E2"/>
    <w:rsid w:val="334A189D"/>
    <w:rsid w:val="337774C3"/>
    <w:rsid w:val="33DC0966"/>
    <w:rsid w:val="34215832"/>
    <w:rsid w:val="34634E5B"/>
    <w:rsid w:val="349A611D"/>
    <w:rsid w:val="34C73F94"/>
    <w:rsid w:val="36085F7B"/>
    <w:rsid w:val="360D315F"/>
    <w:rsid w:val="36232870"/>
    <w:rsid w:val="363611DD"/>
    <w:rsid w:val="366A05DB"/>
    <w:rsid w:val="368E228F"/>
    <w:rsid w:val="372904BF"/>
    <w:rsid w:val="37BD385B"/>
    <w:rsid w:val="38760452"/>
    <w:rsid w:val="389D426B"/>
    <w:rsid w:val="39244EEF"/>
    <w:rsid w:val="39411436"/>
    <w:rsid w:val="396B5450"/>
    <w:rsid w:val="39D92970"/>
    <w:rsid w:val="39F52164"/>
    <w:rsid w:val="3AA97F72"/>
    <w:rsid w:val="3BBE6635"/>
    <w:rsid w:val="3C753F8B"/>
    <w:rsid w:val="3C9211CB"/>
    <w:rsid w:val="3C93402F"/>
    <w:rsid w:val="3CF47052"/>
    <w:rsid w:val="3CF676D2"/>
    <w:rsid w:val="3D22095C"/>
    <w:rsid w:val="3DB57AA1"/>
    <w:rsid w:val="3DE717CE"/>
    <w:rsid w:val="3E0C10AA"/>
    <w:rsid w:val="3E180332"/>
    <w:rsid w:val="3E403BBA"/>
    <w:rsid w:val="3EC052AB"/>
    <w:rsid w:val="3ED66846"/>
    <w:rsid w:val="3EF95346"/>
    <w:rsid w:val="3FC04F7A"/>
    <w:rsid w:val="401B483B"/>
    <w:rsid w:val="402F2764"/>
    <w:rsid w:val="40372BB2"/>
    <w:rsid w:val="405113F8"/>
    <w:rsid w:val="40767602"/>
    <w:rsid w:val="4087105B"/>
    <w:rsid w:val="41362356"/>
    <w:rsid w:val="41DF1287"/>
    <w:rsid w:val="42005FAB"/>
    <w:rsid w:val="425E3CB1"/>
    <w:rsid w:val="426136E9"/>
    <w:rsid w:val="426F65D3"/>
    <w:rsid w:val="42813BA5"/>
    <w:rsid w:val="428611BC"/>
    <w:rsid w:val="428D5CD5"/>
    <w:rsid w:val="429513FF"/>
    <w:rsid w:val="434765EB"/>
    <w:rsid w:val="4374118B"/>
    <w:rsid w:val="439F6551"/>
    <w:rsid w:val="44681FAE"/>
    <w:rsid w:val="449851C0"/>
    <w:rsid w:val="44B64C4D"/>
    <w:rsid w:val="44B65DD2"/>
    <w:rsid w:val="455515F5"/>
    <w:rsid w:val="455E025D"/>
    <w:rsid w:val="45CE5353"/>
    <w:rsid w:val="45E53CB3"/>
    <w:rsid w:val="462547A6"/>
    <w:rsid w:val="46B06807"/>
    <w:rsid w:val="46EA05B5"/>
    <w:rsid w:val="46F87E54"/>
    <w:rsid w:val="473D34FD"/>
    <w:rsid w:val="47573126"/>
    <w:rsid w:val="47A0474E"/>
    <w:rsid w:val="47CF0D2C"/>
    <w:rsid w:val="48621D83"/>
    <w:rsid w:val="48941E4D"/>
    <w:rsid w:val="490378C0"/>
    <w:rsid w:val="49092B40"/>
    <w:rsid w:val="49474F7F"/>
    <w:rsid w:val="496966D6"/>
    <w:rsid w:val="49B53780"/>
    <w:rsid w:val="49C37F7C"/>
    <w:rsid w:val="49E24E70"/>
    <w:rsid w:val="49F75AA8"/>
    <w:rsid w:val="4A0F65F2"/>
    <w:rsid w:val="4A334A7F"/>
    <w:rsid w:val="4AA220FE"/>
    <w:rsid w:val="4AEA028D"/>
    <w:rsid w:val="4B0B6CBE"/>
    <w:rsid w:val="4B0F6354"/>
    <w:rsid w:val="4B234E97"/>
    <w:rsid w:val="4C317D27"/>
    <w:rsid w:val="4CED5945"/>
    <w:rsid w:val="4D0A0918"/>
    <w:rsid w:val="4D7C7C18"/>
    <w:rsid w:val="4DD9086C"/>
    <w:rsid w:val="4EB237A8"/>
    <w:rsid w:val="4EB478EA"/>
    <w:rsid w:val="4FC31E08"/>
    <w:rsid w:val="4FE5220C"/>
    <w:rsid w:val="50131BB5"/>
    <w:rsid w:val="50AA1A17"/>
    <w:rsid w:val="50B82702"/>
    <w:rsid w:val="50DA38A7"/>
    <w:rsid w:val="51C57A7C"/>
    <w:rsid w:val="533C19D3"/>
    <w:rsid w:val="534F7E50"/>
    <w:rsid w:val="5372354D"/>
    <w:rsid w:val="545C4D78"/>
    <w:rsid w:val="54C40190"/>
    <w:rsid w:val="55376345"/>
    <w:rsid w:val="56046709"/>
    <w:rsid w:val="561B65F6"/>
    <w:rsid w:val="565617CD"/>
    <w:rsid w:val="56A43656"/>
    <w:rsid w:val="56A92D3D"/>
    <w:rsid w:val="56C71C1E"/>
    <w:rsid w:val="56EA0B71"/>
    <w:rsid w:val="57902AC5"/>
    <w:rsid w:val="584B4E74"/>
    <w:rsid w:val="595E1ECA"/>
    <w:rsid w:val="59EB2FCB"/>
    <w:rsid w:val="59F111B9"/>
    <w:rsid w:val="5AB83669"/>
    <w:rsid w:val="5B1435B0"/>
    <w:rsid w:val="5BE6216F"/>
    <w:rsid w:val="5CA56A42"/>
    <w:rsid w:val="5D6326D7"/>
    <w:rsid w:val="5D7F232B"/>
    <w:rsid w:val="5DB76275"/>
    <w:rsid w:val="6020259B"/>
    <w:rsid w:val="60662C46"/>
    <w:rsid w:val="61225ED0"/>
    <w:rsid w:val="61C22F65"/>
    <w:rsid w:val="620F321D"/>
    <w:rsid w:val="62393632"/>
    <w:rsid w:val="62776161"/>
    <w:rsid w:val="62890C71"/>
    <w:rsid w:val="62E97008"/>
    <w:rsid w:val="62FB101D"/>
    <w:rsid w:val="63871BF1"/>
    <w:rsid w:val="63B35731"/>
    <w:rsid w:val="63FF7D66"/>
    <w:rsid w:val="65701DAE"/>
    <w:rsid w:val="65AC068A"/>
    <w:rsid w:val="65D21007"/>
    <w:rsid w:val="65E65E08"/>
    <w:rsid w:val="65FA3F4B"/>
    <w:rsid w:val="662243A2"/>
    <w:rsid w:val="6630546A"/>
    <w:rsid w:val="666A7523"/>
    <w:rsid w:val="66D40C61"/>
    <w:rsid w:val="67B44A3F"/>
    <w:rsid w:val="681819DC"/>
    <w:rsid w:val="682B5A6A"/>
    <w:rsid w:val="68866387"/>
    <w:rsid w:val="68A90F2B"/>
    <w:rsid w:val="68AA2B65"/>
    <w:rsid w:val="69125F45"/>
    <w:rsid w:val="69EF3C48"/>
    <w:rsid w:val="6A3C6480"/>
    <w:rsid w:val="6A434398"/>
    <w:rsid w:val="6A450DA9"/>
    <w:rsid w:val="6A5615EC"/>
    <w:rsid w:val="6AA1789F"/>
    <w:rsid w:val="6C1F71D5"/>
    <w:rsid w:val="6DAA54AF"/>
    <w:rsid w:val="6E464D65"/>
    <w:rsid w:val="6ECE1D5E"/>
    <w:rsid w:val="6F313FE5"/>
    <w:rsid w:val="6F3C5AAD"/>
    <w:rsid w:val="6FC22F83"/>
    <w:rsid w:val="6FE9572B"/>
    <w:rsid w:val="70576D06"/>
    <w:rsid w:val="70673B2B"/>
    <w:rsid w:val="707852F5"/>
    <w:rsid w:val="70AD7E26"/>
    <w:rsid w:val="70B32923"/>
    <w:rsid w:val="70BB7E5C"/>
    <w:rsid w:val="70E46F2A"/>
    <w:rsid w:val="714726B7"/>
    <w:rsid w:val="721B2E1F"/>
    <w:rsid w:val="72453BE7"/>
    <w:rsid w:val="72484540"/>
    <w:rsid w:val="72703E94"/>
    <w:rsid w:val="730A58E1"/>
    <w:rsid w:val="73413276"/>
    <w:rsid w:val="73415F19"/>
    <w:rsid w:val="7355410F"/>
    <w:rsid w:val="742A49F3"/>
    <w:rsid w:val="7458144D"/>
    <w:rsid w:val="74590FF5"/>
    <w:rsid w:val="74AB40B9"/>
    <w:rsid w:val="74AB522C"/>
    <w:rsid w:val="75E65613"/>
    <w:rsid w:val="76252600"/>
    <w:rsid w:val="76C025DC"/>
    <w:rsid w:val="76DA78D0"/>
    <w:rsid w:val="76EC740F"/>
    <w:rsid w:val="777B6BED"/>
    <w:rsid w:val="77B81E09"/>
    <w:rsid w:val="77E755D5"/>
    <w:rsid w:val="77F8480C"/>
    <w:rsid w:val="78761FA7"/>
    <w:rsid w:val="78791B91"/>
    <w:rsid w:val="78A265FE"/>
    <w:rsid w:val="78F22487"/>
    <w:rsid w:val="78FC0C0E"/>
    <w:rsid w:val="7A2912C6"/>
    <w:rsid w:val="7A944324"/>
    <w:rsid w:val="7ACB247F"/>
    <w:rsid w:val="7AE25346"/>
    <w:rsid w:val="7AFD20FE"/>
    <w:rsid w:val="7B8A6E1D"/>
    <w:rsid w:val="7B8C2698"/>
    <w:rsid w:val="7B923700"/>
    <w:rsid w:val="7BEF6CB9"/>
    <w:rsid w:val="7C9C238E"/>
    <w:rsid w:val="7CC6609B"/>
    <w:rsid w:val="7D1B1FC5"/>
    <w:rsid w:val="7D782ED3"/>
    <w:rsid w:val="7D7C46F8"/>
    <w:rsid w:val="7E2C493A"/>
    <w:rsid w:val="7E634CED"/>
    <w:rsid w:val="7EA2576A"/>
    <w:rsid w:val="7EF60B64"/>
    <w:rsid w:val="7EF7251E"/>
    <w:rsid w:val="7FD30E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99"/>
    <w:pPr>
      <w:widowControl/>
      <w:spacing w:line="480" w:lineRule="exact"/>
    </w:pPr>
    <w:rPr>
      <w:rFonts w:ascii="宋体" w:hAnsi="宋体" w:cs="宋体"/>
      <w:kern w:val="0"/>
      <w:sz w:val="24"/>
      <w:szCs w:val="24"/>
    </w:rPr>
  </w:style>
  <w:style w:type="paragraph" w:styleId="3">
    <w:name w:val="Plain Text"/>
    <w:basedOn w:val="1"/>
    <w:link w:val="32"/>
    <w:autoRedefine/>
    <w:qFormat/>
    <w:uiPriority w:val="99"/>
    <w:rPr>
      <w:rFonts w:ascii="宋体" w:hAnsi="Courier New" w:cs="宋体"/>
    </w:rPr>
  </w:style>
  <w:style w:type="paragraph" w:styleId="4">
    <w:name w:val="Balloon Text"/>
    <w:basedOn w:val="1"/>
    <w:link w:val="17"/>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autoRedefine/>
    <w:qFormat/>
    <w:uiPriority w:val="99"/>
  </w:style>
  <w:style w:type="paragraph" w:customStyle="1" w:styleId="11">
    <w:name w:val="默认"/>
    <w:basedOn w:val="1"/>
    <w:autoRedefine/>
    <w:qFormat/>
    <w:uiPriority w:val="99"/>
    <w:pPr>
      <w:widowControl/>
      <w:jc w:val="left"/>
    </w:pPr>
    <w:rPr>
      <w:rFonts w:ascii="Helvetica" w:hAnsi="Helvetica" w:cs="Helvetica"/>
      <w:color w:val="000000"/>
      <w:kern w:val="0"/>
      <w:sz w:val="22"/>
      <w:szCs w:val="22"/>
    </w:rPr>
  </w:style>
  <w:style w:type="character" w:customStyle="1" w:styleId="12">
    <w:name w:val="页脚 Char"/>
    <w:link w:val="5"/>
    <w:qFormat/>
    <w:locked/>
    <w:uiPriority w:val="99"/>
    <w:rPr>
      <w:kern w:val="2"/>
      <w:sz w:val="22"/>
      <w:szCs w:val="22"/>
    </w:rPr>
  </w:style>
  <w:style w:type="paragraph" w:customStyle="1" w:styleId="13">
    <w:name w:val="列出段落1"/>
    <w:basedOn w:val="1"/>
    <w:autoRedefine/>
    <w:qFormat/>
    <w:uiPriority w:val="99"/>
    <w:pPr>
      <w:ind w:firstLine="420" w:firstLineChars="200"/>
    </w:pPr>
  </w:style>
  <w:style w:type="character" w:customStyle="1" w:styleId="14">
    <w:name w:val="页眉 Char"/>
    <w:link w:val="6"/>
    <w:autoRedefine/>
    <w:qFormat/>
    <w:locked/>
    <w:uiPriority w:val="99"/>
    <w:rPr>
      <w:kern w:val="2"/>
      <w:sz w:val="18"/>
      <w:szCs w:val="18"/>
    </w:rPr>
  </w:style>
  <w:style w:type="character" w:customStyle="1" w:styleId="15">
    <w:name w:val="font11"/>
    <w:qFormat/>
    <w:uiPriority w:val="99"/>
    <w:rPr>
      <w:rFonts w:ascii="方正仿宋_GBK" w:hAnsi="方正仿宋_GBK" w:eastAsia="方正仿宋_GBK" w:cs="方正仿宋_GBK"/>
      <w:color w:val="000000"/>
      <w:sz w:val="20"/>
      <w:szCs w:val="20"/>
      <w:u w:val="none"/>
    </w:rPr>
  </w:style>
  <w:style w:type="character" w:customStyle="1" w:styleId="16">
    <w:name w:val="font21"/>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4"/>
    <w:autoRedefine/>
    <w:qFormat/>
    <w:locked/>
    <w:uiPriority w:val="99"/>
    <w:rPr>
      <w:kern w:val="2"/>
      <w:sz w:val="18"/>
      <w:szCs w:val="18"/>
    </w:rPr>
  </w:style>
  <w:style w:type="paragraph" w:customStyle="1" w:styleId="18">
    <w:name w:val="_Style 3"/>
    <w:basedOn w:val="1"/>
    <w:qFormat/>
    <w:uiPriority w:val="99"/>
    <w:pPr>
      <w:ind w:firstLine="420" w:firstLineChars="200"/>
    </w:pPr>
  </w:style>
  <w:style w:type="character" w:customStyle="1" w:styleId="19">
    <w:name w:val="15"/>
    <w:autoRedefine/>
    <w:qFormat/>
    <w:uiPriority w:val="99"/>
    <w:rPr>
      <w:rFonts w:ascii="方正仿宋_GBK" w:eastAsia="方正仿宋_GBK" w:cs="方正仿宋_GBK"/>
      <w:color w:val="000000"/>
      <w:sz w:val="20"/>
      <w:szCs w:val="20"/>
    </w:rPr>
  </w:style>
  <w:style w:type="character" w:customStyle="1" w:styleId="20">
    <w:name w:val="16"/>
    <w:qFormat/>
    <w:uiPriority w:val="99"/>
    <w:rPr>
      <w:rFonts w:ascii="方正仿宋_GBK" w:eastAsia="方正仿宋_GBK" w:cs="方正仿宋_GBK"/>
      <w:color w:val="000000"/>
      <w:sz w:val="20"/>
      <w:szCs w:val="20"/>
    </w:rPr>
  </w:style>
  <w:style w:type="character" w:customStyle="1" w:styleId="21">
    <w:name w:val="正文文本 Char"/>
    <w:link w:val="2"/>
    <w:semiHidden/>
    <w:qFormat/>
    <w:locked/>
    <w:uiPriority w:val="99"/>
    <w:rPr>
      <w:sz w:val="21"/>
      <w:szCs w:val="21"/>
    </w:rPr>
  </w:style>
  <w:style w:type="character" w:customStyle="1" w:styleId="22">
    <w:name w:val="10"/>
    <w:autoRedefine/>
    <w:qFormat/>
    <w:uiPriority w:val="99"/>
    <w:rPr>
      <w:rFonts w:ascii="Times New Roman" w:hAnsi="Times New Roman" w:cs="Times New Roman"/>
    </w:rPr>
  </w:style>
  <w:style w:type="character" w:customStyle="1" w:styleId="23">
    <w:name w:val="17"/>
    <w:autoRedefine/>
    <w:qFormat/>
    <w:uiPriority w:val="99"/>
    <w:rPr>
      <w:rFonts w:ascii="方正仿宋_GBK" w:eastAsia="方正仿宋_GBK" w:cs="方正仿宋_GBK"/>
      <w:color w:val="000000"/>
      <w:sz w:val="18"/>
      <w:szCs w:val="18"/>
    </w:rPr>
  </w:style>
  <w:style w:type="character" w:customStyle="1" w:styleId="24">
    <w:name w:val="18"/>
    <w:autoRedefine/>
    <w:qFormat/>
    <w:uiPriority w:val="99"/>
    <w:rPr>
      <w:rFonts w:ascii="方正仿宋_GBK" w:eastAsia="方正仿宋_GBK" w:cs="方正仿宋_GBK"/>
      <w:color w:val="000000"/>
      <w:sz w:val="24"/>
      <w:szCs w:val="24"/>
    </w:rPr>
  </w:style>
  <w:style w:type="paragraph" w:customStyle="1" w:styleId="25">
    <w:name w:val="Default"/>
    <w:basedOn w:val="1"/>
    <w:next w:val="1"/>
    <w:autoRedefine/>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autoRedefine/>
    <w:qFormat/>
    <w:uiPriority w:val="99"/>
    <w:rPr>
      <w:rFonts w:ascii="宋体" w:hAnsi="宋体" w:eastAsia="宋体" w:cs="宋体"/>
      <w:color w:val="000000"/>
      <w:sz w:val="20"/>
      <w:szCs w:val="20"/>
    </w:rPr>
  </w:style>
  <w:style w:type="character" w:customStyle="1" w:styleId="27">
    <w:name w:val="20"/>
    <w:autoRedefine/>
    <w:qFormat/>
    <w:uiPriority w:val="99"/>
    <w:rPr>
      <w:rFonts w:ascii="宋体" w:hAnsi="宋体" w:eastAsia="宋体" w:cs="宋体"/>
      <w:color w:val="000000"/>
      <w:sz w:val="20"/>
      <w:szCs w:val="20"/>
    </w:rPr>
  </w:style>
  <w:style w:type="character" w:customStyle="1" w:styleId="28">
    <w:name w:val="21"/>
    <w:qFormat/>
    <w:uiPriority w:val="99"/>
    <w:rPr>
      <w:rFonts w:ascii="宋体" w:hAnsi="宋体" w:eastAsia="宋体" w:cs="宋体"/>
      <w:color w:val="000000"/>
      <w:sz w:val="20"/>
      <w:szCs w:val="20"/>
    </w:rPr>
  </w:style>
  <w:style w:type="character" w:customStyle="1" w:styleId="29">
    <w:name w:val="22"/>
    <w:autoRedefine/>
    <w:qFormat/>
    <w:uiPriority w:val="99"/>
    <w:rPr>
      <w:rFonts w:ascii="宋体" w:hAnsi="宋体" w:eastAsia="宋体" w:cs="宋体"/>
      <w:color w:val="000000"/>
      <w:sz w:val="20"/>
      <w:szCs w:val="20"/>
    </w:rPr>
  </w:style>
  <w:style w:type="character" w:customStyle="1" w:styleId="30">
    <w:name w:val="23"/>
    <w:autoRedefine/>
    <w:qFormat/>
    <w:uiPriority w:val="99"/>
    <w:rPr>
      <w:rFonts w:ascii="宋体" w:hAnsi="宋体" w:eastAsia="宋体" w:cs="宋体"/>
      <w:color w:val="000000"/>
      <w:sz w:val="20"/>
      <w:szCs w:val="20"/>
    </w:rPr>
  </w:style>
  <w:style w:type="character" w:customStyle="1" w:styleId="31">
    <w:name w:val="24"/>
    <w:autoRedefine/>
    <w:qFormat/>
    <w:uiPriority w:val="99"/>
    <w:rPr>
      <w:rFonts w:ascii="宋体" w:hAnsi="宋体" w:eastAsia="宋体" w:cs="宋体"/>
      <w:color w:val="000000"/>
      <w:sz w:val="20"/>
      <w:szCs w:val="20"/>
    </w:rPr>
  </w:style>
  <w:style w:type="character" w:customStyle="1" w:styleId="32">
    <w:name w:val="纯文本 Char"/>
    <w:link w:val="3"/>
    <w:semiHidden/>
    <w:qFormat/>
    <w:locked/>
    <w:uiPriority w:val="99"/>
    <w:rPr>
      <w:rFonts w:ascii="宋体" w:hAnsi="Courier New" w:cs="宋体"/>
      <w:sz w:val="21"/>
      <w:szCs w:val="21"/>
    </w:rPr>
  </w:style>
  <w:style w:type="paragraph" w:customStyle="1" w:styleId="33">
    <w:name w:val="列出段落11"/>
    <w:basedOn w:val="1"/>
    <w:qFormat/>
    <w:uiPriority w:val="99"/>
    <w:pPr>
      <w:ind w:firstLine="420" w:firstLineChars="200"/>
    </w:pPr>
  </w:style>
  <w:style w:type="paragraph" w:styleId="34">
    <w:name w:val="List Paragraph"/>
    <w:basedOn w:val="1"/>
    <w:autoRedefine/>
    <w:qFormat/>
    <w:uiPriority w:val="34"/>
    <w:pPr>
      <w:ind w:firstLine="420" w:firstLineChars="200"/>
    </w:pPr>
  </w:style>
  <w:style w:type="character" w:customStyle="1" w:styleId="35">
    <w:name w:val="font61"/>
    <w:basedOn w:val="9"/>
    <w:autoRedefine/>
    <w:qFormat/>
    <w:uiPriority w:val="0"/>
    <w:rPr>
      <w:rFonts w:hint="default" w:ascii="Times New Roman" w:hAnsi="Times New Roman" w:cs="Times New Roman"/>
      <w:color w:val="000000"/>
      <w:sz w:val="20"/>
      <w:szCs w:val="20"/>
      <w:u w:val="none"/>
    </w:rPr>
  </w:style>
  <w:style w:type="character" w:customStyle="1" w:styleId="36">
    <w:name w:val="font8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7">
    <w:name w:val="font101"/>
    <w:basedOn w:val="9"/>
    <w:qFormat/>
    <w:uiPriority w:val="0"/>
    <w:rPr>
      <w:rFonts w:hint="default" w:ascii="方正仿宋_GBK" w:hAnsi="方正仿宋_GBK" w:eastAsia="方正仿宋_GBK" w:cs="方正仿宋_GBK"/>
      <w:color w:val="000000"/>
      <w:sz w:val="20"/>
      <w:szCs w:val="20"/>
      <w:u w:val="none"/>
    </w:rPr>
  </w:style>
  <w:style w:type="character" w:customStyle="1" w:styleId="38">
    <w:name w:val="font112"/>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9">
    <w:name w:val="font91"/>
    <w:basedOn w:val="9"/>
    <w:qFormat/>
    <w:uiPriority w:val="0"/>
    <w:rPr>
      <w:rFonts w:hint="default" w:ascii="方正仿宋_GBK" w:hAnsi="方正仿宋_GBK" w:eastAsia="方正仿宋_GBK" w:cs="方正仿宋_GBK"/>
      <w:color w:val="000000"/>
      <w:sz w:val="18"/>
      <w:szCs w:val="18"/>
      <w:u w:val="none"/>
    </w:rPr>
  </w:style>
  <w:style w:type="character" w:customStyle="1" w:styleId="40">
    <w:name w:val="font7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41">
    <w:name w:val="font01"/>
    <w:basedOn w:val="9"/>
    <w:qFormat/>
    <w:uiPriority w:val="0"/>
    <w:rPr>
      <w:rFonts w:hint="default"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3117</Words>
  <Characters>4155</Characters>
  <Lines>1493</Lines>
  <Paragraphs>420</Paragraphs>
  <TotalTime>0</TotalTime>
  <ScaleCrop>false</ScaleCrop>
  <LinksUpToDate>false</LinksUpToDate>
  <CharactersWithSpaces>4380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娣小毛</cp:lastModifiedBy>
  <dcterms:modified xsi:type="dcterms:W3CDTF">2024-03-25T07:03:18Z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924225636B014AEB804601339960C34B</vt:lpwstr>
  </property>
</Properties>
</file>