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pacing w:line="600" w:lineRule="exact"/>
        <w:jc w:val="center"/>
        <w:outlineLvl w:val="0"/>
        <w:rPr>
          <w:rFonts w:hint="eastAsia" w:eastAsia="方正小标宋_GBK"/>
          <w:sz w:val="44"/>
          <w:szCs w:val="44"/>
          <w:lang w:val="en-US" w:eastAsia="zh-CN"/>
        </w:rPr>
      </w:pPr>
      <w:r>
        <w:rPr>
          <w:rFonts w:eastAsia="方正小标宋_GBK"/>
          <w:sz w:val="44"/>
          <w:szCs w:val="44"/>
        </w:rPr>
        <w:t>重庆市潼南区</w:t>
      </w:r>
      <w:r>
        <w:rPr>
          <w:rFonts w:hint="eastAsia" w:eastAsia="方正小标宋_GBK"/>
          <w:sz w:val="44"/>
          <w:szCs w:val="44"/>
          <w:lang w:val="en-US" w:eastAsia="zh-CN"/>
        </w:rPr>
        <w:t>五桂镇退役军人服务站</w:t>
      </w:r>
    </w:p>
    <w:p>
      <w:pPr>
        <w:keepNext w:val="0"/>
        <w:keepLines w:val="0"/>
        <w:pageBreakBefore w:val="0"/>
        <w:kinsoku/>
        <w:wordWrap/>
        <w:overflowPunct/>
        <w:topLinePunct w:val="0"/>
        <w:autoSpaceDE w:val="0"/>
        <w:autoSpaceDN/>
        <w:bidi w:val="0"/>
        <w:adjustRightInd/>
        <w:spacing w:line="600" w:lineRule="exact"/>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4</w:t>
      </w:r>
      <w:r>
        <w:rPr>
          <w:rFonts w:eastAsia="方正小标宋_GBK"/>
          <w:sz w:val="44"/>
          <w:szCs w:val="44"/>
        </w:rPr>
        <w:t>年部门预算情况说明</w:t>
      </w:r>
    </w:p>
    <w:p>
      <w:pPr>
        <w:keepNext w:val="0"/>
        <w:keepLines w:val="0"/>
        <w:pageBreakBefore w:val="0"/>
        <w:kinsoku/>
        <w:wordWrap/>
        <w:overflowPunct/>
        <w:topLinePunct w:val="0"/>
        <w:autoSpaceDN/>
        <w:bidi w:val="0"/>
        <w:adjustRightInd/>
        <w:spacing w:line="600" w:lineRule="exact"/>
        <w:ind w:firstLine="640" w:firstLineChars="200"/>
        <w:jc w:val="center"/>
        <w:rPr>
          <w:rFonts w:eastAsia="方正仿宋_GBK"/>
          <w:sz w:val="32"/>
          <w:szCs w:val="32"/>
        </w:rPr>
      </w:pPr>
      <w:r>
        <w:rPr>
          <w:rFonts w:eastAsia="仿宋_GB2312"/>
          <w:sz w:val="32"/>
          <w:szCs w:val="32"/>
        </w:rPr>
        <w:t xml:space="preserve"> </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一、单位基本情况</w:t>
      </w:r>
    </w:p>
    <w:p>
      <w:pPr>
        <w:keepNext w:val="0"/>
        <w:keepLines w:val="0"/>
        <w:pageBreakBefore w:val="0"/>
        <w:kinsoku/>
        <w:wordWrap/>
        <w:overflowPunct/>
        <w:topLinePunct w:val="0"/>
        <w:autoSpaceDN/>
        <w:bidi w:val="0"/>
        <w:adjustRightInd/>
        <w:spacing w:line="600" w:lineRule="exact"/>
        <w:ind w:firstLine="684" w:firstLineChars="214"/>
        <w:rPr>
          <w:rFonts w:eastAsia="方正楷体_GBK"/>
          <w:sz w:val="32"/>
          <w:szCs w:val="32"/>
        </w:rPr>
      </w:pPr>
      <w:r>
        <w:rPr>
          <w:rFonts w:eastAsia="方正楷体_GBK"/>
          <w:sz w:val="32"/>
          <w:szCs w:val="32"/>
        </w:rPr>
        <w:t>（一）</w:t>
      </w:r>
      <w:r>
        <w:rPr>
          <w:rFonts w:hint="default" w:eastAsia="方正楷体_GBK"/>
          <w:sz w:val="32"/>
          <w:szCs w:val="32"/>
          <w:lang w:val="en-US" w:eastAsia="zh-CN"/>
        </w:rPr>
        <w:t>职能职责</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主要承担退役军人关系转接、联络接待、困难帮扶、信息采集、情况反映、立功报喜、悬挂光荣牌和“八一”、春节等节日以及重大变故走访慰问等具体事务,搭建政策咨询、帮扶援助、沟通联系、学习交流等活动场所。</w:t>
      </w:r>
    </w:p>
    <w:p>
      <w:pPr>
        <w:keepNext w:val="0"/>
        <w:keepLines w:val="0"/>
        <w:pageBreakBefore w:val="0"/>
        <w:kinsoku/>
        <w:wordWrap/>
        <w:overflowPunct/>
        <w:topLinePunct w:val="0"/>
        <w:autoSpaceDN/>
        <w:bidi w:val="0"/>
        <w:adjustRightInd/>
        <w:spacing w:line="600" w:lineRule="exact"/>
        <w:ind w:firstLine="684" w:firstLineChars="214"/>
        <w:rPr>
          <w:rFonts w:eastAsia="方正楷体_GBK"/>
          <w:sz w:val="32"/>
          <w:szCs w:val="32"/>
        </w:rPr>
      </w:pPr>
      <w:r>
        <w:rPr>
          <w:rFonts w:eastAsia="方正楷体_GBK"/>
          <w:sz w:val="32"/>
          <w:szCs w:val="32"/>
        </w:rPr>
        <w:t>（二）单位构成</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重庆市潼南区五桂镇退役军人服务站是重庆市潼南区五桂镇人民政府下属二级预算单位</w:t>
      </w:r>
      <w:r>
        <w:rPr>
          <w:rFonts w:hint="eastAsia" w:eastAsia="方正仿宋_GBK" w:cs="Times New Roman"/>
          <w:kern w:val="2"/>
          <w:sz w:val="32"/>
          <w:szCs w:val="32"/>
          <w:lang w:val="en-US" w:eastAsia="zh-CN" w:bidi="ar-SA"/>
        </w:rPr>
        <w:t>,为全额拨款事业单位</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二、部门收支总体情况</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（一）收入预算：2024年年初预算数56.9万元，其中：一般公共预算拨款56.9万元，政府性基金预算拨款 0万元,国有资本经营预算收入0万元，事业收入0万元，事业单位经营收入0 万元，其他收入0万元，收入较去年</w:t>
      </w:r>
      <w:r>
        <w:rPr>
          <w:rFonts w:hint="eastAsia" w:eastAsia="方正仿宋_GBK" w:cs="Times New Roman"/>
          <w:kern w:val="2"/>
          <w:sz w:val="32"/>
          <w:szCs w:val="32"/>
          <w:lang w:val="en-US" w:eastAsia="zh-CN" w:bidi="ar-SA"/>
        </w:rPr>
        <w:t>增加0.38</w:t>
      </w:r>
      <w:r>
        <w:rPr>
          <w:rFonts w:hint="eastAsia" w:ascii="Times New Roman" w:hAnsi="Times New Roman" w:eastAsia="方正仿宋_GBK" w:cs="Times New Roman"/>
          <w:kern w:val="2"/>
          <w:sz w:val="32"/>
          <w:szCs w:val="32"/>
          <w:lang w:val="en-US" w:eastAsia="zh-CN" w:bidi="ar-SA"/>
        </w:rPr>
        <w:t>万元。</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（二）支出预算：2024年年初预算数 56.9万元，其中：社会保障和就业支出51.93 万元，卫生健康支出 2.72万元，住房保障支出2.24万元</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支出较去年</w:t>
      </w:r>
      <w:r>
        <w:rPr>
          <w:rFonts w:hint="eastAsia" w:eastAsia="方正仿宋_GBK" w:cs="Times New Roman"/>
          <w:kern w:val="2"/>
          <w:sz w:val="32"/>
          <w:szCs w:val="32"/>
          <w:lang w:val="en-US" w:eastAsia="zh-CN" w:bidi="ar-SA"/>
        </w:rPr>
        <w:t>增加0.38</w:t>
      </w:r>
      <w:r>
        <w:rPr>
          <w:rFonts w:hint="eastAsia" w:ascii="Times New Roman" w:hAnsi="Times New Roman" w:eastAsia="方正仿宋_GBK" w:cs="Times New Roman"/>
          <w:kern w:val="2"/>
          <w:sz w:val="32"/>
          <w:szCs w:val="32"/>
          <w:lang w:val="en-US" w:eastAsia="zh-CN" w:bidi="ar-SA"/>
        </w:rPr>
        <w:t>万元。</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三、部门预算情况说明</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2024年一般公共预算财政拨款收入56.9万元，一般公共预算财政拨款支出56.9万元，比2023年</w:t>
      </w:r>
      <w:r>
        <w:rPr>
          <w:rFonts w:hint="eastAsia" w:eastAsia="方正仿宋_GBK" w:cs="Times New Roman"/>
          <w:kern w:val="2"/>
          <w:sz w:val="32"/>
          <w:szCs w:val="32"/>
          <w:lang w:val="en-US" w:eastAsia="zh-CN" w:bidi="ar-SA"/>
        </w:rPr>
        <w:t>增加0.38</w:t>
      </w:r>
      <w:r>
        <w:rPr>
          <w:rFonts w:hint="eastAsia" w:ascii="Times New Roman" w:hAnsi="Times New Roman" w:eastAsia="方正仿宋_GBK" w:cs="Times New Roman"/>
          <w:kern w:val="2"/>
          <w:sz w:val="32"/>
          <w:szCs w:val="32"/>
          <w:lang w:val="en-US" w:eastAsia="zh-CN" w:bidi="ar-SA"/>
        </w:rPr>
        <w:t>万元。其中：基本支出56.9万元，比2023</w:t>
      </w:r>
      <w:r>
        <w:rPr>
          <w:rFonts w:hint="eastAsia" w:eastAsia="方正仿宋_GBK" w:cs="Times New Roman"/>
          <w:kern w:val="2"/>
          <w:sz w:val="32"/>
          <w:szCs w:val="32"/>
          <w:lang w:val="en-US" w:eastAsia="zh-CN" w:bidi="ar-SA"/>
        </w:rPr>
        <w:t>增加0.38</w:t>
      </w:r>
      <w:r>
        <w:rPr>
          <w:rFonts w:hint="eastAsia" w:ascii="Times New Roman" w:hAnsi="Times New Roman"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项目支出</w:t>
      </w:r>
      <w:r>
        <w:rPr>
          <w:rFonts w:hint="eastAsia"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与</w:t>
      </w:r>
      <w:r>
        <w:rPr>
          <w:rFonts w:hint="eastAsia" w:ascii="Times New Roman" w:hAnsi="Times New Roman" w:eastAsia="方正仿宋_GBK" w:cs="Times New Roman"/>
          <w:kern w:val="2"/>
          <w:sz w:val="32"/>
          <w:szCs w:val="32"/>
          <w:lang w:val="en-US" w:eastAsia="zh-CN" w:bidi="ar-SA"/>
        </w:rPr>
        <w:t>2023年</w:t>
      </w:r>
      <w:r>
        <w:rPr>
          <w:rFonts w:hint="eastAsia" w:eastAsia="方正仿宋_GBK" w:cs="Times New Roman"/>
          <w:kern w:val="2"/>
          <w:sz w:val="32"/>
          <w:szCs w:val="32"/>
          <w:lang w:val="en-US" w:eastAsia="zh-CN" w:bidi="ar-SA"/>
        </w:rPr>
        <w:t>持平</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2024年政府性基金预算收入0万元，政府性基金预算支出0元，与2023年持平。</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四、“三公”经费情况说明</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本单位</w:t>
      </w:r>
      <w:r>
        <w:rPr>
          <w:rFonts w:hint="eastAsia" w:ascii="Times New Roman" w:hAnsi="Times New Roman" w:eastAsia="方正仿宋_GBK" w:cs="Times New Roman"/>
          <w:kern w:val="2"/>
          <w:sz w:val="32"/>
          <w:szCs w:val="32"/>
          <w:lang w:val="en-US" w:eastAsia="zh-CN" w:bidi="ar-SA"/>
        </w:rPr>
        <w:t>2024年“三公”经费预算</w:t>
      </w:r>
      <w:r>
        <w:rPr>
          <w:rFonts w:hint="eastAsia"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与2023年持平。</w:t>
      </w:r>
    </w:p>
    <w:p>
      <w:pPr>
        <w:keepNext w:val="0"/>
        <w:keepLines w:val="0"/>
        <w:pageBreakBefore w:val="0"/>
        <w:kinsoku/>
        <w:wordWrap/>
        <w:overflowPunct/>
        <w:topLinePunct w:val="0"/>
        <w:autoSpaceDN/>
        <w:bidi w:val="0"/>
        <w:adjustRightInd/>
        <w:spacing w:line="600" w:lineRule="exact"/>
        <w:ind w:firstLine="684" w:firstLineChars="214"/>
        <w:rPr>
          <w:rFonts w:eastAsia="方正黑体_GBK"/>
          <w:sz w:val="32"/>
          <w:szCs w:val="32"/>
        </w:rPr>
      </w:pPr>
      <w:r>
        <w:rPr>
          <w:rFonts w:eastAsia="方正黑体_GBK"/>
          <w:sz w:val="32"/>
          <w:szCs w:val="32"/>
        </w:rPr>
        <w:t>五、其他重要事项的情况说明</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1、机关运行经费。2024年一般公共预算财政拨款运行经费10.02万元，比上年</w:t>
      </w:r>
      <w:r>
        <w:rPr>
          <w:rFonts w:hint="eastAsia" w:eastAsia="方正仿宋_GBK" w:cs="Times New Roman"/>
          <w:kern w:val="2"/>
          <w:sz w:val="32"/>
          <w:szCs w:val="32"/>
          <w:lang w:val="en-US" w:eastAsia="zh-CN" w:bidi="ar-SA"/>
        </w:rPr>
        <w:t>增加0.01</w:t>
      </w:r>
      <w:r>
        <w:rPr>
          <w:rFonts w:hint="eastAsia" w:ascii="Times New Roman" w:hAnsi="Times New Roman" w:eastAsia="方正仿宋_GBK" w:cs="Times New Roman"/>
          <w:kern w:val="2"/>
          <w:sz w:val="32"/>
          <w:szCs w:val="32"/>
          <w:lang w:val="en-US" w:eastAsia="zh-CN" w:bidi="ar-SA"/>
        </w:rPr>
        <w:t>万元。机关运行经费主要用于办公费、电费、水费、邮电费、差旅费和其他交通费等。</w:t>
      </w:r>
    </w:p>
    <w:p>
      <w:pPr>
        <w:keepNext w:val="0"/>
        <w:keepLines w:val="0"/>
        <w:pageBreakBefore w:val="0"/>
        <w:kinsoku/>
        <w:wordWrap/>
        <w:overflowPunct/>
        <w:topLinePunct w:val="0"/>
        <w:autoSpaceDN/>
        <w:bidi w:val="0"/>
        <w:adjustRightInd/>
        <w:spacing w:line="600" w:lineRule="exact"/>
        <w:ind w:firstLine="684" w:firstLineChars="214"/>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2、政府采购情况。2024年无政府采购预算。</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3、绩效目标设置情况。2024年项目支出均实行了绩效目标管理，涉及一般公共预算当年财政拨款</w:t>
      </w:r>
      <w:r>
        <w:rPr>
          <w:rFonts w:hint="eastAsia"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万元,涉及政府性基金预算当年财政拨款0万元。</w:t>
      </w:r>
    </w:p>
    <w:p>
      <w:pPr>
        <w:keepNext w:val="0"/>
        <w:keepLines w:val="0"/>
        <w:pageBreakBefore w:val="0"/>
        <w:kinsoku/>
        <w:wordWrap/>
        <w:overflowPunct/>
        <w:topLinePunct w:val="0"/>
        <w:autoSpaceDN/>
        <w:bidi w:val="0"/>
        <w:adjustRightInd/>
        <w:spacing w:line="600" w:lineRule="exact"/>
        <w:ind w:firstLine="684" w:firstLineChars="214"/>
        <w:rPr>
          <w:rFonts w:hint="eastAsia"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4、国有资产占有使用情况。</w:t>
      </w:r>
      <w:r>
        <w:rPr>
          <w:rFonts w:hint="eastAsia" w:eastAsia="方正仿宋_GBK" w:cs="Times New Roman"/>
          <w:kern w:val="2"/>
          <w:sz w:val="32"/>
          <w:szCs w:val="32"/>
          <w:lang w:val="en-US" w:eastAsia="zh-CN" w:bidi="ar-SA"/>
        </w:rPr>
        <w:t>无。</w:t>
      </w:r>
    </w:p>
    <w:p>
      <w:pPr>
        <w:keepNext w:val="0"/>
        <w:keepLines w:val="0"/>
        <w:pageBreakBefore w:val="0"/>
        <w:kinsoku/>
        <w:wordWrap/>
        <w:overflowPunct/>
        <w:topLinePunct w:val="0"/>
        <w:autoSpaceDN/>
        <w:bidi w:val="0"/>
        <w:adjustRightInd/>
        <w:spacing w:line="600" w:lineRule="exact"/>
        <w:ind w:firstLine="684" w:firstLineChars="214"/>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六、专业性名词解释</w:t>
      </w:r>
    </w:p>
    <w:p>
      <w:pPr>
        <w:pStyle w:val="34"/>
        <w:keepNext w:val="0"/>
        <w:keepLines w:val="0"/>
        <w:pageBreakBefore w:val="0"/>
        <w:tabs>
          <w:tab w:val="center" w:pos="4153"/>
          <w:tab w:val="left" w:pos="7275"/>
        </w:tabs>
        <w:kinsoku/>
        <w:wordWrap/>
        <w:overflowPunct/>
        <w:topLinePunct w:val="0"/>
        <w:autoSpaceDN/>
        <w:bidi w:val="0"/>
        <w:adjustRightInd/>
        <w:spacing w:line="60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34"/>
        <w:keepNext w:val="0"/>
        <w:keepLines w:val="0"/>
        <w:pageBreakBefore w:val="0"/>
        <w:tabs>
          <w:tab w:val="center" w:pos="4153"/>
          <w:tab w:val="left" w:pos="7275"/>
        </w:tabs>
        <w:kinsoku/>
        <w:wordWrap/>
        <w:overflowPunct/>
        <w:topLinePunct w:val="0"/>
        <w:autoSpaceDN/>
        <w:bidi w:val="0"/>
        <w:adjustRightInd/>
        <w:spacing w:line="60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w:t>
      </w:r>
    </w:p>
    <w:p>
      <w:pPr>
        <w:pStyle w:val="34"/>
        <w:keepNext w:val="0"/>
        <w:keepLines w:val="0"/>
        <w:pageBreakBefore w:val="0"/>
        <w:tabs>
          <w:tab w:val="center" w:pos="4153"/>
          <w:tab w:val="left" w:pos="7275"/>
        </w:tabs>
        <w:kinsoku/>
        <w:wordWrap/>
        <w:overflowPunct/>
        <w:topLinePunct w:val="0"/>
        <w:autoSpaceDN/>
        <w:bidi w:val="0"/>
        <w:adjustRightInd/>
        <w:spacing w:line="60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w:t>
      </w:r>
    </w:p>
    <w:p>
      <w:pPr>
        <w:pStyle w:val="34"/>
        <w:keepNext w:val="0"/>
        <w:keepLines w:val="0"/>
        <w:pageBreakBefore w:val="0"/>
        <w:tabs>
          <w:tab w:val="center" w:pos="4153"/>
          <w:tab w:val="left" w:pos="7275"/>
        </w:tabs>
        <w:kinsoku/>
        <w:wordWrap/>
        <w:overflowPunct/>
        <w:topLinePunct w:val="0"/>
        <w:autoSpaceDN/>
        <w:bidi w:val="0"/>
        <w:adjustRightInd/>
        <w:spacing w:line="60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keepNext w:val="0"/>
        <w:keepLines w:val="0"/>
        <w:pageBreakBefore w:val="0"/>
        <w:kinsoku/>
        <w:wordWrap/>
        <w:overflowPunct/>
        <w:topLinePunct w:val="0"/>
        <w:autoSpaceDN/>
        <w:bidi w:val="0"/>
        <w:adjustRightInd/>
        <w:spacing w:line="600" w:lineRule="exact"/>
        <w:ind w:firstLine="640" w:firstLineChars="200"/>
        <w:rPr>
          <w:rFonts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w:t>
      </w:r>
      <w:bookmarkStart w:id="0" w:name="_GoBack"/>
      <w:bookmarkEnd w:id="0"/>
      <w:r>
        <w:rPr>
          <w:rFonts w:hint="eastAsia" w:ascii="Times New Roman" w:hAnsi="Times New Roman" w:eastAsia="方正仿宋_GBK" w:cs="Times New Roman"/>
          <w:kern w:val="2"/>
          <w:sz w:val="32"/>
          <w:szCs w:val="32"/>
          <w:lang w:val="en-US" w:eastAsia="zh-CN" w:bidi="ar-SA"/>
        </w:rPr>
        <w:t>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N/>
        <w:bidi w:val="0"/>
        <w:adjustRightInd/>
        <w:spacing w:line="600" w:lineRule="exact"/>
        <w:ind w:firstLine="640" w:firstLineChars="200"/>
        <w:rPr>
          <w:rFonts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N/>
        <w:bidi w:val="0"/>
        <w:adjustRightInd/>
        <w:spacing w:line="600" w:lineRule="exact"/>
        <w:ind w:firstLine="640" w:firstLineChars="200"/>
        <w:jc w:val="right"/>
        <w:rPr>
          <w:rFonts w:eastAsia="方正仿宋_GBK"/>
          <w:sz w:val="32"/>
          <w:szCs w:val="32"/>
        </w:rPr>
      </w:pPr>
      <w:r>
        <w:rPr>
          <w:rFonts w:eastAsia="方正仿宋_GBK"/>
          <w:sz w:val="32"/>
          <w:szCs w:val="32"/>
        </w:rPr>
        <w:t>部门预算公开联系人：</w:t>
      </w:r>
      <w:r>
        <w:rPr>
          <w:rFonts w:hint="eastAsia" w:eastAsia="方正仿宋_GBK"/>
          <w:sz w:val="32"/>
          <w:szCs w:val="32"/>
          <w:lang w:eastAsia="zh-CN"/>
        </w:rPr>
        <w:t>黄兵</w:t>
      </w:r>
      <w:r>
        <w:rPr>
          <w:rFonts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jc w:val="right"/>
        <w:rPr>
          <w:rFonts w:hint="default" w:eastAsia="方正仿宋_GBK"/>
          <w:sz w:val="32"/>
          <w:szCs w:val="32"/>
          <w:lang w:val="en-US" w:eastAsia="zh-CN"/>
        </w:rPr>
      </w:pPr>
      <w:r>
        <w:rPr>
          <w:rFonts w:eastAsia="方正仿宋_GBK"/>
          <w:sz w:val="32"/>
          <w:szCs w:val="32"/>
        </w:rPr>
        <w:t>联系方式：</w:t>
      </w:r>
      <w:r>
        <w:rPr>
          <w:rFonts w:hint="eastAsia" w:eastAsia="方正仿宋_GBK"/>
          <w:sz w:val="32"/>
          <w:szCs w:val="32"/>
          <w:lang w:val="en-US" w:eastAsia="zh-CN"/>
        </w:rPr>
        <w:t xml:space="preserve"> 44775513</w:t>
      </w:r>
    </w:p>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footerReference r:id="rId3" w:type="default"/>
          <w:pgSz w:w="11906" w:h="16838"/>
          <w:pgMar w:top="1814" w:right="1701" w:bottom="1814" w:left="1701"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附件1</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83"/>
        <w:gridCol w:w="1126"/>
        <w:gridCol w:w="2528"/>
        <w:gridCol w:w="825"/>
        <w:gridCol w:w="2016"/>
        <w:gridCol w:w="2315"/>
        <w:gridCol w:w="2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000" w:type="pct"/>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8"/>
                <w:szCs w:val="38"/>
                <w:u w:val="none"/>
              </w:rPr>
            </w:pPr>
            <w:r>
              <w:rPr>
                <w:rFonts w:eastAsia="方正小标宋_GBK"/>
                <w:kern w:val="0"/>
                <w:sz w:val="36"/>
                <w:szCs w:val="36"/>
              </w:rPr>
              <w:t>重庆市潼南区</w:t>
            </w:r>
            <w:r>
              <w:rPr>
                <w:rFonts w:hint="default" w:ascii="方正小标宋_GBK" w:hAnsi="方正小标宋_GBK" w:eastAsia="方正小标宋_GBK" w:cs="方正小标宋_GBK"/>
                <w:i w:val="0"/>
                <w:iCs w:val="0"/>
                <w:color w:val="000000"/>
                <w:kern w:val="0"/>
                <w:sz w:val="36"/>
                <w:szCs w:val="36"/>
                <w:u w:val="none"/>
                <w:lang w:val="en-US" w:eastAsia="zh-CN" w:bidi="ar"/>
              </w:rPr>
              <w:t>五桂</w:t>
            </w:r>
            <w:r>
              <w:rPr>
                <w:rFonts w:hint="default" w:eastAsia="方正小标宋_GBK"/>
                <w:kern w:val="0"/>
                <w:sz w:val="36"/>
                <w:szCs w:val="36"/>
                <w:lang w:val="en-US" w:eastAsia="zh-CN"/>
              </w:rPr>
              <w:t>镇</w:t>
            </w:r>
            <w:r>
              <w:rPr>
                <w:rFonts w:hint="eastAsia" w:eastAsia="方正小标宋_GBK"/>
                <w:kern w:val="0"/>
                <w:sz w:val="36"/>
                <w:szCs w:val="36"/>
                <w:lang w:val="en-US" w:eastAsia="zh-CN"/>
              </w:rPr>
              <w:t>退役军人服务站</w:t>
            </w:r>
            <w:r>
              <w:rPr>
                <w:rFonts w:eastAsia="方正小标宋_GBK"/>
                <w:kern w:val="0"/>
                <w:sz w:val="36"/>
                <w:szCs w:val="36"/>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2"/>
                <w:szCs w:val="22"/>
                <w:u w:val="none"/>
              </w:rPr>
            </w:pPr>
            <w:r>
              <w:rPr>
                <w:rFonts w:hint="default"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收入</w:t>
            </w:r>
          </w:p>
        </w:tc>
        <w:tc>
          <w:tcPr>
            <w:tcW w:w="3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合计</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一般公共预算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政府性基金预算</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一、本年收入</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56.90</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一、本年支出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56.90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56.90</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一般公共预算资金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56.90</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51.93</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51.93</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2.72</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2.72</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2.24</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2.24</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二、上年结转</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二、结转下年</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一般公共预算拨款</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政府性基金预算拨款</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国有资本经营收入</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收入合计</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56.90</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支出合计</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56.90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56.90</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附件2</w:t>
      </w:r>
    </w:p>
    <w:tbl>
      <w:tblPr>
        <w:tblStyle w:val="8"/>
        <w:tblW w:w="5000"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4"/>
        <w:gridCol w:w="6446"/>
        <w:gridCol w:w="2016"/>
        <w:gridCol w:w="2082"/>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4"/>
                <w:szCs w:val="34"/>
                <w:u w:val="none"/>
              </w:rPr>
            </w:pPr>
            <w:r>
              <w:rPr>
                <w:rFonts w:eastAsia="方正小标宋_GBK"/>
                <w:kern w:val="0"/>
                <w:sz w:val="36"/>
                <w:szCs w:val="36"/>
              </w:rPr>
              <w:t>重庆市潼南区</w:t>
            </w:r>
            <w:r>
              <w:rPr>
                <w:rFonts w:hint="default" w:ascii="方正小标宋_GBK" w:hAnsi="方正小标宋_GBK" w:eastAsia="方正小标宋_GBK" w:cs="方正小标宋_GBK"/>
                <w:i w:val="0"/>
                <w:iCs w:val="0"/>
                <w:color w:val="000000"/>
                <w:kern w:val="0"/>
                <w:sz w:val="36"/>
                <w:szCs w:val="36"/>
                <w:u w:val="none"/>
                <w:lang w:val="en-US" w:eastAsia="zh-CN" w:bidi="ar"/>
              </w:rPr>
              <w:t>五桂镇退役军人服务站</w:t>
            </w:r>
            <w:r>
              <w:rPr>
                <w:rFonts w:eastAsia="方正小标宋_GBK"/>
                <w:kern w:val="0"/>
                <w:sz w:val="36"/>
                <w:szCs w:val="36"/>
              </w:rPr>
              <w:t>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543" w:type="pct"/>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266" w:type="pct"/>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709" w:type="pct"/>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732" w:type="pct"/>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74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功能分类科目</w:t>
            </w:r>
          </w:p>
        </w:tc>
        <w:tc>
          <w:tcPr>
            <w:tcW w:w="21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8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56.90</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56.90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208</w:t>
            </w:r>
          </w:p>
        </w:tc>
        <w:tc>
          <w:tcPr>
            <w:tcW w:w="2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社会保障和就业支出</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51.93</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51.93</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20805</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行政事业单位养老支出</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4.49</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2080505</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机关事业单位基本养老保险缴费支出</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2.99</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2.99</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2080506</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机关事业单位职业年金缴费支出</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20828</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退役军人管理事务</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47.44</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47.44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2082850</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事业运行</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47.44</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47.44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210</w:t>
            </w:r>
          </w:p>
        </w:tc>
        <w:tc>
          <w:tcPr>
            <w:tcW w:w="2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卫生健康支出</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2.72</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21011</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行政事业单位医疗</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2.72</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2.72</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2101102</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事业单位医疗</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2101199</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其他行政事业单位医疗支出</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0.48</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0.48</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221</w:t>
            </w:r>
          </w:p>
        </w:tc>
        <w:tc>
          <w:tcPr>
            <w:tcW w:w="2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住房保障支出</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22102</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住房改革支出</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2210201</w:t>
            </w:r>
          </w:p>
        </w:tc>
        <w:tc>
          <w:tcPr>
            <w:tcW w:w="2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住房公积金</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bl>
    <w:p>
      <w:pPr>
        <w:keepNext w:val="0"/>
        <w:keepLines w:val="0"/>
        <w:pageBreakBefore w:val="0"/>
        <w:widowControl/>
        <w:kinsoku/>
        <w:wordWrap/>
        <w:overflowPunct/>
        <w:topLinePunct w:val="0"/>
        <w:autoSpaceDN/>
        <w:bidi w:val="0"/>
        <w:adjustRightInd/>
        <w:spacing w:line="600" w:lineRule="exact"/>
        <w:jc w:val="left"/>
        <w:rPr>
          <w:rFonts w:hint="eastAsia" w:eastAsia="方正黑体_GBK"/>
          <w:sz w:val="32"/>
          <w:szCs w:val="32"/>
          <w:lang w:val="en-US" w:eastAsia="zh-CN"/>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附件3</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57"/>
        <w:gridCol w:w="4757"/>
        <w:gridCol w:w="1391"/>
        <w:gridCol w:w="2357"/>
        <w:gridCol w:w="3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重庆市潼南区五桂镇退役军人服务站一般公共预算财政拨款基本支出预算表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25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经济分类科目</w:t>
            </w:r>
          </w:p>
        </w:tc>
        <w:tc>
          <w:tcPr>
            <w:tcW w:w="249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科目编码</w:t>
            </w: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人员经费</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25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56.90</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46.88</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301</w:t>
            </w: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工资福利支出</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46.88</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46.88</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30101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基本工资</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9.39</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9.39</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30102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津贴补贴</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1.90</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1.90</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30107</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绩效工资</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25.88</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25.88</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30108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机关事业单位基本养老保险缴费</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2.99</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2.99</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30109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职业年金缴费</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1.50</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30110</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职工基本医疗保险缴费</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1.59</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30112</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其他社会保障缴费</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0.90</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0.90</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30113</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住房公积金</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30114</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医疗费</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0.48</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0.48</w:t>
            </w: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302</w:t>
            </w: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商品和服务支出</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10.02</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30201</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办公费</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6.50</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30216</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培训费</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0.14</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30228</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工会经费</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0.22</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30229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福利费</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0.65</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30299</w:t>
            </w:r>
          </w:p>
        </w:tc>
        <w:tc>
          <w:tcPr>
            <w:tcW w:w="1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其他商品和服务支出</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1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附件4</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0"/>
        <w:gridCol w:w="1858"/>
        <w:gridCol w:w="518"/>
        <w:gridCol w:w="1488"/>
        <w:gridCol w:w="518"/>
        <w:gridCol w:w="1006"/>
        <w:gridCol w:w="1371"/>
        <w:gridCol w:w="884"/>
        <w:gridCol w:w="518"/>
        <w:gridCol w:w="1488"/>
        <w:gridCol w:w="518"/>
        <w:gridCol w:w="1006"/>
        <w:gridCol w:w="1371"/>
        <w:gridCol w:w="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0" w:type="auto"/>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黑体" w:hAnsi="宋体" w:eastAsia="黑体" w:cs="黑体"/>
                <w:i w:val="0"/>
                <w:iCs w:val="0"/>
                <w:color w:val="000000"/>
                <w:sz w:val="30"/>
                <w:szCs w:val="30"/>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重庆市潼南区五桂镇退役军人服务站一般公共预算支出“三公”经费预算表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1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部门编码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部门名称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2023年预算数</w:t>
            </w:r>
          </w:p>
        </w:tc>
        <w:tc>
          <w:tcPr>
            <w:tcW w:w="0" w:type="auto"/>
            <w:gridSpan w:val="6"/>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val="0"/>
                <w:bCs w:val="0"/>
                <w:i w:val="0"/>
                <w:iCs w:val="0"/>
                <w:color w:val="000000"/>
                <w:sz w:val="18"/>
                <w:szCs w:val="18"/>
                <w:u w:val="none"/>
                <w:shd w:val="clear" w:color="auto" w:fill="auto"/>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val="0"/>
                <w:bCs w:val="0"/>
                <w:i w:val="0"/>
                <w:iCs w:val="0"/>
                <w:color w:val="000000"/>
                <w:sz w:val="18"/>
                <w:szCs w:val="18"/>
                <w:u w:val="none"/>
                <w:shd w:val="clear" w:color="auto" w:fill="auto"/>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总计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公务接待费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总计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潼南区五桂镇</w:t>
            </w:r>
            <w:r>
              <w:rPr>
                <w:rFonts w:hint="default" w:ascii="宋体" w:hAnsi="宋体" w:eastAsia="宋体" w:cs="宋体"/>
                <w:i w:val="0"/>
                <w:iCs w:val="0"/>
                <w:color w:val="000000"/>
                <w:kern w:val="0"/>
                <w:sz w:val="18"/>
                <w:szCs w:val="18"/>
                <w:u w:val="none"/>
                <w:lang w:val="en-US" w:eastAsia="zh-CN" w:bidi="ar"/>
              </w:rPr>
              <w:t>退役军人服务站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附件5</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8"/>
        <w:gridCol w:w="5551"/>
        <w:gridCol w:w="2329"/>
        <w:gridCol w:w="2244"/>
        <w:gridCol w:w="2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5"/>
            <w:vMerge w:val="restar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重庆市潼南区五桂镇退役军人服务站政府性基金预算支出表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000" w:type="pct"/>
            <w:gridSpan w:val="5"/>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19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24"/>
                <w:szCs w:val="24"/>
                <w:u w:val="none"/>
              </w:rPr>
            </w:pPr>
          </w:p>
        </w:tc>
        <w:tc>
          <w:tcPr>
            <w:tcW w:w="19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24"/>
                <w:szCs w:val="24"/>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5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left"/>
              <w:rPr>
                <w:rFonts w:hint="default" w:ascii="方正仿宋_GBK" w:hAnsi="方正仿宋_GBK" w:eastAsia="方正仿宋_GBK" w:cs="方正仿宋_GBK"/>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0"/>
                <w:szCs w:val="20"/>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1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1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（备注：本单位无政府性基金收支，故此表无数据。）</w:t>
            </w: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附件6</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44"/>
        <w:gridCol w:w="2039"/>
        <w:gridCol w:w="4587"/>
        <w:gridCol w:w="2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4"/>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重庆市潼南区退役军人服务站五桂镇部门收支总表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4"/>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2"/>
                <w:szCs w:val="22"/>
                <w:u w:val="none"/>
              </w:rPr>
            </w:pPr>
            <w:r>
              <w:rPr>
                <w:rFonts w:hint="default"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4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收入</w:t>
            </w:r>
          </w:p>
        </w:tc>
        <w:tc>
          <w:tcPr>
            <w:tcW w:w="2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56.90</w:t>
            </w: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一般公共预算资金</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56.90</w:t>
            </w: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财政专户管理资金</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事业收入资金</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上级补助收入资金</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附属单位上缴收入资金 </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事业单位经营收入资金</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其他收入资金 </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rPr>
                <w:rFonts w:hint="default" w:ascii="方正仿宋_GBK" w:hAnsi="方正仿宋_GBK" w:eastAsia="方正仿宋_GBK" w:cs="方正仿宋_GBK"/>
                <w:i w:val="0"/>
                <w:iCs w:val="0"/>
                <w:color w:val="000000"/>
                <w:sz w:val="24"/>
                <w:szCs w:val="24"/>
                <w:u w:val="none"/>
              </w:rPr>
            </w:pP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附件7</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4"/>
        <w:gridCol w:w="3710"/>
        <w:gridCol w:w="989"/>
        <w:gridCol w:w="1172"/>
        <w:gridCol w:w="1007"/>
        <w:gridCol w:w="1092"/>
        <w:gridCol w:w="1098"/>
        <w:gridCol w:w="771"/>
        <w:gridCol w:w="808"/>
        <w:gridCol w:w="825"/>
        <w:gridCol w:w="845"/>
        <w:gridCol w:w="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12"/>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重庆市潼南区五桂镇退役军人服务站部门收入总表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2"/>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000" w:type="pct"/>
            <w:gridSpan w:val="1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6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总计</w:t>
            </w:r>
          </w:p>
        </w:tc>
        <w:tc>
          <w:tcPr>
            <w:tcW w:w="4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3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财政专户管理资金收入</w:t>
            </w:r>
          </w:p>
        </w:tc>
        <w:tc>
          <w:tcPr>
            <w:tcW w:w="2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事业收入</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上级补助收入</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附属单位上缴收入</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事业单位经营收入</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科目编码</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科目名称</w:t>
            </w: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4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3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2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黑体_GBK" w:hAnsi="方正黑体_GBK" w:eastAsia="方正黑体_GBK" w:cs="方正黑体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6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18"/>
                <w:szCs w:val="18"/>
                <w:u w:val="none"/>
              </w:rPr>
            </w:pPr>
            <w:r>
              <w:rPr>
                <w:rFonts w:hint="default" w:ascii="方正仿宋_GBK" w:hAnsi="方正仿宋_GBK" w:eastAsia="方正仿宋_GBK" w:cs="方正仿宋_GBK"/>
                <w:b/>
                <w:bCs/>
                <w:i w:val="0"/>
                <w:iCs w:val="0"/>
                <w:color w:val="000000"/>
                <w:kern w:val="0"/>
                <w:sz w:val="18"/>
                <w:szCs w:val="18"/>
                <w:u w:val="none"/>
                <w:lang w:val="en-US" w:eastAsia="zh-CN" w:bidi="ar"/>
              </w:rPr>
              <w:t>合计</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56.90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56.90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208</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社会保障和就业支出</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51.93</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51.93</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2"/>
                <w:lang w:val="en-US" w:eastAsia="zh-CN" w:bidi="ar"/>
              </w:rPr>
              <w:t xml:space="preserve"> 20805</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2"/>
                <w:lang w:val="en-US" w:eastAsia="zh-CN" w:bidi="ar"/>
              </w:rPr>
              <w:t xml:space="preserve"> 行政事业单位养老支出</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4.49</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4.49</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2"/>
                <w:lang w:val="en-US" w:eastAsia="zh-CN" w:bidi="ar"/>
              </w:rPr>
              <w:t>2080505</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2"/>
                <w:lang w:val="en-US" w:eastAsia="zh-CN" w:bidi="ar"/>
              </w:rPr>
              <w:t xml:space="preserve">  机关事业单位基本养老保险缴费支出</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2.99</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2.99</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2"/>
                <w:lang w:val="en-US" w:eastAsia="zh-CN" w:bidi="ar"/>
              </w:rPr>
              <w:t>2080506</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2"/>
                <w:lang w:val="en-US" w:eastAsia="zh-CN" w:bidi="ar"/>
              </w:rPr>
              <w:t xml:space="preserve">  机关事业单位职业年金缴费支出</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2"/>
                <w:lang w:val="en-US" w:eastAsia="zh-CN" w:bidi="ar"/>
              </w:rPr>
              <w:t xml:space="preserve"> 20828</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2"/>
                <w:lang w:val="en-US" w:eastAsia="zh-CN" w:bidi="ar"/>
              </w:rPr>
              <w:t xml:space="preserve"> 退役军人管理事务</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47.44</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47.44</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2"/>
                <w:lang w:val="en-US" w:eastAsia="zh-CN" w:bidi="ar"/>
              </w:rPr>
              <w:t>2082850</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2"/>
                <w:lang w:val="en-US" w:eastAsia="zh-CN" w:bidi="ar"/>
              </w:rPr>
              <w:t xml:space="preserve">  事业运行</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47.44</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47.44</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210</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卫生健康支出</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2.72</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2"/>
                <w:lang w:val="en-US" w:eastAsia="zh-CN" w:bidi="ar"/>
              </w:rPr>
              <w:t xml:space="preserve"> 21011</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2"/>
                <w:lang w:val="en-US" w:eastAsia="zh-CN" w:bidi="ar"/>
              </w:rPr>
              <w:t xml:space="preserve"> 行政事业单位医疗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2.72</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2.72</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2"/>
                <w:lang w:val="en-US" w:eastAsia="zh-CN" w:bidi="ar"/>
              </w:rPr>
              <w:t>2101102</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2"/>
                <w:lang w:val="en-US" w:eastAsia="zh-CN" w:bidi="ar"/>
              </w:rPr>
              <w:t xml:space="preserve">  事业单位医疗</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2.24</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2.24</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2"/>
                <w:lang w:val="en-US" w:eastAsia="zh-CN" w:bidi="ar"/>
              </w:rPr>
              <w:t>2101199</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2"/>
                <w:lang w:val="en-US" w:eastAsia="zh-CN" w:bidi="ar"/>
              </w:rPr>
              <w:t xml:space="preserve">  其他行政事业单位医疗支出</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0.48</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0.48</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221</w:t>
            </w:r>
          </w:p>
        </w:tc>
        <w:tc>
          <w:tcPr>
            <w:tcW w:w="1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住房保障支出</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2.24</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2.24</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2"/>
                <w:lang w:val="en-US" w:eastAsia="zh-CN" w:bidi="ar"/>
              </w:rPr>
              <w:t xml:space="preserve"> 22102</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2"/>
                <w:lang w:val="en-US" w:eastAsia="zh-CN" w:bidi="ar"/>
              </w:rPr>
              <w:t xml:space="preserve"> 住房改革支出</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2.24</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2.24</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2"/>
                <w:lang w:val="en-US" w:eastAsia="zh-CN" w:bidi="ar"/>
              </w:rPr>
              <w:t>2210201</w:t>
            </w:r>
          </w:p>
        </w:tc>
        <w:tc>
          <w:tcPr>
            <w:tcW w:w="1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18"/>
                <w:szCs w:val="18"/>
                <w:u w:val="none"/>
              </w:rPr>
            </w:pPr>
            <w:r>
              <w:rPr>
                <w:rStyle w:val="42"/>
                <w:lang w:val="en-US" w:eastAsia="zh-CN" w:bidi="ar"/>
              </w:rPr>
              <w:t xml:space="preserve">  住房公积金</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2.24</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2.24</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18"/>
                <w:szCs w:val="18"/>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附件8</w:t>
      </w:r>
    </w:p>
    <w:tbl>
      <w:tblPr>
        <w:tblStyle w:val="8"/>
        <w:tblW w:w="5000"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32"/>
        <w:gridCol w:w="4487"/>
        <w:gridCol w:w="2679"/>
        <w:gridCol w:w="2591"/>
        <w:gridCol w:w="2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重庆市潼南区五桂镇退役军人服务站部门支出总表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000" w:type="pct"/>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科目编码</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科目名称</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总计</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基本支出</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3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56.90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56.90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208</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51.93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51.93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行政事业单位养老支出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4.49</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2080505</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机关事业单位基本养老保险缴费支出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2.99</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2080506</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机关事业单位职业年金缴费支出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20828</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退役军人管理事务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47.44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47.44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2082850</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事业运行</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47.44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47.44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210</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2.72</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行政事业单位医疗</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2.72</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2101102</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事业单位医疗</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2101199</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其他行政事业单位医疗支出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0.48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0.48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221</w:t>
            </w:r>
          </w:p>
        </w:tc>
        <w:tc>
          <w:tcPr>
            <w:tcW w:w="1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22102</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住房改革支出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2210201</w:t>
            </w:r>
          </w:p>
        </w:tc>
        <w:tc>
          <w:tcPr>
            <w:tcW w:w="1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住房公积金</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default" w:ascii="Times New Roman" w:hAnsi="Times New Roman" w:eastAsia="宋体" w:cs="Times New Roman"/>
                <w:i w:val="0"/>
                <w:iCs w:val="0"/>
                <w:color w:val="000000"/>
                <w:sz w:val="24"/>
                <w:szCs w:val="24"/>
                <w:u w:val="none"/>
              </w:rPr>
            </w:pPr>
          </w:p>
        </w:tc>
      </w:tr>
    </w:tbl>
    <w:p>
      <w:pPr>
        <w:keepNext w:val="0"/>
        <w:keepLines w:val="0"/>
        <w:pageBreakBefore w:val="0"/>
        <w:widowControl/>
        <w:kinsoku/>
        <w:wordWrap/>
        <w:overflowPunct/>
        <w:topLinePunct w:val="0"/>
        <w:autoSpaceDN/>
        <w:bidi w:val="0"/>
        <w:adjustRightInd/>
        <w:spacing w:line="600" w:lineRule="exac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exact"/>
        <w:rPr>
          <w:rFonts w:eastAsia="方正黑体_GBK"/>
          <w:sz w:val="32"/>
          <w:szCs w:val="32"/>
        </w:rPr>
      </w:pPr>
      <w:r>
        <w:rPr>
          <w:rFonts w:eastAsia="方正黑体_GBK"/>
          <w:sz w:val="32"/>
          <w:szCs w:val="32"/>
        </w:rPr>
        <w:t>附件9</w:t>
      </w:r>
    </w:p>
    <w:tbl>
      <w:tblPr>
        <w:tblStyle w:val="8"/>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keepNext w:val="0"/>
              <w:keepLines w:val="0"/>
              <w:pageBreakBefore w:val="0"/>
              <w:kinsoku/>
              <w:wordWrap/>
              <w:overflowPunct/>
              <w:topLinePunct w:val="0"/>
              <w:autoSpaceDN/>
              <w:bidi w:val="0"/>
              <w:adjustRightInd/>
              <w:spacing w:line="600" w:lineRule="exact"/>
              <w:jc w:val="center"/>
              <w:rPr>
                <w:rFonts w:eastAsia="方正小标宋_GBK"/>
                <w:sz w:val="40"/>
                <w:szCs w:val="40"/>
              </w:rPr>
            </w:pPr>
            <w:r>
              <w:rPr>
                <w:rFonts w:eastAsia="方正小标宋_GBK"/>
                <w:sz w:val="36"/>
                <w:szCs w:val="36"/>
              </w:rPr>
              <w:t>重庆市潼南区</w:t>
            </w:r>
            <w:r>
              <w:rPr>
                <w:rFonts w:hint="eastAsia" w:eastAsia="方正小标宋_GBK"/>
                <w:sz w:val="36"/>
                <w:szCs w:val="36"/>
                <w:lang w:eastAsia="zh-CN"/>
              </w:rPr>
              <w:t>五桂镇</w:t>
            </w:r>
            <w:r>
              <w:rPr>
                <w:rFonts w:hint="default" w:ascii="方正小标宋_GBK" w:hAnsi="方正小标宋_GBK" w:eastAsia="方正小标宋_GBK" w:cs="方正小标宋_GBK"/>
                <w:i w:val="0"/>
                <w:iCs w:val="0"/>
                <w:color w:val="000000"/>
                <w:kern w:val="0"/>
                <w:sz w:val="36"/>
                <w:szCs w:val="36"/>
                <w:u w:val="none"/>
                <w:lang w:val="en-US" w:eastAsia="zh-CN" w:bidi="ar"/>
              </w:rPr>
              <w:t>退役军人服务站</w:t>
            </w:r>
            <w:r>
              <w:rPr>
                <w:rFonts w:eastAsia="方正小标宋_GBK"/>
                <w:sz w:val="36"/>
                <w:szCs w:val="36"/>
              </w:rPr>
              <w:t>政府采购预算明细表</w:t>
            </w:r>
          </w:p>
        </w:tc>
      </w:tr>
      <w:tr>
        <w:tblPrEx>
          <w:tblCellMar>
            <w:top w:w="0" w:type="dxa"/>
            <w:left w:w="108" w:type="dxa"/>
            <w:bottom w:w="0" w:type="dxa"/>
            <w:right w:w="108" w:type="dxa"/>
          </w:tblCellMar>
        </w:tblPrEx>
        <w:trPr>
          <w:cantSplit/>
          <w:trHeight w:val="329" w:hRule="atLeast"/>
          <w:jc w:val="center"/>
        </w:trPr>
        <w:tc>
          <w:tcPr>
            <w:tcW w:w="13998" w:type="dxa"/>
            <w:gridSpan w:val="12"/>
            <w:tcBorders>
              <w:top w:val="nil"/>
              <w:left w:val="nil"/>
              <w:bottom w:val="nil"/>
              <w:right w:val="nil"/>
            </w:tcBorders>
            <w:vAlign w:val="center"/>
          </w:tcPr>
          <w:p>
            <w:pPr>
              <w:keepNext w:val="0"/>
              <w:keepLines w:val="0"/>
              <w:pageBreakBefore w:val="0"/>
              <w:widowControl/>
              <w:kinsoku/>
              <w:wordWrap/>
              <w:overflowPunct/>
              <w:topLinePunct w:val="0"/>
              <w:autoSpaceDN/>
              <w:bidi w:val="0"/>
              <w:adjustRightInd/>
              <w:spacing w:line="600" w:lineRule="exact"/>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项目</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总计</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上年结转结余资金</w:t>
            </w: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财政专户管理收入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事业收入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上级补助收入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附属单位上缴收入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事业单位经营收入</w:t>
            </w: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其他收入</w:t>
            </w:r>
          </w:p>
        </w:tc>
      </w:tr>
      <w:tr>
        <w:tblPrEx>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合计</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货物类</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工程类</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服务类</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exac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bl>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exac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
        <w:gridCol w:w="1202"/>
        <w:gridCol w:w="1202"/>
        <w:gridCol w:w="681"/>
        <w:gridCol w:w="714"/>
        <w:gridCol w:w="714"/>
        <w:gridCol w:w="714"/>
        <w:gridCol w:w="813"/>
        <w:gridCol w:w="680"/>
        <w:gridCol w:w="788"/>
        <w:gridCol w:w="680"/>
        <w:gridCol w:w="5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5000" w:type="pct"/>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黑体" w:hAnsi="宋体" w:eastAsia="黑体" w:cs="黑体"/>
                <w:i w:val="0"/>
                <w:iCs w:val="0"/>
                <w:color w:val="000000"/>
                <w:sz w:val="30"/>
                <w:szCs w:val="30"/>
                <w:u w:val="none"/>
              </w:rPr>
            </w:pPr>
            <w:r>
              <w:rPr>
                <w:rFonts w:eastAsia="方正小标宋_GBK"/>
                <w:sz w:val="36"/>
                <w:szCs w:val="36"/>
              </w:rPr>
              <w:t>重庆市潼南区</w:t>
            </w:r>
            <w:r>
              <w:rPr>
                <w:rFonts w:hint="eastAsia" w:eastAsia="方正小标宋_GBK"/>
                <w:sz w:val="36"/>
                <w:szCs w:val="36"/>
                <w:lang w:eastAsia="zh-CN"/>
              </w:rPr>
              <w:t>五桂镇</w:t>
            </w:r>
            <w:r>
              <w:rPr>
                <w:rFonts w:hint="default" w:ascii="方正小标宋_GBK" w:hAnsi="方正小标宋_GBK" w:eastAsia="方正小标宋_GBK" w:cs="方正小标宋_GBK"/>
                <w:i w:val="0"/>
                <w:iCs w:val="0"/>
                <w:color w:val="000000"/>
                <w:kern w:val="0"/>
                <w:sz w:val="36"/>
                <w:szCs w:val="36"/>
                <w:u w:val="none"/>
                <w:lang w:val="en-US" w:eastAsia="zh-CN" w:bidi="ar"/>
              </w:rPr>
              <w:t>退役军人服务站</w:t>
            </w:r>
            <w:r>
              <w:rPr>
                <w:rFonts w:eastAsia="方正小标宋_GBK"/>
                <w:sz w:val="36"/>
                <w:szCs w:val="36"/>
              </w:rPr>
              <w:t>项目支出明细表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序号</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预算单位</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项目名称</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合计</w:t>
            </w:r>
          </w:p>
        </w:tc>
        <w:tc>
          <w:tcPr>
            <w:tcW w:w="1039" w:type="pct"/>
            <w:gridSpan w:val="4"/>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年初特定目标</w:t>
            </w:r>
          </w:p>
        </w:tc>
        <w:tc>
          <w:tcPr>
            <w:tcW w:w="2733" w:type="pct"/>
            <w:gridSpan w:val="4"/>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上级专项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auto"/>
                <w:sz w:val="18"/>
                <w:szCs w:val="18"/>
                <w:u w:val="none"/>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auto"/>
                <w:sz w:val="18"/>
                <w:szCs w:val="18"/>
                <w:u w:val="none"/>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auto"/>
                <w:sz w:val="18"/>
                <w:szCs w:val="18"/>
                <w:u w:val="none"/>
                <w:shd w:val="clear" w:color="auto" w:fill="auto"/>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b/>
                <w:bCs/>
                <w:i w:val="0"/>
                <w:iCs w:val="0"/>
                <w:color w:val="auto"/>
                <w:sz w:val="18"/>
                <w:szCs w:val="18"/>
                <w:u w:val="none"/>
                <w:shd w:val="clear" w:color="auto" w:fill="auto"/>
              </w:rPr>
            </w:pPr>
          </w:p>
        </w:tc>
        <w:tc>
          <w:tcPr>
            <w:tcW w:w="251"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小计</w:t>
            </w:r>
          </w:p>
        </w:tc>
        <w:tc>
          <w:tcPr>
            <w:tcW w:w="251"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人员性项目</w:t>
            </w:r>
          </w:p>
        </w:tc>
        <w:tc>
          <w:tcPr>
            <w:tcW w:w="251"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一般性项目</w:t>
            </w:r>
          </w:p>
        </w:tc>
        <w:tc>
          <w:tcPr>
            <w:tcW w:w="283"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民生配套项目</w:t>
            </w:r>
          </w:p>
        </w:tc>
        <w:tc>
          <w:tcPr>
            <w:tcW w:w="239"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小计</w:t>
            </w:r>
          </w:p>
        </w:tc>
        <w:tc>
          <w:tcPr>
            <w:tcW w:w="277"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提前下达专项</w:t>
            </w:r>
          </w:p>
        </w:tc>
        <w:tc>
          <w:tcPr>
            <w:tcW w:w="239"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结转项目</w:t>
            </w:r>
          </w:p>
        </w:tc>
        <w:tc>
          <w:tcPr>
            <w:tcW w:w="1975"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市级专项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exac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center"/>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left"/>
              <w:rPr>
                <w:rFonts w:hint="eastAsia" w:ascii="宋体" w:hAnsi="宋体" w:eastAsia="宋体" w:cs="宋体"/>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jc w:val="righ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exact"/>
              <w:rPr>
                <w:rFonts w:hint="eastAsia" w:ascii="宋体" w:hAnsi="宋体" w:eastAsia="宋体" w:cs="宋体"/>
                <w:i w:val="0"/>
                <w:iCs w:val="0"/>
                <w:color w:val="000000"/>
                <w:sz w:val="18"/>
                <w:szCs w:val="18"/>
                <w:u w:val="none"/>
              </w:rPr>
            </w:pPr>
          </w:p>
        </w:tc>
      </w:tr>
    </w:tbl>
    <w:p>
      <w:pPr>
        <w:pStyle w:val="5"/>
        <w:keepNext w:val="0"/>
        <w:keepLines w:val="0"/>
        <w:pageBreakBefore w:val="0"/>
        <w:kinsoku/>
        <w:wordWrap/>
        <w:overflowPunct/>
        <w:topLinePunct w:val="0"/>
        <w:autoSpaceDN/>
        <w:bidi w:val="0"/>
        <w:adjustRightInd/>
        <w:spacing w:line="600" w:lineRule="exact"/>
        <w:sectPr>
          <w:footerReference r:id="rId4" w:type="default"/>
          <w:pgSz w:w="16838" w:h="11906" w:orient="landscape"/>
          <w:pgMar w:top="1418" w:right="1418" w:bottom="1418" w:left="1418" w:header="851" w:footer="992" w:gutter="0"/>
          <w:cols w:space="0" w:num="1"/>
          <w:docGrid w:linePitch="312" w:charSpace="0"/>
        </w:sectPr>
      </w:pPr>
    </w:p>
    <w:p>
      <w:pPr>
        <w:pStyle w:val="5"/>
        <w:keepNext w:val="0"/>
        <w:keepLines w:val="0"/>
        <w:pageBreakBefore w:val="0"/>
        <w:kinsoku/>
        <w:wordWrap/>
        <w:overflowPunct/>
        <w:topLinePunct w:val="0"/>
        <w:autoSpaceDN/>
        <w:bidi w:val="0"/>
        <w:adjustRightInd/>
        <w:spacing w:line="600" w:lineRule="exact"/>
      </w:pPr>
    </w:p>
    <w:sectPr>
      <w:pgSz w:w="16838" w:h="11906" w:orient="landscape"/>
      <w:pgMar w:top="1418" w:right="1418" w:bottom="1418" w:left="141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embedRegular r:id="rId1" w:fontKey="{AF195BDC-08CA-4F58-9927-E0803713BFE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E0000" w:usb2="00000000" w:usb3="00000000" w:csb0="00040000" w:csb1="00000000"/>
    <w:embedRegular r:id="rId2" w:fontKey="{0A05152F-8E38-4E53-B027-0F6C4ECE87DD}"/>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3A6AC013-AD69-4B84-8113-52A651BBCE55}"/>
  </w:font>
  <w:font w:name="仿宋_GB2312">
    <w:panose1 w:val="02010609030101010101"/>
    <w:charset w:val="86"/>
    <w:family w:val="modern"/>
    <w:pitch w:val="default"/>
    <w:sig w:usb0="00000001" w:usb1="080E0000" w:usb2="00000000" w:usb3="00000000" w:csb0="00040000" w:csb1="00000000"/>
    <w:embedRegular r:id="rId4" w:fontKey="{27EFA518-405C-4DA4-AA72-53710440F08F}"/>
  </w:font>
  <w:font w:name="方正黑体_GBK">
    <w:panose1 w:val="03000509000000000000"/>
    <w:charset w:val="86"/>
    <w:family w:val="script"/>
    <w:pitch w:val="default"/>
    <w:sig w:usb0="00000001" w:usb1="080E0000" w:usb2="00000000" w:usb3="00000000" w:csb0="00040000" w:csb1="00000000"/>
    <w:embedRegular r:id="rId5" w:fontKey="{F5858EA4-8F34-4480-9ACD-0AC446C53C23}"/>
  </w:font>
  <w:font w:name="方正楷体_GBK">
    <w:panose1 w:val="02000000000000000000"/>
    <w:charset w:val="86"/>
    <w:family w:val="script"/>
    <w:pitch w:val="default"/>
    <w:sig w:usb0="800002BF" w:usb1="38CF7CFA" w:usb2="00000016" w:usb3="00000000" w:csb0="00040000" w:csb1="00000000"/>
    <w:embedRegular r:id="rId6" w:fontKey="{05C957DD-3A92-4715-8D53-B80DC567968D}"/>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408</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411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MDJiZDc2YzE4NzhkOTYxYzA1NTYzNTkzZmIyZjYifQ=="/>
    <w:docVar w:name="KSO_WPS_MARK_KEY" w:val="549f03ad-1e6e-4a8d-8c95-fefd3fb013e0"/>
  </w:docVars>
  <w:rsids>
    <w:rsidRoot w:val="3C93402F"/>
    <w:rsid w:val="000304B9"/>
    <w:rsid w:val="0003706B"/>
    <w:rsid w:val="00053759"/>
    <w:rsid w:val="00054392"/>
    <w:rsid w:val="000A4AA7"/>
    <w:rsid w:val="0010727F"/>
    <w:rsid w:val="001310F8"/>
    <w:rsid w:val="00191811"/>
    <w:rsid w:val="00214D21"/>
    <w:rsid w:val="0022405D"/>
    <w:rsid w:val="00286DAB"/>
    <w:rsid w:val="002969A9"/>
    <w:rsid w:val="002A40F6"/>
    <w:rsid w:val="002E06F8"/>
    <w:rsid w:val="0032691B"/>
    <w:rsid w:val="00341BCA"/>
    <w:rsid w:val="00343544"/>
    <w:rsid w:val="00343D3E"/>
    <w:rsid w:val="0035780D"/>
    <w:rsid w:val="003C41BF"/>
    <w:rsid w:val="003E0863"/>
    <w:rsid w:val="003F57F2"/>
    <w:rsid w:val="00414B68"/>
    <w:rsid w:val="004300CB"/>
    <w:rsid w:val="0044161A"/>
    <w:rsid w:val="004B1678"/>
    <w:rsid w:val="004C04BD"/>
    <w:rsid w:val="004C76C3"/>
    <w:rsid w:val="00517411"/>
    <w:rsid w:val="00616F23"/>
    <w:rsid w:val="0064386D"/>
    <w:rsid w:val="00645533"/>
    <w:rsid w:val="00675608"/>
    <w:rsid w:val="0068143B"/>
    <w:rsid w:val="00690309"/>
    <w:rsid w:val="006A1C3C"/>
    <w:rsid w:val="006B161D"/>
    <w:rsid w:val="006F2A96"/>
    <w:rsid w:val="0071520F"/>
    <w:rsid w:val="00722C1D"/>
    <w:rsid w:val="00781CBE"/>
    <w:rsid w:val="007A554C"/>
    <w:rsid w:val="007C6921"/>
    <w:rsid w:val="007E2700"/>
    <w:rsid w:val="008011A3"/>
    <w:rsid w:val="008218F0"/>
    <w:rsid w:val="008224F2"/>
    <w:rsid w:val="0083630C"/>
    <w:rsid w:val="008820C5"/>
    <w:rsid w:val="008878A5"/>
    <w:rsid w:val="00897CDB"/>
    <w:rsid w:val="008C2C83"/>
    <w:rsid w:val="008D3E31"/>
    <w:rsid w:val="008D7B5B"/>
    <w:rsid w:val="00970311"/>
    <w:rsid w:val="00980EE4"/>
    <w:rsid w:val="0099444A"/>
    <w:rsid w:val="009C0815"/>
    <w:rsid w:val="009F24FE"/>
    <w:rsid w:val="009F256A"/>
    <w:rsid w:val="00A00605"/>
    <w:rsid w:val="00A272F2"/>
    <w:rsid w:val="00A91667"/>
    <w:rsid w:val="00AA06C3"/>
    <w:rsid w:val="00AA08EA"/>
    <w:rsid w:val="00AC3945"/>
    <w:rsid w:val="00AD0C52"/>
    <w:rsid w:val="00AD2978"/>
    <w:rsid w:val="00AD541D"/>
    <w:rsid w:val="00AE7D48"/>
    <w:rsid w:val="00B0766A"/>
    <w:rsid w:val="00B53E3F"/>
    <w:rsid w:val="00B60A06"/>
    <w:rsid w:val="00BE7F84"/>
    <w:rsid w:val="00C204FF"/>
    <w:rsid w:val="00C32FC7"/>
    <w:rsid w:val="00CD2F64"/>
    <w:rsid w:val="00CD3892"/>
    <w:rsid w:val="00CE6AD7"/>
    <w:rsid w:val="00D15820"/>
    <w:rsid w:val="00D61957"/>
    <w:rsid w:val="00D76E54"/>
    <w:rsid w:val="00D8531A"/>
    <w:rsid w:val="00D9365C"/>
    <w:rsid w:val="00DB1EFC"/>
    <w:rsid w:val="00DE3EE8"/>
    <w:rsid w:val="00E147C3"/>
    <w:rsid w:val="00E32EE1"/>
    <w:rsid w:val="00E32F17"/>
    <w:rsid w:val="00E43CF2"/>
    <w:rsid w:val="00E7401B"/>
    <w:rsid w:val="00ED075B"/>
    <w:rsid w:val="00EE3975"/>
    <w:rsid w:val="00EE4C1C"/>
    <w:rsid w:val="00F0356C"/>
    <w:rsid w:val="00F21EB6"/>
    <w:rsid w:val="00F43BEC"/>
    <w:rsid w:val="00F74F1E"/>
    <w:rsid w:val="00F8785D"/>
    <w:rsid w:val="00FC051D"/>
    <w:rsid w:val="00FE0906"/>
    <w:rsid w:val="010549E3"/>
    <w:rsid w:val="01274366"/>
    <w:rsid w:val="01401A60"/>
    <w:rsid w:val="015A016E"/>
    <w:rsid w:val="016417A4"/>
    <w:rsid w:val="01745676"/>
    <w:rsid w:val="02177A6B"/>
    <w:rsid w:val="02276CDE"/>
    <w:rsid w:val="02324890"/>
    <w:rsid w:val="02BA3AFD"/>
    <w:rsid w:val="02E60851"/>
    <w:rsid w:val="02F216FC"/>
    <w:rsid w:val="0318024C"/>
    <w:rsid w:val="033579B8"/>
    <w:rsid w:val="03FB4339"/>
    <w:rsid w:val="04227034"/>
    <w:rsid w:val="04371904"/>
    <w:rsid w:val="04622B4E"/>
    <w:rsid w:val="051B68CD"/>
    <w:rsid w:val="053C0B8D"/>
    <w:rsid w:val="059D461C"/>
    <w:rsid w:val="05B34E63"/>
    <w:rsid w:val="05E00732"/>
    <w:rsid w:val="05E16ED2"/>
    <w:rsid w:val="06616243"/>
    <w:rsid w:val="06E64DB5"/>
    <w:rsid w:val="07AF4551"/>
    <w:rsid w:val="07D74CDF"/>
    <w:rsid w:val="07DF2BAA"/>
    <w:rsid w:val="0802440D"/>
    <w:rsid w:val="087459EC"/>
    <w:rsid w:val="089F1C5C"/>
    <w:rsid w:val="09066342"/>
    <w:rsid w:val="096D6604"/>
    <w:rsid w:val="09717916"/>
    <w:rsid w:val="099C40FB"/>
    <w:rsid w:val="09CE41EC"/>
    <w:rsid w:val="0A8F3F52"/>
    <w:rsid w:val="0AE40C5E"/>
    <w:rsid w:val="0B624041"/>
    <w:rsid w:val="0B970E43"/>
    <w:rsid w:val="0BDB62C7"/>
    <w:rsid w:val="0CCF4ADA"/>
    <w:rsid w:val="0CEC743A"/>
    <w:rsid w:val="0D2B709B"/>
    <w:rsid w:val="0D566B03"/>
    <w:rsid w:val="0D8C7292"/>
    <w:rsid w:val="0DEE03B4"/>
    <w:rsid w:val="0E1C182B"/>
    <w:rsid w:val="0E3F7123"/>
    <w:rsid w:val="10455B23"/>
    <w:rsid w:val="10D97499"/>
    <w:rsid w:val="11327C27"/>
    <w:rsid w:val="116019C8"/>
    <w:rsid w:val="119D3C86"/>
    <w:rsid w:val="11B5604C"/>
    <w:rsid w:val="122C1D03"/>
    <w:rsid w:val="12344F34"/>
    <w:rsid w:val="123F4338"/>
    <w:rsid w:val="1270142A"/>
    <w:rsid w:val="12A1218B"/>
    <w:rsid w:val="12D1658C"/>
    <w:rsid w:val="12F80A67"/>
    <w:rsid w:val="13367EB4"/>
    <w:rsid w:val="13E13E88"/>
    <w:rsid w:val="14946A93"/>
    <w:rsid w:val="14DB1FD4"/>
    <w:rsid w:val="151D77DE"/>
    <w:rsid w:val="15235D67"/>
    <w:rsid w:val="152449FC"/>
    <w:rsid w:val="154B54F4"/>
    <w:rsid w:val="15681628"/>
    <w:rsid w:val="166E74A4"/>
    <w:rsid w:val="16A803DE"/>
    <w:rsid w:val="16B44623"/>
    <w:rsid w:val="16EB42BE"/>
    <w:rsid w:val="17052AB3"/>
    <w:rsid w:val="17237EFC"/>
    <w:rsid w:val="18145165"/>
    <w:rsid w:val="18231D1A"/>
    <w:rsid w:val="185E0ADF"/>
    <w:rsid w:val="187B6642"/>
    <w:rsid w:val="19A75E26"/>
    <w:rsid w:val="1A5D6290"/>
    <w:rsid w:val="1AA62AE4"/>
    <w:rsid w:val="1B644B05"/>
    <w:rsid w:val="1BF6363A"/>
    <w:rsid w:val="1C63380A"/>
    <w:rsid w:val="1C6A31C3"/>
    <w:rsid w:val="1C8046AD"/>
    <w:rsid w:val="1CCB4B70"/>
    <w:rsid w:val="1CE23AE0"/>
    <w:rsid w:val="1D2D10AF"/>
    <w:rsid w:val="1DEE2207"/>
    <w:rsid w:val="1DF328B5"/>
    <w:rsid w:val="1E6B327E"/>
    <w:rsid w:val="1E911169"/>
    <w:rsid w:val="1ED50B96"/>
    <w:rsid w:val="1EED3BFB"/>
    <w:rsid w:val="1F833C2E"/>
    <w:rsid w:val="1FC303CA"/>
    <w:rsid w:val="206B7D6A"/>
    <w:rsid w:val="206C2914"/>
    <w:rsid w:val="208115C4"/>
    <w:rsid w:val="20EA5B84"/>
    <w:rsid w:val="210B58E7"/>
    <w:rsid w:val="217F456C"/>
    <w:rsid w:val="21AA6177"/>
    <w:rsid w:val="21AF615A"/>
    <w:rsid w:val="21EA1D42"/>
    <w:rsid w:val="222557E0"/>
    <w:rsid w:val="22643293"/>
    <w:rsid w:val="236043E2"/>
    <w:rsid w:val="23842032"/>
    <w:rsid w:val="23AE64D4"/>
    <w:rsid w:val="23D73695"/>
    <w:rsid w:val="23E746D1"/>
    <w:rsid w:val="23FC321F"/>
    <w:rsid w:val="2419690F"/>
    <w:rsid w:val="245D278E"/>
    <w:rsid w:val="24F02B7D"/>
    <w:rsid w:val="25311480"/>
    <w:rsid w:val="25450795"/>
    <w:rsid w:val="25AB6FE2"/>
    <w:rsid w:val="264674C0"/>
    <w:rsid w:val="265F2724"/>
    <w:rsid w:val="267C6519"/>
    <w:rsid w:val="26C16617"/>
    <w:rsid w:val="26E804F0"/>
    <w:rsid w:val="270D5FCB"/>
    <w:rsid w:val="27433B66"/>
    <w:rsid w:val="2795146C"/>
    <w:rsid w:val="279F519A"/>
    <w:rsid w:val="27A02EA3"/>
    <w:rsid w:val="27DA64BD"/>
    <w:rsid w:val="2826061D"/>
    <w:rsid w:val="282817BD"/>
    <w:rsid w:val="28595C3D"/>
    <w:rsid w:val="289245B8"/>
    <w:rsid w:val="28CC7C8E"/>
    <w:rsid w:val="28E51EAA"/>
    <w:rsid w:val="28E9088A"/>
    <w:rsid w:val="2A150A97"/>
    <w:rsid w:val="2AF90B43"/>
    <w:rsid w:val="2B2A36FB"/>
    <w:rsid w:val="2B367AF8"/>
    <w:rsid w:val="2BA52521"/>
    <w:rsid w:val="2C194F20"/>
    <w:rsid w:val="2C4409B5"/>
    <w:rsid w:val="2C7C7152"/>
    <w:rsid w:val="2CA95B0F"/>
    <w:rsid w:val="2CB05500"/>
    <w:rsid w:val="2CE675AA"/>
    <w:rsid w:val="2DA376EA"/>
    <w:rsid w:val="2DC36881"/>
    <w:rsid w:val="2E2547C1"/>
    <w:rsid w:val="2E68444C"/>
    <w:rsid w:val="2EB47660"/>
    <w:rsid w:val="2F8A3221"/>
    <w:rsid w:val="2F9A2CA1"/>
    <w:rsid w:val="301541ED"/>
    <w:rsid w:val="30221C48"/>
    <w:rsid w:val="30240B15"/>
    <w:rsid w:val="311D122A"/>
    <w:rsid w:val="31451B93"/>
    <w:rsid w:val="31A24FED"/>
    <w:rsid w:val="31B91B79"/>
    <w:rsid w:val="31C93EE5"/>
    <w:rsid w:val="3208244F"/>
    <w:rsid w:val="326C67A3"/>
    <w:rsid w:val="32797E4A"/>
    <w:rsid w:val="32D103B5"/>
    <w:rsid w:val="331464E2"/>
    <w:rsid w:val="334A189D"/>
    <w:rsid w:val="33DC0966"/>
    <w:rsid w:val="34215832"/>
    <w:rsid w:val="34634E5B"/>
    <w:rsid w:val="349A611D"/>
    <w:rsid w:val="34C73F94"/>
    <w:rsid w:val="359F2D89"/>
    <w:rsid w:val="36085F7B"/>
    <w:rsid w:val="360D315F"/>
    <w:rsid w:val="36232870"/>
    <w:rsid w:val="363611DD"/>
    <w:rsid w:val="366A05DB"/>
    <w:rsid w:val="368E228F"/>
    <w:rsid w:val="372904BF"/>
    <w:rsid w:val="37BD385B"/>
    <w:rsid w:val="38760452"/>
    <w:rsid w:val="389D426B"/>
    <w:rsid w:val="39411436"/>
    <w:rsid w:val="396B5450"/>
    <w:rsid w:val="39D92970"/>
    <w:rsid w:val="39F52164"/>
    <w:rsid w:val="3AA97F72"/>
    <w:rsid w:val="3B097D0D"/>
    <w:rsid w:val="3BBE6635"/>
    <w:rsid w:val="3C753F8B"/>
    <w:rsid w:val="3C9211CB"/>
    <w:rsid w:val="3C93402F"/>
    <w:rsid w:val="3CF676D2"/>
    <w:rsid w:val="3DB57AA1"/>
    <w:rsid w:val="3DE717CE"/>
    <w:rsid w:val="3E0C10AA"/>
    <w:rsid w:val="3E180332"/>
    <w:rsid w:val="3E403BBA"/>
    <w:rsid w:val="3EC052AB"/>
    <w:rsid w:val="3ED66846"/>
    <w:rsid w:val="3EF95346"/>
    <w:rsid w:val="3FC04F7A"/>
    <w:rsid w:val="401B483B"/>
    <w:rsid w:val="402F2764"/>
    <w:rsid w:val="40372BB2"/>
    <w:rsid w:val="405113F8"/>
    <w:rsid w:val="40767602"/>
    <w:rsid w:val="4087105B"/>
    <w:rsid w:val="41362356"/>
    <w:rsid w:val="4184620D"/>
    <w:rsid w:val="42005FAB"/>
    <w:rsid w:val="425E3CB1"/>
    <w:rsid w:val="426136E9"/>
    <w:rsid w:val="426F65D3"/>
    <w:rsid w:val="42813BA5"/>
    <w:rsid w:val="428611BC"/>
    <w:rsid w:val="428D5CD5"/>
    <w:rsid w:val="429513FF"/>
    <w:rsid w:val="434765EB"/>
    <w:rsid w:val="4374118B"/>
    <w:rsid w:val="437B3CEC"/>
    <w:rsid w:val="439F6551"/>
    <w:rsid w:val="43D47AEB"/>
    <w:rsid w:val="44681FAE"/>
    <w:rsid w:val="449851C0"/>
    <w:rsid w:val="44B64C4D"/>
    <w:rsid w:val="455515F5"/>
    <w:rsid w:val="455E025D"/>
    <w:rsid w:val="45CE5353"/>
    <w:rsid w:val="462547A6"/>
    <w:rsid w:val="463A2B4D"/>
    <w:rsid w:val="46B06807"/>
    <w:rsid w:val="46EA05B5"/>
    <w:rsid w:val="46F87E54"/>
    <w:rsid w:val="47573126"/>
    <w:rsid w:val="47A0474E"/>
    <w:rsid w:val="48621D83"/>
    <w:rsid w:val="490378C0"/>
    <w:rsid w:val="49092B40"/>
    <w:rsid w:val="49474F7F"/>
    <w:rsid w:val="496966D6"/>
    <w:rsid w:val="49B53780"/>
    <w:rsid w:val="49C37F7C"/>
    <w:rsid w:val="4A0F65F2"/>
    <w:rsid w:val="4A334A7F"/>
    <w:rsid w:val="4A9A28A0"/>
    <w:rsid w:val="4AA220FE"/>
    <w:rsid w:val="4AEA028D"/>
    <w:rsid w:val="4AFB51D2"/>
    <w:rsid w:val="4B0B6CBE"/>
    <w:rsid w:val="4B0F6354"/>
    <w:rsid w:val="4B234E97"/>
    <w:rsid w:val="4C317D27"/>
    <w:rsid w:val="4CCC0C68"/>
    <w:rsid w:val="4CED5945"/>
    <w:rsid w:val="4D0A0918"/>
    <w:rsid w:val="4D7C7C18"/>
    <w:rsid w:val="4DD9086C"/>
    <w:rsid w:val="4EB237A8"/>
    <w:rsid w:val="4F366FB4"/>
    <w:rsid w:val="4FC31E08"/>
    <w:rsid w:val="50131BB5"/>
    <w:rsid w:val="50862720"/>
    <w:rsid w:val="50AA1A17"/>
    <w:rsid w:val="50DA38A7"/>
    <w:rsid w:val="51386295"/>
    <w:rsid w:val="51C57A7C"/>
    <w:rsid w:val="533C19D3"/>
    <w:rsid w:val="534F7E50"/>
    <w:rsid w:val="5372354D"/>
    <w:rsid w:val="543A72F3"/>
    <w:rsid w:val="54C40190"/>
    <w:rsid w:val="555B686D"/>
    <w:rsid w:val="561B65F6"/>
    <w:rsid w:val="565617CD"/>
    <w:rsid w:val="56A43656"/>
    <w:rsid w:val="56A92D3D"/>
    <w:rsid w:val="56C71C1E"/>
    <w:rsid w:val="56EA0B71"/>
    <w:rsid w:val="57275CB0"/>
    <w:rsid w:val="57902AC5"/>
    <w:rsid w:val="584B4E74"/>
    <w:rsid w:val="595E1ECA"/>
    <w:rsid w:val="59EB2FCB"/>
    <w:rsid w:val="59F111B9"/>
    <w:rsid w:val="5AB83669"/>
    <w:rsid w:val="5B1435B0"/>
    <w:rsid w:val="5B8012C6"/>
    <w:rsid w:val="5BD668B8"/>
    <w:rsid w:val="5BE6216F"/>
    <w:rsid w:val="5CA56A42"/>
    <w:rsid w:val="5D4962DA"/>
    <w:rsid w:val="5D6326D7"/>
    <w:rsid w:val="5D7F232B"/>
    <w:rsid w:val="5DB76275"/>
    <w:rsid w:val="5FE17949"/>
    <w:rsid w:val="602E525B"/>
    <w:rsid w:val="60662C46"/>
    <w:rsid w:val="61C22F65"/>
    <w:rsid w:val="620F321D"/>
    <w:rsid w:val="62312A9A"/>
    <w:rsid w:val="62393632"/>
    <w:rsid w:val="62776161"/>
    <w:rsid w:val="62890C71"/>
    <w:rsid w:val="62C507C9"/>
    <w:rsid w:val="62E97008"/>
    <w:rsid w:val="62FB101D"/>
    <w:rsid w:val="63871BF1"/>
    <w:rsid w:val="63B35731"/>
    <w:rsid w:val="63FF7D66"/>
    <w:rsid w:val="640817D4"/>
    <w:rsid w:val="65701DAE"/>
    <w:rsid w:val="65AC068A"/>
    <w:rsid w:val="65D21007"/>
    <w:rsid w:val="65E65E08"/>
    <w:rsid w:val="65FA3F4B"/>
    <w:rsid w:val="662243A2"/>
    <w:rsid w:val="6630546A"/>
    <w:rsid w:val="666A7523"/>
    <w:rsid w:val="67B44A3F"/>
    <w:rsid w:val="681819DC"/>
    <w:rsid w:val="682B5A6A"/>
    <w:rsid w:val="68866387"/>
    <w:rsid w:val="68A90F2B"/>
    <w:rsid w:val="68AA2B65"/>
    <w:rsid w:val="69125F45"/>
    <w:rsid w:val="6A3C6480"/>
    <w:rsid w:val="6A434398"/>
    <w:rsid w:val="6A450DA9"/>
    <w:rsid w:val="6A5615EC"/>
    <w:rsid w:val="6AA1789F"/>
    <w:rsid w:val="6C1F71D5"/>
    <w:rsid w:val="6DAA54AF"/>
    <w:rsid w:val="6E464D65"/>
    <w:rsid w:val="6ECE1D5E"/>
    <w:rsid w:val="6F313FE5"/>
    <w:rsid w:val="6F3C5AAD"/>
    <w:rsid w:val="6FC22F83"/>
    <w:rsid w:val="70576D06"/>
    <w:rsid w:val="70673B2B"/>
    <w:rsid w:val="707852F5"/>
    <w:rsid w:val="70AD7E26"/>
    <w:rsid w:val="70B32923"/>
    <w:rsid w:val="70BB7E5C"/>
    <w:rsid w:val="70E46F2A"/>
    <w:rsid w:val="71332197"/>
    <w:rsid w:val="714726B7"/>
    <w:rsid w:val="721B2E1F"/>
    <w:rsid w:val="72453BE7"/>
    <w:rsid w:val="72484540"/>
    <w:rsid w:val="72703E94"/>
    <w:rsid w:val="730A58E1"/>
    <w:rsid w:val="73413276"/>
    <w:rsid w:val="73415F19"/>
    <w:rsid w:val="7355410F"/>
    <w:rsid w:val="74156E85"/>
    <w:rsid w:val="742A49F3"/>
    <w:rsid w:val="7458144D"/>
    <w:rsid w:val="74590FF5"/>
    <w:rsid w:val="74AB40B9"/>
    <w:rsid w:val="74AB522C"/>
    <w:rsid w:val="751527CF"/>
    <w:rsid w:val="75B82C33"/>
    <w:rsid w:val="75E65613"/>
    <w:rsid w:val="76252600"/>
    <w:rsid w:val="76C025DC"/>
    <w:rsid w:val="76DA78D0"/>
    <w:rsid w:val="76EC740F"/>
    <w:rsid w:val="776C3DBF"/>
    <w:rsid w:val="777B6BED"/>
    <w:rsid w:val="77AD4D1B"/>
    <w:rsid w:val="77B81E09"/>
    <w:rsid w:val="77E93674"/>
    <w:rsid w:val="77F8480C"/>
    <w:rsid w:val="78761FA7"/>
    <w:rsid w:val="78791B91"/>
    <w:rsid w:val="78A265FE"/>
    <w:rsid w:val="78FC0C0E"/>
    <w:rsid w:val="79E916CD"/>
    <w:rsid w:val="7A2912C6"/>
    <w:rsid w:val="7A944324"/>
    <w:rsid w:val="7ACB247F"/>
    <w:rsid w:val="7AE25346"/>
    <w:rsid w:val="7AFD20FE"/>
    <w:rsid w:val="7B5B120F"/>
    <w:rsid w:val="7B8A6E1D"/>
    <w:rsid w:val="7B8C2698"/>
    <w:rsid w:val="7B923700"/>
    <w:rsid w:val="7BEF6CB9"/>
    <w:rsid w:val="7CC6609B"/>
    <w:rsid w:val="7D1B1FC5"/>
    <w:rsid w:val="7D782ED3"/>
    <w:rsid w:val="7D7C46F8"/>
    <w:rsid w:val="7D80447E"/>
    <w:rsid w:val="7E05195A"/>
    <w:rsid w:val="7E2C493A"/>
    <w:rsid w:val="7E634CED"/>
    <w:rsid w:val="7EA2576A"/>
    <w:rsid w:val="7EF60B64"/>
    <w:rsid w:val="7EF7050F"/>
    <w:rsid w:val="7EF7251E"/>
    <w:rsid w:val="7FD30E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autoRedefine/>
    <w:qFormat/>
    <w:uiPriority w:val="99"/>
    <w:pPr>
      <w:widowControl/>
      <w:spacing w:line="480" w:lineRule="exact"/>
    </w:pPr>
    <w:rPr>
      <w:rFonts w:ascii="宋体" w:hAnsi="宋体" w:cs="宋体"/>
      <w:kern w:val="0"/>
      <w:sz w:val="24"/>
      <w:szCs w:val="24"/>
    </w:rPr>
  </w:style>
  <w:style w:type="paragraph" w:styleId="3">
    <w:name w:val="Plain Text"/>
    <w:basedOn w:val="1"/>
    <w:link w:val="32"/>
    <w:qFormat/>
    <w:uiPriority w:val="99"/>
    <w:rPr>
      <w:rFonts w:ascii="宋体" w:hAnsi="Courier New" w:cs="宋体"/>
    </w:rPr>
  </w:style>
  <w:style w:type="paragraph" w:styleId="4">
    <w:name w:val="Balloon Text"/>
    <w:basedOn w:val="1"/>
    <w:link w:val="17"/>
    <w:semiHidden/>
    <w:qFormat/>
    <w:uiPriority w:val="99"/>
    <w:rPr>
      <w:sz w:val="18"/>
      <w:szCs w:val="18"/>
    </w:rPr>
  </w:style>
  <w:style w:type="paragraph" w:styleId="5">
    <w:name w:val="footer"/>
    <w:basedOn w:val="1"/>
    <w:link w:val="12"/>
    <w:autoRedefine/>
    <w:qFormat/>
    <w:uiPriority w:val="99"/>
    <w:pPr>
      <w:tabs>
        <w:tab w:val="center" w:pos="4153"/>
        <w:tab w:val="right" w:pos="8306"/>
      </w:tabs>
      <w:snapToGrid w:val="0"/>
      <w:jc w:val="left"/>
    </w:pPr>
    <w:rPr>
      <w:sz w:val="18"/>
      <w:szCs w:val="18"/>
    </w:rPr>
  </w:style>
  <w:style w:type="paragraph" w:styleId="6">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autoRedefine/>
    <w:qFormat/>
    <w:uiPriority w:val="99"/>
  </w:style>
  <w:style w:type="paragraph" w:customStyle="1" w:styleId="11">
    <w:name w:val="默认"/>
    <w:basedOn w:val="1"/>
    <w:autoRedefine/>
    <w:qFormat/>
    <w:uiPriority w:val="99"/>
    <w:pPr>
      <w:widowControl/>
      <w:jc w:val="left"/>
    </w:pPr>
    <w:rPr>
      <w:rFonts w:ascii="Helvetica" w:hAnsi="Helvetica" w:cs="Helvetica"/>
      <w:color w:val="000000"/>
      <w:kern w:val="0"/>
      <w:sz w:val="22"/>
      <w:szCs w:val="22"/>
    </w:rPr>
  </w:style>
  <w:style w:type="character" w:customStyle="1" w:styleId="12">
    <w:name w:val="页脚 Char"/>
    <w:link w:val="5"/>
    <w:qFormat/>
    <w:locked/>
    <w:uiPriority w:val="99"/>
    <w:rPr>
      <w:kern w:val="2"/>
      <w:sz w:val="22"/>
      <w:szCs w:val="22"/>
    </w:rPr>
  </w:style>
  <w:style w:type="paragraph" w:customStyle="1" w:styleId="13">
    <w:name w:val="列出段落1"/>
    <w:basedOn w:val="1"/>
    <w:qFormat/>
    <w:uiPriority w:val="99"/>
    <w:pPr>
      <w:ind w:firstLine="420" w:firstLineChars="200"/>
    </w:pPr>
  </w:style>
  <w:style w:type="character" w:customStyle="1" w:styleId="14">
    <w:name w:val="页眉 Char"/>
    <w:link w:val="6"/>
    <w:qFormat/>
    <w:locked/>
    <w:uiPriority w:val="99"/>
    <w:rPr>
      <w:kern w:val="2"/>
      <w:sz w:val="18"/>
      <w:szCs w:val="18"/>
    </w:rPr>
  </w:style>
  <w:style w:type="character" w:customStyle="1" w:styleId="15">
    <w:name w:val="font11"/>
    <w:qFormat/>
    <w:uiPriority w:val="99"/>
    <w:rPr>
      <w:rFonts w:ascii="方正仿宋_GBK" w:hAnsi="方正仿宋_GBK" w:eastAsia="方正仿宋_GBK" w:cs="方正仿宋_GBK"/>
      <w:color w:val="000000"/>
      <w:sz w:val="20"/>
      <w:szCs w:val="20"/>
      <w:u w:val="none"/>
    </w:rPr>
  </w:style>
  <w:style w:type="character" w:customStyle="1" w:styleId="16">
    <w:name w:val="font21"/>
    <w:qFormat/>
    <w:uiPriority w:val="99"/>
    <w:rPr>
      <w:rFonts w:ascii="方正仿宋_GBK" w:hAnsi="方正仿宋_GBK" w:eastAsia="方正仿宋_GBK" w:cs="方正仿宋_GBK"/>
      <w:color w:val="000000"/>
      <w:sz w:val="24"/>
      <w:szCs w:val="24"/>
      <w:u w:val="none"/>
    </w:rPr>
  </w:style>
  <w:style w:type="character" w:customStyle="1" w:styleId="17">
    <w:name w:val="批注框文本 Char"/>
    <w:link w:val="4"/>
    <w:autoRedefine/>
    <w:qFormat/>
    <w:locked/>
    <w:uiPriority w:val="99"/>
    <w:rPr>
      <w:kern w:val="2"/>
      <w:sz w:val="18"/>
      <w:szCs w:val="18"/>
    </w:rPr>
  </w:style>
  <w:style w:type="paragraph" w:customStyle="1" w:styleId="18">
    <w:name w:val="_Style 3"/>
    <w:basedOn w:val="1"/>
    <w:qFormat/>
    <w:uiPriority w:val="99"/>
    <w:pPr>
      <w:ind w:firstLine="420" w:firstLineChars="200"/>
    </w:pPr>
  </w:style>
  <w:style w:type="character" w:customStyle="1" w:styleId="19">
    <w:name w:val="15"/>
    <w:autoRedefine/>
    <w:qFormat/>
    <w:uiPriority w:val="99"/>
    <w:rPr>
      <w:rFonts w:ascii="方正仿宋_GBK" w:eastAsia="方正仿宋_GBK" w:cs="方正仿宋_GBK"/>
      <w:color w:val="000000"/>
      <w:sz w:val="20"/>
      <w:szCs w:val="20"/>
    </w:rPr>
  </w:style>
  <w:style w:type="character" w:customStyle="1" w:styleId="20">
    <w:name w:val="16"/>
    <w:autoRedefine/>
    <w:qFormat/>
    <w:uiPriority w:val="99"/>
    <w:rPr>
      <w:rFonts w:ascii="方正仿宋_GBK" w:eastAsia="方正仿宋_GBK" w:cs="方正仿宋_GBK"/>
      <w:color w:val="000000"/>
      <w:sz w:val="20"/>
      <w:szCs w:val="20"/>
    </w:rPr>
  </w:style>
  <w:style w:type="character" w:customStyle="1" w:styleId="21">
    <w:name w:val="正文文本 Char"/>
    <w:link w:val="2"/>
    <w:semiHidden/>
    <w:qFormat/>
    <w:locked/>
    <w:uiPriority w:val="99"/>
    <w:rPr>
      <w:sz w:val="21"/>
      <w:szCs w:val="21"/>
    </w:rPr>
  </w:style>
  <w:style w:type="character" w:customStyle="1" w:styleId="22">
    <w:name w:val="10"/>
    <w:autoRedefine/>
    <w:qFormat/>
    <w:uiPriority w:val="99"/>
    <w:rPr>
      <w:rFonts w:ascii="Times New Roman" w:hAnsi="Times New Roman" w:cs="Times New Roman"/>
    </w:rPr>
  </w:style>
  <w:style w:type="character" w:customStyle="1" w:styleId="23">
    <w:name w:val="17"/>
    <w:autoRedefine/>
    <w:qFormat/>
    <w:uiPriority w:val="99"/>
    <w:rPr>
      <w:rFonts w:ascii="方正仿宋_GBK" w:eastAsia="方正仿宋_GBK" w:cs="方正仿宋_GBK"/>
      <w:color w:val="000000"/>
      <w:sz w:val="18"/>
      <w:szCs w:val="18"/>
    </w:rPr>
  </w:style>
  <w:style w:type="character" w:customStyle="1" w:styleId="24">
    <w:name w:val="18"/>
    <w:qFormat/>
    <w:uiPriority w:val="99"/>
    <w:rPr>
      <w:rFonts w:ascii="方正仿宋_GBK" w:eastAsia="方正仿宋_GBK" w:cs="方正仿宋_GBK"/>
      <w:color w:val="000000"/>
      <w:sz w:val="24"/>
      <w:szCs w:val="24"/>
    </w:rPr>
  </w:style>
  <w:style w:type="paragraph" w:customStyle="1" w:styleId="25">
    <w:name w:val="Default"/>
    <w:basedOn w:val="1"/>
    <w:next w:val="1"/>
    <w:qFormat/>
    <w:uiPriority w:val="99"/>
    <w:pPr>
      <w:autoSpaceDE w:val="0"/>
      <w:autoSpaceDN w:val="0"/>
      <w:adjustRightInd w:val="0"/>
      <w:jc w:val="left"/>
    </w:pPr>
    <w:rPr>
      <w:rFonts w:ascii="仿宋" w:hAnsi="仿宋" w:cs="仿宋"/>
      <w:color w:val="000000"/>
      <w:kern w:val="0"/>
      <w:sz w:val="24"/>
      <w:szCs w:val="24"/>
    </w:rPr>
  </w:style>
  <w:style w:type="character" w:customStyle="1" w:styleId="26">
    <w:name w:val="19"/>
    <w:autoRedefine/>
    <w:qFormat/>
    <w:uiPriority w:val="99"/>
    <w:rPr>
      <w:rFonts w:ascii="宋体" w:hAnsi="宋体" w:eastAsia="宋体" w:cs="宋体"/>
      <w:color w:val="000000"/>
      <w:sz w:val="20"/>
      <w:szCs w:val="20"/>
    </w:rPr>
  </w:style>
  <w:style w:type="character" w:customStyle="1" w:styleId="27">
    <w:name w:val="20"/>
    <w:autoRedefine/>
    <w:qFormat/>
    <w:uiPriority w:val="99"/>
    <w:rPr>
      <w:rFonts w:ascii="宋体" w:hAnsi="宋体" w:eastAsia="宋体" w:cs="宋体"/>
      <w:color w:val="000000"/>
      <w:sz w:val="20"/>
      <w:szCs w:val="20"/>
    </w:rPr>
  </w:style>
  <w:style w:type="character" w:customStyle="1" w:styleId="28">
    <w:name w:val="21"/>
    <w:qFormat/>
    <w:uiPriority w:val="99"/>
    <w:rPr>
      <w:rFonts w:ascii="宋体" w:hAnsi="宋体" w:eastAsia="宋体" w:cs="宋体"/>
      <w:color w:val="000000"/>
      <w:sz w:val="20"/>
      <w:szCs w:val="20"/>
    </w:rPr>
  </w:style>
  <w:style w:type="character" w:customStyle="1" w:styleId="29">
    <w:name w:val="22"/>
    <w:autoRedefine/>
    <w:qFormat/>
    <w:uiPriority w:val="99"/>
    <w:rPr>
      <w:rFonts w:ascii="宋体" w:hAnsi="宋体" w:eastAsia="宋体" w:cs="宋体"/>
      <w:color w:val="000000"/>
      <w:sz w:val="20"/>
      <w:szCs w:val="20"/>
    </w:rPr>
  </w:style>
  <w:style w:type="character" w:customStyle="1" w:styleId="30">
    <w:name w:val="23"/>
    <w:autoRedefine/>
    <w:qFormat/>
    <w:uiPriority w:val="99"/>
    <w:rPr>
      <w:rFonts w:ascii="宋体" w:hAnsi="宋体" w:eastAsia="宋体" w:cs="宋体"/>
      <w:color w:val="000000"/>
      <w:sz w:val="20"/>
      <w:szCs w:val="20"/>
    </w:rPr>
  </w:style>
  <w:style w:type="character" w:customStyle="1" w:styleId="31">
    <w:name w:val="24"/>
    <w:qFormat/>
    <w:uiPriority w:val="99"/>
    <w:rPr>
      <w:rFonts w:ascii="宋体" w:hAnsi="宋体" w:eastAsia="宋体" w:cs="宋体"/>
      <w:color w:val="000000"/>
      <w:sz w:val="20"/>
      <w:szCs w:val="20"/>
    </w:rPr>
  </w:style>
  <w:style w:type="character" w:customStyle="1" w:styleId="32">
    <w:name w:val="纯文本 Char"/>
    <w:link w:val="3"/>
    <w:autoRedefine/>
    <w:semiHidden/>
    <w:qFormat/>
    <w:locked/>
    <w:uiPriority w:val="99"/>
    <w:rPr>
      <w:rFonts w:ascii="宋体" w:hAnsi="Courier New" w:cs="宋体"/>
      <w:sz w:val="21"/>
      <w:szCs w:val="21"/>
    </w:rPr>
  </w:style>
  <w:style w:type="paragraph" w:customStyle="1" w:styleId="33">
    <w:name w:val="列出段落11"/>
    <w:basedOn w:val="1"/>
    <w:qFormat/>
    <w:uiPriority w:val="99"/>
    <w:pPr>
      <w:ind w:firstLine="420" w:firstLineChars="200"/>
    </w:pPr>
  </w:style>
  <w:style w:type="paragraph" w:styleId="34">
    <w:name w:val="List Paragraph"/>
    <w:basedOn w:val="1"/>
    <w:autoRedefine/>
    <w:qFormat/>
    <w:uiPriority w:val="34"/>
    <w:pPr>
      <w:ind w:firstLine="420" w:firstLineChars="200"/>
    </w:pPr>
  </w:style>
  <w:style w:type="character" w:customStyle="1" w:styleId="35">
    <w:name w:val="font61"/>
    <w:basedOn w:val="9"/>
    <w:autoRedefine/>
    <w:qFormat/>
    <w:uiPriority w:val="0"/>
    <w:rPr>
      <w:rFonts w:hint="default" w:ascii="Times New Roman" w:hAnsi="Times New Roman" w:cs="Times New Roman"/>
      <w:color w:val="000000"/>
      <w:sz w:val="20"/>
      <w:szCs w:val="20"/>
      <w:u w:val="none"/>
    </w:rPr>
  </w:style>
  <w:style w:type="character" w:customStyle="1" w:styleId="36">
    <w:name w:val="font81"/>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37">
    <w:name w:val="font101"/>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38">
    <w:name w:val="font112"/>
    <w:basedOn w:val="9"/>
    <w:qFormat/>
    <w:uiPriority w:val="0"/>
    <w:rPr>
      <w:rFonts w:hint="default" w:ascii="方正仿宋_GBK" w:hAnsi="方正仿宋_GBK" w:eastAsia="方正仿宋_GBK" w:cs="方正仿宋_GBK"/>
      <w:color w:val="000000"/>
      <w:sz w:val="20"/>
      <w:szCs w:val="20"/>
      <w:u w:val="none"/>
    </w:rPr>
  </w:style>
  <w:style w:type="character" w:customStyle="1" w:styleId="39">
    <w:name w:val="font91"/>
    <w:basedOn w:val="9"/>
    <w:qFormat/>
    <w:uiPriority w:val="0"/>
    <w:rPr>
      <w:rFonts w:hint="default" w:ascii="方正仿宋_GBK" w:hAnsi="方正仿宋_GBK" w:eastAsia="方正仿宋_GBK" w:cs="方正仿宋_GBK"/>
      <w:color w:val="000000"/>
      <w:sz w:val="18"/>
      <w:szCs w:val="18"/>
      <w:u w:val="none"/>
    </w:rPr>
  </w:style>
  <w:style w:type="character" w:customStyle="1" w:styleId="40">
    <w:name w:val="font71"/>
    <w:basedOn w:val="9"/>
    <w:qFormat/>
    <w:uiPriority w:val="0"/>
    <w:rPr>
      <w:rFonts w:hint="default" w:ascii="方正仿宋_GBK" w:hAnsi="方正仿宋_GBK" w:eastAsia="方正仿宋_GBK" w:cs="方正仿宋_GBK"/>
      <w:color w:val="000000"/>
      <w:sz w:val="20"/>
      <w:szCs w:val="20"/>
      <w:u w:val="none"/>
    </w:rPr>
  </w:style>
  <w:style w:type="character" w:customStyle="1" w:styleId="41">
    <w:name w:val="font31"/>
    <w:basedOn w:val="9"/>
    <w:qFormat/>
    <w:uiPriority w:val="0"/>
    <w:rPr>
      <w:rFonts w:hint="default" w:ascii="方正仿宋_GBK" w:hAnsi="方正仿宋_GBK" w:eastAsia="方正仿宋_GBK" w:cs="方正仿宋_GBK"/>
      <w:color w:val="000000"/>
      <w:sz w:val="20"/>
      <w:szCs w:val="20"/>
      <w:u w:val="none"/>
    </w:rPr>
  </w:style>
  <w:style w:type="character" w:customStyle="1" w:styleId="42">
    <w:name w:val="font41"/>
    <w:basedOn w:val="9"/>
    <w:autoRedefine/>
    <w:qFormat/>
    <w:uiPriority w:val="0"/>
    <w:rPr>
      <w:rFonts w:hint="default"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EB36-9AA6-46DF-A9C9-182CA4A7F4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2862</Words>
  <Characters>3667</Characters>
  <Lines>1493</Lines>
  <Paragraphs>420</Paragraphs>
  <TotalTime>0</TotalTime>
  <ScaleCrop>false</ScaleCrop>
  <LinksUpToDate>false</LinksUpToDate>
  <CharactersWithSpaces>3834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2022-01-13T02:22:00Z</dcterms:created>
  <dc:creator>Administrator</dc:creator>
  <cp:lastModifiedBy>娣小毛</cp:lastModifiedBy>
  <dcterms:modified xsi:type="dcterms:W3CDTF">2024-03-25T07:02:28Z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924225636B014AEB804601339960C34B</vt:lpwstr>
  </property>
</Properties>
</file>