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line="600" w:lineRule="atLeas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五桂镇人民政府</w:t>
      </w:r>
    </w:p>
    <w:p>
      <w:pPr>
        <w:keepNext w:val="0"/>
        <w:keepLines w:val="0"/>
        <w:pageBreakBefore w:val="0"/>
        <w:kinsoku/>
        <w:wordWrap/>
        <w:overflowPunct/>
        <w:topLinePunct w:val="0"/>
        <w:autoSpaceDE w:val="0"/>
        <w:autoSpaceDN/>
        <w:bidi w:val="0"/>
        <w:adjustRightInd/>
        <w:spacing w:line="600" w:lineRule="atLeas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w:t>
      </w:r>
      <w:bookmarkStart w:id="0" w:name="_GoBack"/>
      <w:bookmarkEnd w:id="0"/>
      <w:r>
        <w:rPr>
          <w:rFonts w:hint="eastAsia" w:eastAsia="方正小标宋_GBK"/>
          <w:sz w:val="44"/>
          <w:szCs w:val="44"/>
          <w:lang w:eastAsia="zh-CN"/>
        </w:rPr>
        <w:t>（汇总）</w:t>
      </w:r>
      <w:r>
        <w:rPr>
          <w:rFonts w:eastAsia="方正小标宋_GBK"/>
          <w:sz w:val="44"/>
          <w:szCs w:val="44"/>
        </w:rPr>
        <w:t>情况说明</w:t>
      </w:r>
    </w:p>
    <w:p>
      <w:pPr>
        <w:keepNext w:val="0"/>
        <w:keepLines w:val="0"/>
        <w:pageBreakBefore w:val="0"/>
        <w:kinsoku/>
        <w:wordWrap/>
        <w:overflowPunct/>
        <w:topLinePunct w:val="0"/>
        <w:autoSpaceDN/>
        <w:bidi w:val="0"/>
        <w:adjustRightInd/>
        <w:spacing w:line="600" w:lineRule="atLeast"/>
        <w:ind w:firstLine="640" w:firstLineChars="200"/>
        <w:jc w:val="center"/>
        <w:rPr>
          <w:rFonts w:eastAsia="方正仿宋_GBK"/>
          <w:sz w:val="32"/>
          <w:szCs w:val="32"/>
        </w:rPr>
      </w:pPr>
      <w:r>
        <w:rPr>
          <w:rFonts w:eastAsia="仿宋_GB2312"/>
          <w:sz w:val="32"/>
          <w:szCs w:val="32"/>
        </w:rPr>
        <w:t xml:space="preserve"> </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一、单位基本情况</w:t>
      </w:r>
    </w:p>
    <w:p>
      <w:pPr>
        <w:keepNext w:val="0"/>
        <w:keepLines w:val="0"/>
        <w:pageBreakBefore w:val="0"/>
        <w:kinsoku/>
        <w:wordWrap/>
        <w:overflowPunct/>
        <w:topLinePunct w:val="0"/>
        <w:autoSpaceDN/>
        <w:bidi w:val="0"/>
        <w:adjustRightInd/>
        <w:spacing w:line="600" w:lineRule="atLeas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1.宣传和执行党的路线方针政策，贯彻执行上级的各项决议，组织带领全体干部，努力完成本单位所担负经济发展、社会稳定等各项中心工作和任务；</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2.加强党组织自身建设，领导以村（居）党组织为核心的村（居）组织体系建设；领导和指导社区非公有制经济组织开展党的工作；</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3.领导本镇工会、共青团、妇联等群众组织，支持和保证其依照各自章程开展工作；</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4.以经济建设为中心，抓好招商引资、向上争资工作，做好培植税源工作，努力为区域经济发展营造良好的社会环境，促进区域经济发展；</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5.组织、协调党、政、工、青、妇、司法所、派出所等部门和周边单位，密切关注辖区内的治安动态，掌握、分析治安状况，及时向上级部门上报信息，重大问题报告党政领导研究解决；</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pPr>
        <w:keepNext w:val="0"/>
        <w:keepLines w:val="0"/>
        <w:pageBreakBefore w:val="0"/>
        <w:kinsoku/>
        <w:wordWrap/>
        <w:overflowPunct/>
        <w:topLinePunct w:val="0"/>
        <w:autoSpaceDN/>
        <w:bidi w:val="0"/>
        <w:adjustRightInd/>
        <w:spacing w:line="600" w:lineRule="atLeast"/>
        <w:ind w:firstLine="684" w:firstLineChars="214"/>
        <w:rPr>
          <w:rFonts w:eastAsia="方正楷体_GBK"/>
          <w:sz w:val="32"/>
          <w:szCs w:val="32"/>
        </w:rPr>
      </w:pPr>
      <w:r>
        <w:rPr>
          <w:rFonts w:eastAsia="方正楷体_GBK"/>
          <w:sz w:val="32"/>
          <w:szCs w:val="32"/>
        </w:rPr>
        <w:t>（二）单位构成</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人民政府是潼南区政府工作部门，设置8个单位，包括重庆市潼南区五桂镇人民政府（本级）、重庆市潼南区五桂镇农业服务中心、重庆市潼南区五桂镇文化服务中心、重庆市潼南区五桂镇劳动就业和社会保障服务所、重庆市潼南区五桂镇退役军人服务站、重庆市潼南区五桂镇综合行政执法大队、重庆市潼南区五桂镇村镇建设服务中心、重庆市潼南区五桂镇产业发展服务中心。</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二、部门收支总体情况</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（一）收入预算：2024年年初预算数1840.81万元，其中：一般公共预算拨款1840.81万元，政府性基金预算拨款 0万元,国有资本经营预算收入0万元，事业收入0万元，事业单位经营收入0 万元，其他收入0万元，收入较去年增加158.67万元。</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1840.81万元，其中：一般公共服务支出支出893.86万元，文化旅游体育与传媒支出49.28 万元，社会保障和就业支出276.95 万元，卫生健康支出 63.08万元，城乡社区支出31.51万元，农林水支出 464.72万元，住房保障支出61.41万元。支出较去年增加158.67万元，主要是基本支出增加32.95万元，项目支出增加125.72万元。</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三、部门预算情况说明</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1840.81万元，一般公共预算财政拨款支出1840.81万元，比2023年增加158.67万元。其中：基本支出1139.13万元，比2023增加32.95万元，主要原因新招录一名公务员和一名事业单位人员，人员经费和公用经费增加增加；项目支出701.68万元，比2023年增加125.72 万元，主要原因是政府办公厅（室）及相关机构事务增加。</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四、“三公”经费情况说明</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三公”经费预算13.0万元，比2023年减少2.0万元。其中：因公出国（境）费用0万元，与2023年持平；公务接待费6.0万元，与2023年减少2.0万元，主要原因是缩减开支；公务用车运行维护费7.0万元，与2023年持平；公务用车购置费0万元，与2023年持平。</w:t>
      </w:r>
    </w:p>
    <w:p>
      <w:pPr>
        <w:keepNext w:val="0"/>
        <w:keepLines w:val="0"/>
        <w:pageBreakBefore w:val="0"/>
        <w:kinsoku/>
        <w:wordWrap/>
        <w:overflowPunct/>
        <w:topLinePunct w:val="0"/>
        <w:autoSpaceDN/>
        <w:bidi w:val="0"/>
        <w:adjustRightInd/>
        <w:spacing w:line="600" w:lineRule="atLeast"/>
        <w:ind w:firstLine="684" w:firstLineChars="214"/>
        <w:rPr>
          <w:rFonts w:eastAsia="方正黑体_GBK"/>
          <w:sz w:val="32"/>
          <w:szCs w:val="32"/>
        </w:rPr>
      </w:pPr>
      <w:r>
        <w:rPr>
          <w:rFonts w:eastAsia="方正黑体_GBK"/>
          <w:sz w:val="32"/>
          <w:szCs w:val="32"/>
        </w:rPr>
        <w:t>五、其他重要事项的情况说明</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178.66</w:t>
      </w:r>
      <w:r>
        <w:rPr>
          <w:rFonts w:hint="eastAsia" w:ascii="Times New Roman" w:hAnsi="Times New Roman" w:eastAsia="方正仿宋_GBK" w:cs="Times New Roman"/>
          <w:kern w:val="2"/>
          <w:sz w:val="32"/>
          <w:szCs w:val="32"/>
          <w:lang w:val="en-US" w:eastAsia="zh-CN" w:bidi="ar-SA"/>
        </w:rPr>
        <w:t>万元，比上年增加</w:t>
      </w:r>
      <w:r>
        <w:rPr>
          <w:rFonts w:hint="eastAsia" w:eastAsia="方正仿宋_GBK" w:cs="Times New Roman"/>
          <w:kern w:val="2"/>
          <w:sz w:val="32"/>
          <w:szCs w:val="32"/>
          <w:lang w:val="en-US" w:eastAsia="zh-CN" w:bidi="ar-SA"/>
        </w:rPr>
        <w:t>1.61</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keepNext w:val="0"/>
        <w:keepLines w:val="0"/>
        <w:pageBreakBefore w:val="0"/>
        <w:kinsoku/>
        <w:wordWrap/>
        <w:overflowPunct/>
        <w:topLinePunct w:val="0"/>
        <w:autoSpaceDN/>
        <w:bidi w:val="0"/>
        <w:adjustRightInd/>
        <w:spacing w:line="600" w:lineRule="atLeas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default" w:ascii="Times New Roman" w:hAnsi="Times New Roman" w:eastAsia="方正仿宋_GBK" w:cs="Times New Roman"/>
          <w:kern w:val="2"/>
          <w:sz w:val="32"/>
          <w:szCs w:val="32"/>
          <w:lang w:val="en-US" w:eastAsia="zh-CN" w:bidi="ar-SA"/>
        </w:rPr>
        <w:t>701.68</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4、国有资产占有使用情况。截止2023年12月，所属各预算单位共有车辆一个，为执法用车1辆。</w:t>
      </w:r>
    </w:p>
    <w:p>
      <w:pPr>
        <w:keepNext w:val="0"/>
        <w:keepLines w:val="0"/>
        <w:pageBreakBefore w:val="0"/>
        <w:kinsoku/>
        <w:wordWrap/>
        <w:overflowPunct/>
        <w:topLinePunct w:val="0"/>
        <w:autoSpaceDN/>
        <w:bidi w:val="0"/>
        <w:adjustRightInd/>
        <w:spacing w:line="600" w:lineRule="atLeas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keepNext w:val="0"/>
        <w:keepLines w:val="0"/>
        <w:pageBreakBefore w:val="0"/>
        <w:tabs>
          <w:tab w:val="center" w:pos="4153"/>
          <w:tab w:val="left" w:pos="7275"/>
        </w:tabs>
        <w:kinsoku/>
        <w:wordWrap/>
        <w:overflowPunct/>
        <w:topLinePunct w:val="0"/>
        <w:autoSpaceDN/>
        <w:bidi w:val="0"/>
        <w:adjustRightInd/>
        <w:spacing w:line="600" w:lineRule="atLeas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keepNext w:val="0"/>
        <w:keepLines w:val="0"/>
        <w:pageBreakBefore w:val="0"/>
        <w:kinsoku/>
        <w:wordWrap/>
        <w:overflowPunct/>
        <w:topLinePunct w:val="0"/>
        <w:autoSpaceDN/>
        <w:bidi w:val="0"/>
        <w:adjustRightInd/>
        <w:spacing w:line="600" w:lineRule="atLeas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pacing w:line="600" w:lineRule="atLeast"/>
        <w:ind w:firstLine="640" w:firstLineChars="200"/>
        <w:rPr>
          <w:rFonts w:ascii="Times New Roman" w:hAnsi="Times New Roman" w:eastAsia="方正仿宋_GBK" w:cs="Times New Roman"/>
          <w:kern w:val="2"/>
          <w:sz w:val="32"/>
          <w:szCs w:val="32"/>
          <w:lang w:val="en-US" w:eastAsia="zh-CN" w:bidi="ar-SA"/>
        </w:rPr>
      </w:pPr>
    </w:p>
    <w:p>
      <w:pPr>
        <w:keepNext w:val="0"/>
        <w:keepLines w:val="0"/>
        <w:pageBreakBefore w:val="0"/>
        <w:kinsoku/>
        <w:wordWrap/>
        <w:overflowPunct/>
        <w:topLinePunct w:val="0"/>
        <w:autoSpaceDN/>
        <w:bidi w:val="0"/>
        <w:adjustRightInd/>
        <w:spacing w:line="600" w:lineRule="atLeas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keepNext w:val="0"/>
        <w:keepLines w:val="0"/>
        <w:pageBreakBefore w:val="0"/>
        <w:kinsoku/>
        <w:wordWrap/>
        <w:overflowPunct/>
        <w:topLinePunct w:val="0"/>
        <w:autoSpaceDN/>
        <w:bidi w:val="0"/>
        <w:adjustRightInd/>
        <w:spacing w:line="600" w:lineRule="atLeas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6"/>
        <w:gridCol w:w="1344"/>
        <w:gridCol w:w="2899"/>
        <w:gridCol w:w="1299"/>
        <w:gridCol w:w="1641"/>
        <w:gridCol w:w="2164"/>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eastAsia" w:eastAsia="方正小标宋_GBK"/>
                <w:kern w:val="0"/>
                <w:sz w:val="40"/>
                <w:szCs w:val="40"/>
                <w:lang w:val="en-US" w:eastAsia="zh-CN"/>
              </w:rPr>
              <w:t>.</w:t>
            </w: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000" w:type="pct"/>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3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0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项目</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预算数</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项目</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一般公共预算</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政府性基金预算</w:t>
            </w: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1"/>
                <w:szCs w:val="21"/>
                <w:u w:val="none"/>
              </w:rPr>
            </w:pPr>
            <w:r>
              <w:rPr>
                <w:rFonts w:hint="default" w:ascii="方正黑体_GBK" w:hAnsi="方正黑体_GBK" w:eastAsia="方正黑体_GBK" w:cs="方正黑体_GBK"/>
                <w:i w:val="0"/>
                <w:iCs w:val="0"/>
                <w:color w:val="000000"/>
                <w:kern w:val="0"/>
                <w:sz w:val="21"/>
                <w:szCs w:val="21"/>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10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10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附件2</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9"/>
        <w:gridCol w:w="6796"/>
        <w:gridCol w:w="1476"/>
        <w:gridCol w:w="1894"/>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187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12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1840.81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1139.13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一般公共服务支出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893.86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434.64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人大事务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政府办公厅（室）及相关机构事务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594.42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336.40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2010399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其他政府办公厅（室）及相关机构事务支出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财政事务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2010601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0.18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20113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商贸事务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2011308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招商引资</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党委办公厅（室）及相关机构事务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80.28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组织事务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2013202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一般行政管理事务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204</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20499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2049999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其他公共安全支出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207</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文化旅游体育与传媒支出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20701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文化和旅游</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2070109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群众文化</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49.28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276.95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266.63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人力资源和社会保障管理事务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2080104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综合业务管理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153.93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机关事业单位基本养老保险缴费支出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机关事业单位职业年金缴费支出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2080599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其他行政事业单位养老支出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20807</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就业补助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2080799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其他就业补助支出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抚恤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2080808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褒扬纪念</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left"/>
              <w:rPr>
                <w:rFonts w:hint="default" w:ascii="方正仿宋_GBK" w:hAnsi="方正仿宋_GBK" w:eastAsia="方正仿宋_GBK" w:cs="方正仿宋_GBK"/>
                <w:i w:val="0"/>
                <w:iCs w:val="0"/>
                <w:color w:val="000000"/>
                <w:sz w:val="20"/>
                <w:szCs w:val="20"/>
                <w:u w:val="none"/>
              </w:rPr>
            </w:pP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烈士纪念设施管理维护</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2080899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其他优抚支出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残疾人事业</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2081199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其他残疾人事业支出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最低生活保障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2081901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城市最低生活保障金支出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临时救助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2082001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临时救助支出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20828</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退役军人管理事务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2082850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47.44</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63.08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行政单位医疗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30.69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事业单位医疗</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21.78</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2101103</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公务员医疗补助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2101199</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其他行政事业单位医疗支出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212</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城乡社区支出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21202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城乡社区规划与管理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2120201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城乡社区规划与管理</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213</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农林水支出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464.72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农业农村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232.59</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2130104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事业运行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133.50</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2130110</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执法监管</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50.23</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2130124</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农村合作经济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48.86</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农村综合改革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2130705</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对村民委员会和村党支部的补助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2130706</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对村集体经济组织的补助</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22102</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住房改革支出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2210201</w:t>
            </w:r>
          </w:p>
        </w:tc>
        <w:tc>
          <w:tcPr>
            <w:tcW w:w="23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6"/>
                <w:lang w:val="en-US" w:eastAsia="zh-CN" w:bidi="ar"/>
              </w:rPr>
              <w:t xml:space="preserve">  住房公积金</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6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atLeast"/>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5508"/>
        <w:gridCol w:w="1612"/>
        <w:gridCol w:w="2079"/>
        <w:gridCol w:w="2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小标宋_GBK" w:hAnsi="方正小标宋_GBK" w:eastAsia="方正小标宋_GBK" w:cs="方正小标宋_GBK"/>
                <w:i w:val="0"/>
                <w:iCs w:val="0"/>
                <w:color w:val="000000"/>
                <w:kern w:val="0"/>
                <w:sz w:val="36"/>
                <w:szCs w:val="36"/>
                <w:u w:val="none"/>
                <w:lang w:val="en-US" w:eastAsia="zh-CN" w:bidi="ar"/>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p>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3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1139.13</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960.47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911.85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911.85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基本工资</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192.62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津贴补贴</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100.49</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奖金</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161.40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绩效工资</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224.37</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30108</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机关事业单位基本养老保险缴费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72.48</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30109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职业年金缴费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36.24</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30110</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职工基本医疗保险缴费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公务员医疗补助缴费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3.55</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其他社会保障缴费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住房公积金</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61.41</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30114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医疗费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7.20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178.66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办公费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30202</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印刷费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水费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电费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邮电费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差旅费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30213</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维修（护）费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30214</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租赁费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30215</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会议费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30216</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培训费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30217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公务接待费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30228</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工会经费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30229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福利费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12.56</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30231</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公务用车运行维护费</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30239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其他交通费用</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21.61</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30299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其他商品和服务支出</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48.62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30307</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医疗费补助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3.40</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30399</w:t>
            </w:r>
          </w:p>
        </w:tc>
        <w:tc>
          <w:tcPr>
            <w:tcW w:w="19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7"/>
                <w:lang w:val="en-US" w:eastAsia="zh-CN" w:bidi="ar"/>
              </w:rPr>
              <w:t xml:space="preserve"> 其他对个人和家庭的补助</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45.22</w:t>
            </w:r>
          </w:p>
        </w:tc>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1"/>
        <w:gridCol w:w="1027"/>
        <w:gridCol w:w="666"/>
        <w:gridCol w:w="1513"/>
        <w:gridCol w:w="576"/>
        <w:gridCol w:w="1027"/>
        <w:gridCol w:w="1459"/>
        <w:gridCol w:w="954"/>
        <w:gridCol w:w="666"/>
        <w:gridCol w:w="1513"/>
        <w:gridCol w:w="576"/>
        <w:gridCol w:w="1027"/>
        <w:gridCol w:w="1459"/>
        <w:gridCol w:w="9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7.00</w:t>
            </w: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9"/>
        <w:gridCol w:w="2753"/>
        <w:gridCol w:w="4354"/>
        <w:gridCol w:w="2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4"/>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24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5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1840.81</w:t>
            </w: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1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rPr>
                <w:rFonts w:hint="default" w:ascii="方正仿宋_GBK" w:hAnsi="方正仿宋_GBK" w:eastAsia="方正仿宋_GBK" w:cs="方正仿宋_GBK"/>
                <w:i w:val="0"/>
                <w:iCs w:val="0"/>
                <w:color w:val="000000"/>
                <w:sz w:val="24"/>
                <w:szCs w:val="24"/>
                <w:u w:val="none"/>
              </w:rPr>
            </w:pPr>
          </w:p>
        </w:tc>
        <w:tc>
          <w:tcPr>
            <w:tcW w:w="10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2854"/>
        <w:gridCol w:w="1088"/>
        <w:gridCol w:w="920"/>
        <w:gridCol w:w="1001"/>
        <w:gridCol w:w="1055"/>
        <w:gridCol w:w="1001"/>
        <w:gridCol w:w="1027"/>
        <w:gridCol w:w="1012"/>
        <w:gridCol w:w="990"/>
        <w:gridCol w:w="108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38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1840.81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1840.81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一般公共服务支出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893.86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893.86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人大事务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政府办公厅（室）及相关机构事务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594.42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594.42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336.40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2010399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其他政府办公厅（室）及相关机构事务支出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258.02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财政事务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2010601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0.18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20113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商贸事务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2011308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招商引资</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党委办公厅（室）及相关机构事务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组织事务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2013202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一般行政管理事务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207</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文化旅游体育与传媒支出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20701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文化和旅游</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2070109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群众文化</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49.28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276.95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人力资源和社会保障管理事务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2080104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综合业务管理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153.93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153.93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机关事业单位基本养老保险缴费支出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72.48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72.48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机关事业单位职业年金缴费支出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36.24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2080599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其他行政事业单位养老支出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45.22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20807</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就业补助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2080799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其他就业补助支出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抚恤</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2080808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褒扬纪念</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20811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残疾人事业</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2081199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其他残疾人事业支出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20828</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退役军人管理事务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2082850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47.44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63.08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行政单位医疗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30.69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事业单位医疗</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21.78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2101103</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公务员医疗补助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2101199</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其他行政事业单位医疗支出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212</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城乡社区支出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21202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城乡社区规划与管理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2120201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城乡社区规划与管理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31.51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213</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农林水支出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464.72</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464.72</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农业农村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232.59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232.59</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2130104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事业运行</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2130110</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执法监管</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50.23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2130124</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农村合作经济</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48.86</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农村综合改革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232.14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2130705</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对村民委员会和村党支部的补助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202.64</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2130706</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对村集体经济组织的补助</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0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22102</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住房改革支出</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2210201</w:t>
            </w:r>
          </w:p>
        </w:tc>
        <w:tc>
          <w:tcPr>
            <w:tcW w:w="10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18"/>
                <w:szCs w:val="18"/>
                <w:u w:val="none"/>
              </w:rPr>
            </w:pPr>
            <w:r>
              <w:rPr>
                <w:rStyle w:val="39"/>
                <w:lang w:val="en-US" w:eastAsia="zh-CN" w:bidi="ar"/>
              </w:rPr>
              <w:t xml:space="preserve">  住房公积金</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61.41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4183"/>
        <w:gridCol w:w="2679"/>
        <w:gridCol w:w="2591"/>
        <w:gridCol w:w="2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23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1840.81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1139.13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701.68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一般公共服务支出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893.86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434.64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人大事务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政府办公厅（室）及相关机构事务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594.42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336.40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2010399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其他政府办公厅（室）及相关机构事务支出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财政事务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2010601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0.18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20113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商贸事务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2011308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招商引资</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党委办公厅（室）及相关机构事务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组织事务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2013202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一般行政管理事务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207</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文化旅游体育与传媒支出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文化和旅游</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2070109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群众文化</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49.28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276.95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266.63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人力资源和社会保障管理事务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综合业务管理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153.93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153.93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机关事业单位基本养老保险缴费支出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72.48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72.48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机关事业单位职业年金缴费支出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36.24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2080599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其他行政事业单位养老支出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45.22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就业补助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2080799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其他就业补助支出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抚恤</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2080808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褒扬纪念</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残疾人事业</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其他残疾人事业支出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退役军人管理事务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2082850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47.44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63.08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行政单位医疗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事业单位医疗</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21.78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2101103</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公务员医疗补助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2101199</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其他行政事业单位医疗支出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212</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城乡社区支出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2120201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城乡社区规划与管理</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31.51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213</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农林水支出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464.72</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农业农村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232.59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2130104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事业运行</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133.50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2130110</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执法监管</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50.23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2130124</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农村合作经济</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48.86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农村综合改革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2130705</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对村民委员会和村党支部的补助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2130706</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对村集体经济组织的补助</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1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住房改革支出</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2210201</w:t>
            </w:r>
          </w:p>
        </w:tc>
        <w:tc>
          <w:tcPr>
            <w:tcW w:w="14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  住房公积金</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9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61.41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right"/>
              <w:rPr>
                <w:rFonts w:hint="default" w:ascii="Times New Roman" w:hAnsi="Times New Roman" w:eastAsia="宋体" w:cs="Times New Roman"/>
                <w:i w:val="0"/>
                <w:iCs w:val="0"/>
                <w:color w:val="000000"/>
                <w:sz w:val="24"/>
                <w:szCs w:val="24"/>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keepNext w:val="0"/>
              <w:keepLines w:val="0"/>
              <w:pageBreakBefore w:val="0"/>
              <w:kinsoku/>
              <w:wordWrap/>
              <w:overflowPunct/>
              <w:topLinePunct w:val="0"/>
              <w:autoSpaceDN/>
              <w:bidi w:val="0"/>
              <w:adjustRightInd/>
              <w:spacing w:line="600" w:lineRule="atLeas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atLeast"/>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t xml:space="preserve"> </w:t>
      </w:r>
    </w:p>
    <w:p>
      <w:pPr>
        <w:pStyle w:val="5"/>
        <w:keepNext w:val="0"/>
        <w:keepLines w:val="0"/>
        <w:pageBreakBefore w:val="0"/>
        <w:kinsoku/>
        <w:wordWrap/>
        <w:overflowPunct/>
        <w:topLinePunct w:val="0"/>
        <w:autoSpaceDN/>
        <w:bidi w:val="0"/>
        <w:adjustRightInd/>
        <w:spacing w:line="600" w:lineRule="atLeas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3"/>
        <w:gridCol w:w="2042"/>
        <w:gridCol w:w="4698"/>
        <w:gridCol w:w="756"/>
        <w:gridCol w:w="503"/>
        <w:gridCol w:w="830"/>
        <w:gridCol w:w="830"/>
        <w:gridCol w:w="950"/>
        <w:gridCol w:w="503"/>
        <w:gridCol w:w="938"/>
        <w:gridCol w:w="723"/>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7"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序号</w:t>
            </w:r>
          </w:p>
        </w:tc>
        <w:tc>
          <w:tcPr>
            <w:tcW w:w="718"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预算单位</w:t>
            </w:r>
          </w:p>
        </w:tc>
        <w:tc>
          <w:tcPr>
            <w:tcW w:w="1652"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项目名称</w:t>
            </w:r>
          </w:p>
        </w:tc>
        <w:tc>
          <w:tcPr>
            <w:tcW w:w="266"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合计</w:t>
            </w:r>
          </w:p>
        </w:tc>
        <w:tc>
          <w:tcPr>
            <w:tcW w:w="1095"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年初特定目标</w:t>
            </w:r>
          </w:p>
        </w:tc>
        <w:tc>
          <w:tcPr>
            <w:tcW w:w="1088"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7"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718"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1652"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266"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b/>
                <w:bCs/>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292"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人员性项目</w:t>
            </w:r>
          </w:p>
        </w:tc>
        <w:tc>
          <w:tcPr>
            <w:tcW w:w="292"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一般性项目</w:t>
            </w:r>
          </w:p>
        </w:tc>
        <w:tc>
          <w:tcPr>
            <w:tcW w:w="33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民生配套项目</w:t>
            </w:r>
          </w:p>
        </w:tc>
        <w:tc>
          <w:tcPr>
            <w:tcW w:w="1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330"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提前下达专项</w:t>
            </w:r>
          </w:p>
        </w:tc>
        <w:tc>
          <w:tcPr>
            <w:tcW w:w="254"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结转项目</w:t>
            </w:r>
          </w:p>
        </w:tc>
        <w:tc>
          <w:tcPr>
            <w:tcW w:w="32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701.68</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50015224T000004237859-五桂镇禁毒社工补助（常年性项目）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50015224T000004325116-以前年度收回在安排结算补助</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50015224T000004326675-烈士墓管护资金（常年性项目）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50015224T000004326691-低保员补助（常年性项目）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50015224T000004326704-残疾专（兼）职委员补助（常年性项目）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50015224T000004326726-五桂选调生经费（常年性项目）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c>
          <w:tcPr>
            <w:tcW w:w="7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c>
          <w:tcPr>
            <w:tcW w:w="16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bl>
    <w:p>
      <w:pPr>
        <w:keepNext w:val="0"/>
        <w:keepLines w:val="0"/>
        <w:pageBreakBefore w:val="0"/>
        <w:widowControl/>
        <w:kinsoku/>
        <w:wordWrap/>
        <w:overflowPunct/>
        <w:topLinePunct w:val="0"/>
        <w:autoSpaceDN/>
        <w:bidi w:val="0"/>
        <w:adjustRightInd/>
        <w:spacing w:line="600" w:lineRule="atLeast"/>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eastAsia="方正黑体_GBK"/>
          <w:sz w:val="32"/>
          <w:szCs w:val="32"/>
        </w:rPr>
      </w:pPr>
      <w:r>
        <w:rPr>
          <w:rFonts w:eastAsia="方正黑体_GBK"/>
          <w:sz w:val="32"/>
          <w:szCs w:val="32"/>
        </w:rPr>
        <w:t>附件11</w:t>
      </w:r>
    </w:p>
    <w:tbl>
      <w:tblPr>
        <w:tblStyle w:val="8"/>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eastAsia="zh-CN"/>
              </w:rPr>
              <w:t>五桂镇人民政府</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14174" w:type="dxa"/>
            <w:gridSpan w:val="6"/>
            <w:tcBorders>
              <w:top w:val="nil"/>
              <w:left w:val="nil"/>
              <w:bottom w:val="nil"/>
              <w:right w:val="nil"/>
            </w:tcBorders>
            <w:vAlign w:val="center"/>
          </w:tcPr>
          <w:p>
            <w:pPr>
              <w:keepNext w:val="0"/>
              <w:keepLines w:val="0"/>
              <w:pageBreakBefore w:val="0"/>
              <w:widowControl/>
              <w:kinsoku/>
              <w:wordWrap/>
              <w:overflowPunct/>
              <w:topLinePunct w:val="0"/>
              <w:autoSpaceDN/>
              <w:bidi w:val="0"/>
              <w:adjustRightInd/>
              <w:spacing w:line="600" w:lineRule="atLeast"/>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重庆市潼南区五桂镇人民政府</w:t>
            </w:r>
          </w:p>
        </w:tc>
        <w:tc>
          <w:tcPr>
            <w:tcW w:w="2291"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ascii="Times New Roman" w:hAnsi="Times New Roman" w:cs="Times New Roman"/>
                <w:kern w:val="0"/>
                <w:lang w:val="en-US" w:eastAsia="zh-CN"/>
              </w:rPr>
              <w:t>701.68</w:t>
            </w:r>
            <w:r>
              <w:rPr>
                <w:rFonts w:hint="default" w:ascii="Times New Roman" w:hAnsi="Times New Roman" w:cs="Times New Roman"/>
                <w:kern w:val="0"/>
              </w:rPr>
              <w:tab/>
            </w:r>
            <w:r>
              <w:rPr>
                <w:rFonts w:hint="default" w:ascii="Times New Roman" w:hAnsi="Times New Roman" w:cs="Times New Roman"/>
                <w:kern w:val="0"/>
              </w:rPr>
              <w:t> </w:t>
            </w:r>
          </w:p>
        </w:tc>
      </w:tr>
      <w:tr>
        <w:tblPrEx>
          <w:tblCellMar>
            <w:top w:w="0" w:type="dxa"/>
            <w:left w:w="108" w:type="dxa"/>
            <w:bottom w:w="0" w:type="dxa"/>
            <w:right w:w="108" w:type="dxa"/>
          </w:tblCellMar>
        </w:tblPrEx>
        <w:trPr>
          <w:trHeight w:val="2628"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当年整体绩效目标</w:t>
            </w:r>
          </w:p>
        </w:tc>
        <w:tc>
          <w:tcPr>
            <w:tcW w:w="10947" w:type="dxa"/>
            <w:gridSpan w:val="5"/>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N/>
              <w:bidi w:val="0"/>
              <w:adjustRightInd/>
              <w:spacing w:line="600" w:lineRule="atLeast"/>
              <w:textAlignment w:val="center"/>
              <w:rPr>
                <w:rFonts w:hint="default" w:ascii="Times New Roman" w:hAnsi="Times New Roman" w:cs="Times New Roman"/>
              </w:rPr>
            </w:pPr>
            <w:r>
              <w:rPr>
                <w:rFonts w:hint="default" w:ascii="Times New Roman" w:hAnsi="Times New Roman" w:cs="Times New Roman"/>
              </w:rPr>
              <w:tab/>
            </w:r>
            <w:r>
              <w:rPr>
                <w:rFonts w:hint="eastAsia" w:ascii="Times New Roman" w:hAnsi="Times New Roman" w:cs="Times New Roman"/>
                <w:kern w:val="0"/>
                <w:sz w:val="24"/>
                <w:szCs w:val="24"/>
                <w:lang w:eastAsia="zh-CN"/>
              </w:rPr>
              <w:t>保障</w:t>
            </w:r>
            <w:r>
              <w:rPr>
                <w:rFonts w:hint="default" w:ascii="Times New Roman" w:hAnsi="Times New Roman" w:cs="Times New Roman"/>
                <w:kern w:val="0"/>
                <w:sz w:val="24"/>
                <w:szCs w:val="24"/>
              </w:rPr>
              <w:t>机关和下属各单位、村居维持正常运转，做好辖区内的基础设施建设，环境卫生监督、管理、服务工作；负责辖区内维护稳定及社会治安综合治理、安全生产监督工作；负责村（社区）建设和管理，知道开展村（社区）群众服务工作，并指导和帮助村（社区）委员会搞好组织建设和制度建设，发挥村（社区）委员会的群众自治作用；发展街道和村级经济；管理国有资产和集体经济建设；开展劳动就业、社会保障工作；配合有关部门做好防汛、防火、防震、抢险、救灾等应急工作；向区人民政府反映群众的意见和建议，办理群众的来信和来访事项，并承办上级交办的其他工作。</w:t>
            </w:r>
          </w:p>
        </w:tc>
      </w:tr>
      <w:tr>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kern w:val="0"/>
              </w:rPr>
              <w:t>指标值</w:t>
            </w:r>
          </w:p>
        </w:tc>
      </w:tr>
      <w:tr>
        <w:tblPrEx>
          <w:tblCellMar>
            <w:top w:w="0" w:type="dxa"/>
            <w:left w:w="108" w:type="dxa"/>
            <w:bottom w:w="0" w:type="dxa"/>
            <w:right w:w="108" w:type="dxa"/>
          </w:tblCellMar>
        </w:tblPrEx>
        <w:trPr>
          <w:trHeight w:val="391"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ascii="Times New Roman" w:hAnsi="Times New Roman" w:eastAsia="宋体" w:cs="Times New Roman"/>
                <w:lang w:eastAsia="zh-CN"/>
              </w:rPr>
            </w:pPr>
            <w:r>
              <w:rPr>
                <w:rFonts w:hint="eastAsia" w:cs="Times New Roman"/>
                <w:lang w:eastAsia="zh-CN"/>
              </w:rPr>
              <w:t>机关日常运行经费</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ascii="Times New Roman" w:hAnsi="Times New Roman" w:eastAsia="宋体" w:cs="Times New Roman"/>
                <w:lang w:val="en-US" w:eastAsia="zh-CN"/>
              </w:rPr>
            </w:pPr>
            <w:r>
              <w:rPr>
                <w:rFonts w:hint="eastAsia" w:cs="Times New Roman"/>
                <w:lang w:val="en-US" w:eastAsia="zh-CN"/>
              </w:rPr>
              <w:t>15%</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ascii="Times New Roman" w:hAnsi="Times New Roman" w:cs="Times New Roman"/>
              </w:rPr>
            </w:pPr>
            <w:r>
              <w:rPr>
                <w:rFonts w:hint="default" w:ascii="Times New Roman" w:hAnsi="Times New Roman" w:cs="Times New Roman"/>
                <w:lang w:val="en-US" w:eastAsia="zh-CN"/>
              </w:rPr>
              <w:t>594.42</w:t>
            </w:r>
          </w:p>
        </w:tc>
      </w:tr>
      <w:tr>
        <w:tblPrEx>
          <w:tblCellMar>
            <w:top w:w="0" w:type="dxa"/>
            <w:left w:w="108" w:type="dxa"/>
            <w:bottom w:w="0" w:type="dxa"/>
            <w:right w:w="108" w:type="dxa"/>
          </w:tblCellMar>
        </w:tblPrEx>
        <w:trPr>
          <w:trHeight w:val="34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eastAsia" w:cs="Times New Roman"/>
                <w:lang w:eastAsia="zh-CN"/>
              </w:rPr>
            </w:pPr>
            <w:r>
              <w:rPr>
                <w:rFonts w:hint="eastAsia" w:cs="Times New Roman"/>
                <w:lang w:eastAsia="zh-CN"/>
              </w:rPr>
              <w:t>保障村级运转经费</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29.5</w:t>
            </w:r>
          </w:p>
        </w:tc>
      </w:tr>
      <w:tr>
        <w:tblPrEx>
          <w:tblCellMar>
            <w:top w:w="0" w:type="dxa"/>
            <w:left w:w="108" w:type="dxa"/>
            <w:bottom w:w="0" w:type="dxa"/>
            <w:right w:w="108" w:type="dxa"/>
          </w:tblCellMar>
        </w:tblPrEx>
        <w:trPr>
          <w:trHeight w:val="371"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五桂镇老党员补助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80</w:t>
            </w:r>
          </w:p>
        </w:tc>
      </w:tr>
      <w:tr>
        <w:tblPrEx>
          <w:tblCellMar>
            <w:top w:w="0" w:type="dxa"/>
            <w:left w:w="108" w:type="dxa"/>
            <w:bottom w:w="0" w:type="dxa"/>
            <w:right w:w="108" w:type="dxa"/>
          </w:tblCellMar>
        </w:tblPrEx>
        <w:trPr>
          <w:trHeight w:val="366"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五桂镇离任村干补助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万元</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130</w:t>
            </w:r>
          </w:p>
        </w:tc>
      </w:tr>
      <w:tr>
        <w:tblPrEx>
          <w:tblCellMar>
            <w:top w:w="0" w:type="dxa"/>
            <w:left w:w="108" w:type="dxa"/>
            <w:bottom w:w="0" w:type="dxa"/>
            <w:right w:w="108" w:type="dxa"/>
          </w:tblCellMar>
        </w:tblPrEx>
        <w:trPr>
          <w:trHeight w:val="39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五桂镇本土人才补助</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7</w:t>
            </w:r>
          </w:p>
        </w:tc>
      </w:tr>
      <w:tr>
        <w:tblPrEx>
          <w:tblCellMar>
            <w:top w:w="0" w:type="dxa"/>
            <w:left w:w="108" w:type="dxa"/>
            <w:bottom w:w="0" w:type="dxa"/>
            <w:right w:w="108" w:type="dxa"/>
          </w:tblCellMar>
        </w:tblPrEx>
        <w:trPr>
          <w:trHeight w:val="406"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eastAsia" w:cs="Times New Roman"/>
                <w:lang w:val="en-US" w:eastAsia="zh-CN"/>
              </w:rPr>
              <w:t>帮助退役军人数量</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eastAsia" w:cs="Times New Roman"/>
                <w:lang w:eastAsia="zh-CN"/>
              </w:rPr>
              <w:t>人</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eastAsia="zh-C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10</w:t>
            </w:r>
          </w:p>
        </w:tc>
      </w:tr>
      <w:tr>
        <w:tblPrEx>
          <w:tblCellMar>
            <w:top w:w="0" w:type="dxa"/>
            <w:left w:w="108" w:type="dxa"/>
            <w:bottom w:w="0" w:type="dxa"/>
            <w:right w:w="108" w:type="dxa"/>
          </w:tblCellMar>
        </w:tblPrEx>
        <w:trPr>
          <w:trHeight w:val="380"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default" w:cs="Times New Roman"/>
                <w:lang w:eastAsia="zh-CN"/>
              </w:rPr>
              <w:t>机关正常运转率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98</w:t>
            </w:r>
          </w:p>
        </w:tc>
      </w:tr>
      <w:tr>
        <w:tblPrEx>
          <w:tblCellMar>
            <w:top w:w="0" w:type="dxa"/>
            <w:left w:w="108" w:type="dxa"/>
            <w:bottom w:w="0" w:type="dxa"/>
            <w:right w:w="108" w:type="dxa"/>
          </w:tblCellMar>
        </w:tblPrEx>
        <w:trPr>
          <w:trHeight w:val="393" w:hRule="atLeast"/>
          <w:jc w:val="center"/>
        </w:trPr>
        <w:tc>
          <w:tcPr>
            <w:tcW w:w="322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default" w:cs="Times New Roman"/>
                <w:lang w:eastAsia="zh-CN"/>
              </w:rPr>
              <w:t>辖区生态正常率</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eastAsia" w:ascii="Times New Roman" w:hAnsi="Times New Roman" w:eastAsia="宋体" w:cs="Times New Roman"/>
                <w:lang w:val="en-US" w:eastAsia="zh-C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r>
        <w:tblPrEx>
          <w:tblCellMar>
            <w:top w:w="0" w:type="dxa"/>
            <w:left w:w="108" w:type="dxa"/>
            <w:bottom w:w="0" w:type="dxa"/>
            <w:right w:w="108" w:type="dxa"/>
          </w:tblCellMar>
        </w:tblPrEx>
        <w:trPr>
          <w:trHeight w:val="379" w:hRule="atLeast"/>
          <w:jc w:val="center"/>
        </w:trPr>
        <w:tc>
          <w:tcPr>
            <w:tcW w:w="3227"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left"/>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pacing w:line="600" w:lineRule="atLeast"/>
              <w:jc w:val="center"/>
              <w:rPr>
                <w:rFonts w:hint="default" w:cs="Times New Roman"/>
                <w:lang w:eastAsia="zh-CN"/>
              </w:rPr>
            </w:pPr>
            <w:r>
              <w:rPr>
                <w:rFonts w:hint="default" w:cs="Times New Roman"/>
                <w:lang w:eastAsia="zh-CN"/>
              </w:rPr>
              <w:t>群众满意度</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cs="Times New Roman"/>
              </w:rPr>
            </w:pPr>
            <w:r>
              <w:rPr>
                <w:rFonts w:hint="default" w:ascii="Times New Roman" w:hAnsi="Times New Roman" w:cs="Times New Roma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pacing w:line="600" w:lineRule="atLeast"/>
              <w:jc w:val="center"/>
              <w:textAlignment w:val="center"/>
              <w:rPr>
                <w:rFonts w:hint="default" w:ascii="Times New Roman" w:hAnsi="Times New Roman" w:eastAsia="宋体" w:cs="Times New Roman"/>
                <w:lang w:val="en-US" w:eastAsia="zh-CN"/>
              </w:rPr>
            </w:pPr>
            <w:r>
              <w:rPr>
                <w:rFonts w:hint="eastAsia" w:cs="Times New Roman"/>
                <w:lang w:val="en-US" w:eastAsia="zh-CN"/>
              </w:rPr>
              <w:t>95</w:t>
            </w:r>
          </w:p>
        </w:tc>
      </w:tr>
    </w:tbl>
    <w:p>
      <w:pPr>
        <w:pStyle w:val="5"/>
        <w:keepNext w:val="0"/>
        <w:keepLines w:val="0"/>
        <w:pageBreakBefore w:val="0"/>
        <w:kinsoku/>
        <w:wordWrap/>
        <w:overflowPunct/>
        <w:topLinePunct w:val="0"/>
        <w:autoSpaceDN/>
        <w:bidi w:val="0"/>
        <w:adjustRightInd/>
        <w:spacing w:line="600" w:lineRule="atLeast"/>
        <w:sectPr>
          <w:footerReference r:id="rId4" w:type="default"/>
          <w:pgSz w:w="16838" w:h="11906" w:orient="landscape"/>
          <w:pgMar w:top="1418" w:right="1418" w:bottom="1418" w:left="1418" w:header="851" w:footer="992" w:gutter="0"/>
          <w:cols w:space="0" w:num="1"/>
          <w:docGrid w:linePitch="312" w:charSpace="0"/>
        </w:sectPr>
      </w:pPr>
    </w:p>
    <w:p>
      <w:pPr>
        <w:pStyle w:val="5"/>
        <w:keepNext w:val="0"/>
        <w:keepLines w:val="0"/>
        <w:pageBreakBefore w:val="0"/>
        <w:kinsoku/>
        <w:wordWrap/>
        <w:overflowPunct/>
        <w:topLinePunct w:val="0"/>
        <w:autoSpaceDN/>
        <w:bidi w:val="0"/>
        <w:adjustRightInd/>
        <w:spacing w:line="600" w:lineRule="atLeas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8"/>
        <w:tblW w:w="499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2"/>
        <w:gridCol w:w="1568"/>
        <w:gridCol w:w="1622"/>
        <w:gridCol w:w="2424"/>
        <w:gridCol w:w="1620"/>
        <w:gridCol w:w="1617"/>
        <w:gridCol w:w="1617"/>
        <w:gridCol w:w="2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5000" w:type="pct"/>
            <w:gridSpan w:val="8"/>
            <w:tcBorders>
              <w:top w:val="nil"/>
              <w:left w:val="nil"/>
              <w:bottom w:val="nil"/>
              <w:right w:val="nil"/>
            </w:tcBorders>
            <w:shd w:val="clear" w:color="auto" w:fill="auto"/>
            <w:vAlign w:val="center"/>
          </w:tcPr>
          <w:p>
            <w:pPr>
              <w:pStyle w:val="5"/>
              <w:keepNext w:val="0"/>
              <w:keepLines w:val="0"/>
              <w:pageBreakBefore w:val="0"/>
              <w:kinsoku/>
              <w:wordWrap/>
              <w:overflowPunct/>
              <w:topLinePunct w:val="0"/>
              <w:autoSpaceDN/>
              <w:bidi w:val="0"/>
              <w:adjustRightInd/>
              <w:spacing w:line="600" w:lineRule="atLeast"/>
              <w:jc w:val="center"/>
              <w:rPr>
                <w:rFonts w:ascii="宋体" w:hAnsi="宋体" w:eastAsia="宋体" w:cs="宋体"/>
                <w:b/>
                <w:bCs/>
                <w:i w:val="0"/>
                <w:iCs w:val="0"/>
                <w:color w:val="000000"/>
                <w:sz w:val="30"/>
                <w:szCs w:val="30"/>
                <w:u w:val="none"/>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50015224T000004237859-五桂镇禁毒社工补助（常年性项目）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按时足额发放禁毒社工补助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按时足额发放禁毒社工补助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禁毒社工工作质量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社会安全稳定</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50015224T000004325116-以前年度收回在安排结算补助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根据潼财预发（2024）3号文件要求，做好结算补助工作。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潼招商组组办【2021】1号文件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根据潼财预发（2024）3号文件要求，做好结算补助工作。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总部企业补贴数量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每季度补贴次数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补贴金额上限</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企业纳税积极度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50015224T000004326675-烈士墓管护资金（常年性项目）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维修维护烈士墓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维修维护烈士墓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烈士墓数量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座</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安全度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50015224T000004326691-低保员补助（常年性项目）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按时足额发放低保员补助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按时足额发放低保员补助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全镇低保工作完成</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低保员补助资金</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50015224T000004326704-残疾专（兼）职委员补助（常年性项目）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按时足额发放残疾人专/兼职委员补助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按时足额发放残疾人专/兼职委员补助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专（兼）职委员人数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全镇残疾人工作完成度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促进社会发展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50015224T000004326726-五桂选调生经费（常年性项目）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813001-潼南区五桂镇（本级）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选调生工作积极度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按时发放补贴</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促进经济发展</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选调生满意度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50015224T000004237582-五桂镇本土人才补助（常年性项目</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按时足额发放本土人才补助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改善办公条件，提升工作效率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50015224T000004237765-五桂镇村社误工补助（常年性项目）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按时足额发放在职村干部补助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拨付村社干部工工资人数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拨付工资及时率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全年发放补贴金额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村干部履职积极性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50015224T000004237822-五桂镇村居五险（常年性项目）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购买村干部五险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补贴保险人数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全年补贴金额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村干部工作积极性</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50015224T000004237837-五桂镇村级运转及服务群众经费（常年性项目）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维持村级运转办公经费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村社数量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服务群众工作质量</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295000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保障农村工作正常运行率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50015224T000004237870-五桂镇交通劝导员补助（常年性项目）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按时足额发放交通劝导员和交通劝导站补助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交通劝导员上岗率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每月发放交通劝导员补贴次数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26400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接受交通劝导人数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50015224T000004237888-五桂镇老党员补助（常年性项目）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按时足额发放老党员补助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发放人数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每年发放老党员补助次数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维护信访稳定，保障老党员生活</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kinsoku/>
              <w:wordWrap/>
              <w:overflowPunct/>
              <w:topLinePunct w:val="0"/>
              <w:autoSpaceDN/>
              <w:bidi w:val="0"/>
              <w:adjustRightInd/>
              <w:spacing w:line="600" w:lineRule="atLeas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36"/>
                <w:szCs w:val="36"/>
              </w:rPr>
              <w:t>重庆市潼南区</w:t>
            </w:r>
            <w:r>
              <w:rPr>
                <w:rFonts w:hint="eastAsia" w:eastAsia="方正小标宋_GBK"/>
                <w:kern w:val="0"/>
                <w:sz w:val="36"/>
                <w:szCs w:val="36"/>
                <w:lang w:eastAsia="zh-CN"/>
              </w:rPr>
              <w:t>五桂镇</w:t>
            </w:r>
            <w:r>
              <w:rPr>
                <w:rFonts w:hint="eastAsia" w:eastAsia="方正小标宋_GBK"/>
                <w:kern w:val="0"/>
                <w:sz w:val="36"/>
                <w:szCs w:val="36"/>
                <w:lang w:val="en-US" w:eastAsia="zh-CN"/>
              </w:rPr>
              <w:t>2024年预算项目绩效目标表-13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50015224T000004237899-五桂镇离任村干补助（常年性项目）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813-潼南区五桂镇</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实施单位</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813002-潼南区五桂农业服务中心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资金总额（万元）</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项目属性</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项目起始时间</w:t>
            </w:r>
          </w:p>
        </w:tc>
        <w:tc>
          <w:tcPr>
            <w:tcW w:w="11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2024年</w:t>
            </w:r>
          </w:p>
        </w:tc>
        <w:tc>
          <w:tcPr>
            <w:tcW w:w="14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项目终止时间</w:t>
            </w:r>
          </w:p>
        </w:tc>
        <w:tc>
          <w:tcPr>
            <w:tcW w:w="18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项目概况</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渝财（2022）00001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项目当年绩效目标</w:t>
            </w:r>
          </w:p>
        </w:tc>
        <w:tc>
          <w:tcPr>
            <w:tcW w:w="44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按时足额发放离任村干部补助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每年发放次数</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发放金额</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效果指标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村社正常运转率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村干部对工作支持度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pacing w:line="600" w:lineRule="atLeast"/>
              <w:jc w:val="center"/>
              <w:rPr>
                <w:rFonts w:hint="eastAsia" w:ascii="宋体" w:hAnsi="宋体" w:eastAsia="宋体" w:cs="宋体"/>
                <w:i w:val="0"/>
                <w:iCs w:val="0"/>
                <w:color w:val="000000"/>
                <w:sz w:val="18"/>
                <w:szCs w:val="18"/>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8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离任村干部满意度</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pacing w:line="600" w:lineRule="atLeast"/>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r>
    </w:tbl>
    <w:p>
      <w:pPr>
        <w:pStyle w:val="5"/>
        <w:keepNext w:val="0"/>
        <w:keepLines w:val="0"/>
        <w:pageBreakBefore w:val="0"/>
        <w:kinsoku/>
        <w:wordWrap/>
        <w:overflowPunct/>
        <w:topLinePunct w:val="0"/>
        <w:autoSpaceDN/>
        <w:bidi w:val="0"/>
        <w:adjustRightInd/>
        <w:spacing w:line="600" w:lineRule="atLeas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BjNjVjY2IxZTlmNDY5ZGYxYzlhMWYyMjlhYjQ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5A016E"/>
    <w:rsid w:val="016417A4"/>
    <w:rsid w:val="02177A6B"/>
    <w:rsid w:val="02276CDE"/>
    <w:rsid w:val="02E60851"/>
    <w:rsid w:val="02F216FC"/>
    <w:rsid w:val="0318024C"/>
    <w:rsid w:val="033579B8"/>
    <w:rsid w:val="03FB4339"/>
    <w:rsid w:val="04227034"/>
    <w:rsid w:val="04371904"/>
    <w:rsid w:val="04622B4E"/>
    <w:rsid w:val="051B68CD"/>
    <w:rsid w:val="053C0B8D"/>
    <w:rsid w:val="059D461C"/>
    <w:rsid w:val="05B34E63"/>
    <w:rsid w:val="05E00732"/>
    <w:rsid w:val="05E16ED2"/>
    <w:rsid w:val="06616243"/>
    <w:rsid w:val="06E64DB5"/>
    <w:rsid w:val="07621E73"/>
    <w:rsid w:val="07D74CDF"/>
    <w:rsid w:val="07DF2BAA"/>
    <w:rsid w:val="0802440D"/>
    <w:rsid w:val="087459EC"/>
    <w:rsid w:val="089F1C5C"/>
    <w:rsid w:val="09066342"/>
    <w:rsid w:val="09717916"/>
    <w:rsid w:val="099C40FB"/>
    <w:rsid w:val="09CE41EC"/>
    <w:rsid w:val="0AE40C5E"/>
    <w:rsid w:val="0B624041"/>
    <w:rsid w:val="0B970E43"/>
    <w:rsid w:val="0BDB62C7"/>
    <w:rsid w:val="0CEC743A"/>
    <w:rsid w:val="0D4C0A5B"/>
    <w:rsid w:val="0D566B03"/>
    <w:rsid w:val="0D8C7292"/>
    <w:rsid w:val="0DEE03B4"/>
    <w:rsid w:val="0E1C182B"/>
    <w:rsid w:val="0E3F7123"/>
    <w:rsid w:val="0F582942"/>
    <w:rsid w:val="10455B23"/>
    <w:rsid w:val="10D97499"/>
    <w:rsid w:val="116019C8"/>
    <w:rsid w:val="119D3C86"/>
    <w:rsid w:val="11B5604C"/>
    <w:rsid w:val="122C1D03"/>
    <w:rsid w:val="12344F34"/>
    <w:rsid w:val="123F4338"/>
    <w:rsid w:val="1270142A"/>
    <w:rsid w:val="12A1218B"/>
    <w:rsid w:val="12D1658C"/>
    <w:rsid w:val="12F80A67"/>
    <w:rsid w:val="13367EB4"/>
    <w:rsid w:val="14946A93"/>
    <w:rsid w:val="14DB1FD4"/>
    <w:rsid w:val="151D77DE"/>
    <w:rsid w:val="15235D67"/>
    <w:rsid w:val="152449FC"/>
    <w:rsid w:val="154B54F4"/>
    <w:rsid w:val="15681628"/>
    <w:rsid w:val="166E74A4"/>
    <w:rsid w:val="16A803DE"/>
    <w:rsid w:val="16B44623"/>
    <w:rsid w:val="16EB42BE"/>
    <w:rsid w:val="18145165"/>
    <w:rsid w:val="18231D1A"/>
    <w:rsid w:val="187B6642"/>
    <w:rsid w:val="190F698A"/>
    <w:rsid w:val="19A75E26"/>
    <w:rsid w:val="1AA62AE4"/>
    <w:rsid w:val="1B644B05"/>
    <w:rsid w:val="1C63380A"/>
    <w:rsid w:val="1C8046AD"/>
    <w:rsid w:val="1CCB4B70"/>
    <w:rsid w:val="1CE23AE0"/>
    <w:rsid w:val="1D2D10AF"/>
    <w:rsid w:val="1DEE2207"/>
    <w:rsid w:val="1DF328B5"/>
    <w:rsid w:val="1E6B327E"/>
    <w:rsid w:val="1E911169"/>
    <w:rsid w:val="1ED50B96"/>
    <w:rsid w:val="1EED3BFB"/>
    <w:rsid w:val="1F833C2E"/>
    <w:rsid w:val="1F9126C9"/>
    <w:rsid w:val="1FC303CA"/>
    <w:rsid w:val="206B7D6A"/>
    <w:rsid w:val="206C2914"/>
    <w:rsid w:val="208115C4"/>
    <w:rsid w:val="210B58E7"/>
    <w:rsid w:val="217F456C"/>
    <w:rsid w:val="21AA6177"/>
    <w:rsid w:val="21AF615A"/>
    <w:rsid w:val="21EA1D42"/>
    <w:rsid w:val="222557E0"/>
    <w:rsid w:val="22643293"/>
    <w:rsid w:val="236043E2"/>
    <w:rsid w:val="237E3A5F"/>
    <w:rsid w:val="23E746D1"/>
    <w:rsid w:val="2419690F"/>
    <w:rsid w:val="24F02B7D"/>
    <w:rsid w:val="25311480"/>
    <w:rsid w:val="25450795"/>
    <w:rsid w:val="25AB6FE2"/>
    <w:rsid w:val="264674C0"/>
    <w:rsid w:val="265F2724"/>
    <w:rsid w:val="26C16617"/>
    <w:rsid w:val="27433B66"/>
    <w:rsid w:val="2795146C"/>
    <w:rsid w:val="279F519A"/>
    <w:rsid w:val="27A02EA3"/>
    <w:rsid w:val="282817BD"/>
    <w:rsid w:val="28595C3D"/>
    <w:rsid w:val="289245B8"/>
    <w:rsid w:val="28CC7C8E"/>
    <w:rsid w:val="28E51EAA"/>
    <w:rsid w:val="2A150A97"/>
    <w:rsid w:val="2AF90B43"/>
    <w:rsid w:val="2B2A36FB"/>
    <w:rsid w:val="2B367AF8"/>
    <w:rsid w:val="2BA52521"/>
    <w:rsid w:val="2C194F20"/>
    <w:rsid w:val="2C4409B5"/>
    <w:rsid w:val="2C7C7152"/>
    <w:rsid w:val="2CA95B0F"/>
    <w:rsid w:val="2CE675AA"/>
    <w:rsid w:val="2DC36881"/>
    <w:rsid w:val="2E68444C"/>
    <w:rsid w:val="2EB47660"/>
    <w:rsid w:val="301541ED"/>
    <w:rsid w:val="30221C48"/>
    <w:rsid w:val="30240B15"/>
    <w:rsid w:val="311D122A"/>
    <w:rsid w:val="31451B93"/>
    <w:rsid w:val="31C93EE5"/>
    <w:rsid w:val="3208244F"/>
    <w:rsid w:val="326C67A3"/>
    <w:rsid w:val="32D103B5"/>
    <w:rsid w:val="331464E2"/>
    <w:rsid w:val="33285BA9"/>
    <w:rsid w:val="334A189D"/>
    <w:rsid w:val="33DC0966"/>
    <w:rsid w:val="34215832"/>
    <w:rsid w:val="34634E5B"/>
    <w:rsid w:val="349A611D"/>
    <w:rsid w:val="34C73F94"/>
    <w:rsid w:val="36232870"/>
    <w:rsid w:val="363611DD"/>
    <w:rsid w:val="372904BF"/>
    <w:rsid w:val="37BD385B"/>
    <w:rsid w:val="38760452"/>
    <w:rsid w:val="389D426B"/>
    <w:rsid w:val="39411436"/>
    <w:rsid w:val="396B5450"/>
    <w:rsid w:val="39D92970"/>
    <w:rsid w:val="39F52164"/>
    <w:rsid w:val="3BBE6635"/>
    <w:rsid w:val="3C753F8B"/>
    <w:rsid w:val="3C9211CB"/>
    <w:rsid w:val="3C93402F"/>
    <w:rsid w:val="3DB57AA1"/>
    <w:rsid w:val="3E0C10AA"/>
    <w:rsid w:val="3E403BBA"/>
    <w:rsid w:val="3EC052AB"/>
    <w:rsid w:val="3ED66846"/>
    <w:rsid w:val="3EF95346"/>
    <w:rsid w:val="3FC04F7A"/>
    <w:rsid w:val="401B483B"/>
    <w:rsid w:val="402F2764"/>
    <w:rsid w:val="40372BB2"/>
    <w:rsid w:val="405113F8"/>
    <w:rsid w:val="40767602"/>
    <w:rsid w:val="4087105B"/>
    <w:rsid w:val="41362356"/>
    <w:rsid w:val="425E3CB1"/>
    <w:rsid w:val="426136E9"/>
    <w:rsid w:val="426F65D3"/>
    <w:rsid w:val="42813BA5"/>
    <w:rsid w:val="428611BC"/>
    <w:rsid w:val="429513FF"/>
    <w:rsid w:val="434765EB"/>
    <w:rsid w:val="4374118B"/>
    <w:rsid w:val="439F6551"/>
    <w:rsid w:val="44681FAE"/>
    <w:rsid w:val="44B64C4D"/>
    <w:rsid w:val="455E025D"/>
    <w:rsid w:val="46EA05B5"/>
    <w:rsid w:val="46F87E54"/>
    <w:rsid w:val="47573126"/>
    <w:rsid w:val="48621D83"/>
    <w:rsid w:val="490378C0"/>
    <w:rsid w:val="49092B40"/>
    <w:rsid w:val="49B53780"/>
    <w:rsid w:val="4A334A7F"/>
    <w:rsid w:val="4AA220FE"/>
    <w:rsid w:val="4AEA028D"/>
    <w:rsid w:val="4B0B6CBE"/>
    <w:rsid w:val="4B0F6354"/>
    <w:rsid w:val="4B234E97"/>
    <w:rsid w:val="4C1A4E10"/>
    <w:rsid w:val="4CED5945"/>
    <w:rsid w:val="4D0A0918"/>
    <w:rsid w:val="4D7C7C18"/>
    <w:rsid w:val="4DD9086C"/>
    <w:rsid w:val="4EB237A8"/>
    <w:rsid w:val="4FC31E08"/>
    <w:rsid w:val="50131BB5"/>
    <w:rsid w:val="50AA1A17"/>
    <w:rsid w:val="50DA38A7"/>
    <w:rsid w:val="51C57A7C"/>
    <w:rsid w:val="534F7E50"/>
    <w:rsid w:val="5372354D"/>
    <w:rsid w:val="54C40190"/>
    <w:rsid w:val="565617CD"/>
    <w:rsid w:val="56A92D3D"/>
    <w:rsid w:val="56C71C1E"/>
    <w:rsid w:val="56EA0B71"/>
    <w:rsid w:val="57902AC5"/>
    <w:rsid w:val="59EB2FCB"/>
    <w:rsid w:val="59F111B9"/>
    <w:rsid w:val="5AB83669"/>
    <w:rsid w:val="5B1435B0"/>
    <w:rsid w:val="5BE6216F"/>
    <w:rsid w:val="5CA56A42"/>
    <w:rsid w:val="5D6326D7"/>
    <w:rsid w:val="5D7F232B"/>
    <w:rsid w:val="60662C46"/>
    <w:rsid w:val="61C22F65"/>
    <w:rsid w:val="620F321D"/>
    <w:rsid w:val="62776161"/>
    <w:rsid w:val="62FB101D"/>
    <w:rsid w:val="63871BF1"/>
    <w:rsid w:val="63B35731"/>
    <w:rsid w:val="63FF7D66"/>
    <w:rsid w:val="65701DAE"/>
    <w:rsid w:val="65AC068A"/>
    <w:rsid w:val="65E65E08"/>
    <w:rsid w:val="65FA3F4B"/>
    <w:rsid w:val="662243A2"/>
    <w:rsid w:val="6630546A"/>
    <w:rsid w:val="666A7523"/>
    <w:rsid w:val="67B44A3F"/>
    <w:rsid w:val="67DF5E02"/>
    <w:rsid w:val="682B5A6A"/>
    <w:rsid w:val="68866387"/>
    <w:rsid w:val="68A90F2B"/>
    <w:rsid w:val="68AA2B65"/>
    <w:rsid w:val="69125F45"/>
    <w:rsid w:val="6A3C6480"/>
    <w:rsid w:val="6A434398"/>
    <w:rsid w:val="6A5615EC"/>
    <w:rsid w:val="6AA1789F"/>
    <w:rsid w:val="6C1F71D5"/>
    <w:rsid w:val="6DAA54AF"/>
    <w:rsid w:val="6ECE1D5E"/>
    <w:rsid w:val="6F313FE5"/>
    <w:rsid w:val="6FC22F83"/>
    <w:rsid w:val="70576D06"/>
    <w:rsid w:val="70673B2B"/>
    <w:rsid w:val="70AD7E26"/>
    <w:rsid w:val="70B32923"/>
    <w:rsid w:val="70BB7E5C"/>
    <w:rsid w:val="714726B7"/>
    <w:rsid w:val="721B2E1F"/>
    <w:rsid w:val="72453BE7"/>
    <w:rsid w:val="72484540"/>
    <w:rsid w:val="72703E94"/>
    <w:rsid w:val="73413276"/>
    <w:rsid w:val="73415F19"/>
    <w:rsid w:val="7355410F"/>
    <w:rsid w:val="742A49F3"/>
    <w:rsid w:val="7458144D"/>
    <w:rsid w:val="74590FF5"/>
    <w:rsid w:val="74AB40B9"/>
    <w:rsid w:val="74AB522C"/>
    <w:rsid w:val="76252600"/>
    <w:rsid w:val="76C025DC"/>
    <w:rsid w:val="76DA78D0"/>
    <w:rsid w:val="76EC740F"/>
    <w:rsid w:val="777B6BED"/>
    <w:rsid w:val="77B81E09"/>
    <w:rsid w:val="77F8480C"/>
    <w:rsid w:val="78791B91"/>
    <w:rsid w:val="78FC0C0E"/>
    <w:rsid w:val="7A2912C6"/>
    <w:rsid w:val="7A944324"/>
    <w:rsid w:val="7ACB247F"/>
    <w:rsid w:val="7AE25346"/>
    <w:rsid w:val="7AFD20FE"/>
    <w:rsid w:val="7B8A6E1D"/>
    <w:rsid w:val="7BEF6CB9"/>
    <w:rsid w:val="7CC6609B"/>
    <w:rsid w:val="7D1B1FC5"/>
    <w:rsid w:val="7D782ED3"/>
    <w:rsid w:val="7D7C46F8"/>
    <w:rsid w:val="7E2C493A"/>
    <w:rsid w:val="7E634CED"/>
    <w:rsid w:val="7EF60B64"/>
    <w:rsid w:val="7EF7251E"/>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widowControl/>
      <w:spacing w:line="480" w:lineRule="exact"/>
    </w:pPr>
    <w:rPr>
      <w:rFonts w:ascii="宋体" w:hAnsi="宋体" w:cs="宋体"/>
      <w:kern w:val="0"/>
      <w:sz w:val="24"/>
      <w:szCs w:val="24"/>
    </w:rPr>
  </w:style>
  <w:style w:type="paragraph" w:styleId="3">
    <w:name w:val="Plain Text"/>
    <w:basedOn w:val="1"/>
    <w:link w:val="32"/>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paragraph" w:customStyle="1" w:styleId="11">
    <w:name w:val="默认"/>
    <w:basedOn w:val="1"/>
    <w:qFormat/>
    <w:uiPriority w:val="99"/>
    <w:pPr>
      <w:widowControl/>
      <w:jc w:val="left"/>
    </w:pPr>
    <w:rPr>
      <w:rFonts w:ascii="Helvetica" w:hAnsi="Helvetica" w:cs="Helvetica"/>
      <w:color w:val="000000"/>
      <w:kern w:val="0"/>
      <w:sz w:val="22"/>
      <w:szCs w:val="22"/>
    </w:rPr>
  </w:style>
  <w:style w:type="character" w:customStyle="1" w:styleId="12">
    <w:name w:val="页脚 Char"/>
    <w:link w:val="5"/>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6"/>
    <w:qFormat/>
    <w:locked/>
    <w:uiPriority w:val="99"/>
    <w:rPr>
      <w:kern w:val="2"/>
      <w:sz w:val="18"/>
      <w:szCs w:val="18"/>
    </w:rPr>
  </w:style>
  <w:style w:type="character" w:customStyle="1" w:styleId="15">
    <w:name w:val="font11"/>
    <w:qFormat/>
    <w:uiPriority w:val="99"/>
    <w:rPr>
      <w:rFonts w:ascii="方正仿宋_GBK" w:hAnsi="方正仿宋_GBK" w:eastAsia="方正仿宋_GBK" w:cs="方正仿宋_GBK"/>
      <w:color w:val="000000"/>
      <w:sz w:val="20"/>
      <w:szCs w:val="20"/>
      <w:u w:val="none"/>
    </w:rPr>
  </w:style>
  <w:style w:type="character" w:customStyle="1" w:styleId="16">
    <w:name w:val="font21"/>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qFormat/>
    <w:uiPriority w:val="99"/>
    <w:rPr>
      <w:rFonts w:ascii="方正仿宋_GBK" w:eastAsia="方正仿宋_GBK" w:cs="方正仿宋_GBK"/>
      <w:color w:val="000000"/>
      <w:sz w:val="20"/>
      <w:szCs w:val="20"/>
    </w:rPr>
  </w:style>
  <w:style w:type="character" w:customStyle="1" w:styleId="20">
    <w:name w:val="16"/>
    <w:qFormat/>
    <w:uiPriority w:val="99"/>
    <w:rPr>
      <w:rFonts w:ascii="方正仿宋_GBK" w:eastAsia="方正仿宋_GBK" w:cs="方正仿宋_GBK"/>
      <w:color w:val="000000"/>
      <w:sz w:val="20"/>
      <w:szCs w:val="20"/>
    </w:rPr>
  </w:style>
  <w:style w:type="character" w:customStyle="1" w:styleId="21">
    <w:name w:val="正文文本 Char"/>
    <w:link w:val="2"/>
    <w:semiHidden/>
    <w:qFormat/>
    <w:locked/>
    <w:uiPriority w:val="99"/>
    <w:rPr>
      <w:sz w:val="21"/>
      <w:szCs w:val="21"/>
    </w:rPr>
  </w:style>
  <w:style w:type="character" w:customStyle="1" w:styleId="22">
    <w:name w:val="10"/>
    <w:qFormat/>
    <w:uiPriority w:val="99"/>
    <w:rPr>
      <w:rFonts w:ascii="Times New Roman" w:hAnsi="Times New Roman" w:cs="Times New Roman"/>
    </w:rPr>
  </w:style>
  <w:style w:type="character" w:customStyle="1" w:styleId="23">
    <w:name w:val="17"/>
    <w:qFormat/>
    <w:uiPriority w:val="99"/>
    <w:rPr>
      <w:rFonts w:ascii="方正仿宋_GBK" w:eastAsia="方正仿宋_GBK" w:cs="方正仿宋_GBK"/>
      <w:color w:val="000000"/>
      <w:sz w:val="18"/>
      <w:szCs w:val="18"/>
    </w:rPr>
  </w:style>
  <w:style w:type="character" w:customStyle="1" w:styleId="24">
    <w:name w:val="18"/>
    <w:qFormat/>
    <w:uiPriority w:val="99"/>
    <w:rPr>
      <w:rFonts w:ascii="方正仿宋_GBK" w:eastAsia="方正仿宋_GBK" w:cs="方正仿宋_GBK"/>
      <w:color w:val="000000"/>
      <w:sz w:val="24"/>
      <w:szCs w:val="24"/>
    </w:rPr>
  </w:style>
  <w:style w:type="paragraph" w:customStyle="1" w:styleId="25">
    <w:name w:val="Default"/>
    <w:basedOn w:val="1"/>
    <w:next w:val="1"/>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qFormat/>
    <w:uiPriority w:val="99"/>
    <w:rPr>
      <w:rFonts w:ascii="宋体" w:hAnsi="宋体" w:eastAsia="宋体" w:cs="宋体"/>
      <w:color w:val="000000"/>
      <w:sz w:val="20"/>
      <w:szCs w:val="20"/>
    </w:rPr>
  </w:style>
  <w:style w:type="character" w:customStyle="1" w:styleId="32">
    <w:name w:val="纯文本 Char"/>
    <w:link w:val="3"/>
    <w:semiHidden/>
    <w:qFormat/>
    <w:locked/>
    <w:uiPriority w:val="99"/>
    <w:rPr>
      <w:rFonts w:ascii="宋体" w:hAnsi="Courier New" w:cs="宋体"/>
      <w:sz w:val="21"/>
      <w:szCs w:val="21"/>
    </w:rPr>
  </w:style>
  <w:style w:type="paragraph" w:customStyle="1" w:styleId="33">
    <w:name w:val="列出段落11"/>
    <w:basedOn w:val="1"/>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font61"/>
    <w:basedOn w:val="9"/>
    <w:qFormat/>
    <w:uiPriority w:val="0"/>
    <w:rPr>
      <w:rFonts w:hint="default" w:ascii="Times New Roman" w:hAnsi="Times New Roman" w:cs="Times New Roman"/>
      <w:color w:val="000000"/>
      <w:sz w:val="20"/>
      <w:szCs w:val="20"/>
      <w:u w:val="none"/>
    </w:rPr>
  </w:style>
  <w:style w:type="character" w:customStyle="1" w:styleId="36">
    <w:name w:val="font81"/>
    <w:basedOn w:val="9"/>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qFormat/>
    <w:uiPriority w:val="0"/>
    <w:rPr>
      <w:rFonts w:hint="default"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9446</Words>
  <Characters>13561</Characters>
  <Lines>1493</Lines>
  <Paragraphs>420</Paragraphs>
  <TotalTime>4</TotalTime>
  <ScaleCrop>false</ScaleCrop>
  <LinksUpToDate>false</LinksUpToDate>
  <CharactersWithSpaces>14135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Administrator</cp:lastModifiedBy>
  <dcterms:modified xsi:type="dcterms:W3CDTF">2024-03-25T07:15:17Z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924225636B014AEB804601339960C34B</vt:lpwstr>
  </property>
</Properties>
</file>