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val="0"/>
        <w:autoSpaceDN/>
        <w:bidi w:val="0"/>
        <w:adjustRightInd/>
        <w:spacing w:line="600" w:lineRule="exact"/>
        <w:jc w:val="center"/>
        <w:outlineLvl w:val="0"/>
        <w:rPr>
          <w:rFonts w:hint="eastAsia" w:eastAsia="方正小标宋_GBK"/>
          <w:sz w:val="44"/>
          <w:szCs w:val="44"/>
          <w:lang w:val="en-US" w:eastAsia="zh-CN"/>
        </w:rPr>
      </w:pPr>
      <w:r>
        <w:rPr>
          <w:rFonts w:eastAsia="方正小标宋_GBK"/>
          <w:sz w:val="44"/>
          <w:szCs w:val="44"/>
        </w:rPr>
        <w:t>重庆市潼南区</w:t>
      </w:r>
      <w:r>
        <w:rPr>
          <w:rFonts w:hint="eastAsia" w:eastAsia="方正小标宋_GBK"/>
          <w:sz w:val="44"/>
          <w:szCs w:val="44"/>
          <w:lang w:val="en-US" w:eastAsia="zh-CN"/>
        </w:rPr>
        <w:t>五桂镇农业服务中心</w:t>
      </w:r>
    </w:p>
    <w:p>
      <w:pPr>
        <w:keepNext w:val="0"/>
        <w:keepLines w:val="0"/>
        <w:pageBreakBefore w:val="0"/>
        <w:kinsoku/>
        <w:wordWrap/>
        <w:overflowPunct/>
        <w:topLinePunct w:val="0"/>
        <w:autoSpaceDE w:val="0"/>
        <w:autoSpaceDN/>
        <w:bidi w:val="0"/>
        <w:adjustRightInd/>
        <w:spacing w:line="600" w:lineRule="exact"/>
        <w:jc w:val="center"/>
        <w:rPr>
          <w:rFonts w:eastAsia="方正小标宋_GBK"/>
          <w:sz w:val="44"/>
          <w:szCs w:val="44"/>
        </w:rPr>
      </w:pPr>
      <w:r>
        <w:rPr>
          <w:rFonts w:eastAsia="方正小标宋_GBK"/>
          <w:sz w:val="44"/>
          <w:szCs w:val="44"/>
        </w:rPr>
        <w:t>202</w:t>
      </w:r>
      <w:r>
        <w:rPr>
          <w:rFonts w:hint="eastAsia" w:eastAsia="方正小标宋_GBK"/>
          <w:sz w:val="44"/>
          <w:szCs w:val="44"/>
          <w:lang w:val="en-US" w:eastAsia="zh-CN"/>
        </w:rPr>
        <w:t>4</w:t>
      </w:r>
      <w:r>
        <w:rPr>
          <w:rFonts w:eastAsia="方正小标宋_GBK"/>
          <w:sz w:val="44"/>
          <w:szCs w:val="44"/>
        </w:rPr>
        <w:t>年部门预算情况说明</w:t>
      </w:r>
    </w:p>
    <w:p>
      <w:pPr>
        <w:keepNext w:val="0"/>
        <w:keepLines w:val="0"/>
        <w:pageBreakBefore w:val="0"/>
        <w:kinsoku/>
        <w:wordWrap/>
        <w:overflowPunct/>
        <w:topLinePunct w:val="0"/>
        <w:autoSpaceDN/>
        <w:bidi w:val="0"/>
        <w:adjustRightInd/>
        <w:spacing w:line="600" w:lineRule="exact"/>
        <w:ind w:firstLine="640" w:firstLineChars="200"/>
        <w:jc w:val="center"/>
        <w:rPr>
          <w:rFonts w:eastAsia="方正仿宋_GBK"/>
          <w:sz w:val="32"/>
          <w:szCs w:val="32"/>
        </w:rPr>
      </w:pPr>
      <w:r>
        <w:rPr>
          <w:rFonts w:eastAsia="仿宋_GB2312"/>
          <w:sz w:val="32"/>
          <w:szCs w:val="32"/>
        </w:rPr>
        <w:t xml:space="preserve"> </w:t>
      </w:r>
    </w:p>
    <w:p>
      <w:pPr>
        <w:keepNext w:val="0"/>
        <w:keepLines w:val="0"/>
        <w:pageBreakBefore w:val="0"/>
        <w:kinsoku/>
        <w:wordWrap/>
        <w:overflowPunct/>
        <w:topLinePunct w:val="0"/>
        <w:autoSpaceDN/>
        <w:bidi w:val="0"/>
        <w:adjustRightInd/>
        <w:spacing w:line="600" w:lineRule="exact"/>
        <w:ind w:firstLine="684" w:firstLineChars="214"/>
        <w:rPr>
          <w:rFonts w:eastAsia="方正黑体_GBK"/>
          <w:sz w:val="32"/>
          <w:szCs w:val="32"/>
        </w:rPr>
      </w:pPr>
      <w:r>
        <w:rPr>
          <w:rFonts w:eastAsia="方正黑体_GBK"/>
          <w:sz w:val="32"/>
          <w:szCs w:val="32"/>
        </w:rPr>
        <w:t>一、单位基本情况</w:t>
      </w:r>
    </w:p>
    <w:p>
      <w:pPr>
        <w:keepNext w:val="0"/>
        <w:keepLines w:val="0"/>
        <w:pageBreakBefore w:val="0"/>
        <w:kinsoku/>
        <w:wordWrap/>
        <w:overflowPunct/>
        <w:topLinePunct w:val="0"/>
        <w:autoSpaceDN/>
        <w:bidi w:val="0"/>
        <w:adjustRightInd/>
        <w:spacing w:line="600" w:lineRule="exact"/>
        <w:ind w:firstLine="684" w:firstLineChars="214"/>
        <w:rPr>
          <w:rFonts w:eastAsia="方正楷体_GBK"/>
          <w:sz w:val="32"/>
          <w:szCs w:val="32"/>
        </w:rPr>
      </w:pPr>
      <w:r>
        <w:rPr>
          <w:rFonts w:eastAsia="方正楷体_GBK"/>
          <w:sz w:val="32"/>
          <w:szCs w:val="32"/>
        </w:rPr>
        <w:t>（一）</w:t>
      </w:r>
      <w:r>
        <w:rPr>
          <w:rFonts w:hint="default" w:eastAsia="方正楷体_GBK"/>
          <w:sz w:val="32"/>
          <w:szCs w:val="32"/>
          <w:lang w:val="en-US" w:eastAsia="zh-CN"/>
        </w:rPr>
        <w:t>职能职责</w:t>
      </w:r>
    </w:p>
    <w:p>
      <w:pPr>
        <w:keepNext w:val="0"/>
        <w:keepLines w:val="0"/>
        <w:pageBreakBefore w:val="0"/>
        <w:kinsoku/>
        <w:wordWrap/>
        <w:overflowPunct/>
        <w:topLinePunct w:val="0"/>
        <w:autoSpaceDN/>
        <w:bidi w:val="0"/>
        <w:adjustRightInd/>
        <w:spacing w:line="600" w:lineRule="exact"/>
        <w:ind w:firstLine="684" w:firstLineChars="214"/>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主要承担农技、农机、林业、水利、水产、畜牧等方面的技术推广和信息发布、资源保护、灾害防治、防疫检疫等服务工作。</w:t>
      </w:r>
    </w:p>
    <w:p>
      <w:pPr>
        <w:keepNext w:val="0"/>
        <w:keepLines w:val="0"/>
        <w:pageBreakBefore w:val="0"/>
        <w:kinsoku/>
        <w:wordWrap/>
        <w:overflowPunct/>
        <w:topLinePunct w:val="0"/>
        <w:autoSpaceDN/>
        <w:bidi w:val="0"/>
        <w:adjustRightInd/>
        <w:spacing w:line="600" w:lineRule="exact"/>
        <w:ind w:firstLine="684" w:firstLineChars="214"/>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主要承担农技、农机、林业、水利、水产、畜牧等方面的技术推广和信息发布、资源保护、灾害防治、防疫检疫等服务工作，承担扶贫开发、产业扶贫、脱贫攻坚等事务性工作。</w:t>
      </w:r>
    </w:p>
    <w:p>
      <w:pPr>
        <w:keepNext w:val="0"/>
        <w:keepLines w:val="0"/>
        <w:pageBreakBefore w:val="0"/>
        <w:kinsoku/>
        <w:wordWrap/>
        <w:overflowPunct/>
        <w:topLinePunct w:val="0"/>
        <w:autoSpaceDN/>
        <w:bidi w:val="0"/>
        <w:adjustRightInd/>
        <w:spacing w:line="600" w:lineRule="exact"/>
        <w:ind w:firstLine="684" w:firstLineChars="214"/>
        <w:rPr>
          <w:rFonts w:eastAsia="方正楷体_GBK"/>
          <w:sz w:val="32"/>
          <w:szCs w:val="32"/>
        </w:rPr>
      </w:pPr>
      <w:r>
        <w:rPr>
          <w:rFonts w:eastAsia="方正楷体_GBK"/>
          <w:sz w:val="32"/>
          <w:szCs w:val="32"/>
        </w:rPr>
        <w:t>（二）单位构成</w:t>
      </w:r>
    </w:p>
    <w:p>
      <w:pPr>
        <w:keepNext w:val="0"/>
        <w:keepLines w:val="0"/>
        <w:pageBreakBefore w:val="0"/>
        <w:kinsoku/>
        <w:wordWrap/>
        <w:overflowPunct/>
        <w:topLinePunct w:val="0"/>
        <w:autoSpaceDN/>
        <w:bidi w:val="0"/>
        <w:adjustRightInd/>
        <w:spacing w:line="600" w:lineRule="exact"/>
        <w:ind w:firstLine="684" w:firstLineChars="214"/>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重庆市潼南区五桂镇农业服务中心是重庆市潼南区五桂镇人民政府下属二级预算单位</w:t>
      </w:r>
      <w:r>
        <w:rPr>
          <w:rFonts w:hint="eastAsia" w:eastAsia="方正仿宋_GBK" w:cs="Times New Roman"/>
          <w:kern w:val="2"/>
          <w:sz w:val="32"/>
          <w:szCs w:val="32"/>
          <w:lang w:val="en-US" w:eastAsia="zh-CN" w:bidi="ar-SA"/>
        </w:rPr>
        <w:t>，为全额拨款事业单位。</w:t>
      </w:r>
    </w:p>
    <w:p>
      <w:pPr>
        <w:keepNext w:val="0"/>
        <w:keepLines w:val="0"/>
        <w:pageBreakBefore w:val="0"/>
        <w:kinsoku/>
        <w:wordWrap/>
        <w:overflowPunct/>
        <w:topLinePunct w:val="0"/>
        <w:autoSpaceDN/>
        <w:bidi w:val="0"/>
        <w:adjustRightInd/>
        <w:spacing w:line="600" w:lineRule="exact"/>
        <w:ind w:firstLine="684" w:firstLineChars="214"/>
        <w:rPr>
          <w:rFonts w:eastAsia="方正黑体_GBK"/>
          <w:sz w:val="32"/>
          <w:szCs w:val="32"/>
        </w:rPr>
      </w:pPr>
      <w:r>
        <w:rPr>
          <w:rFonts w:eastAsia="方正黑体_GBK"/>
          <w:sz w:val="32"/>
          <w:szCs w:val="32"/>
        </w:rPr>
        <w:t>二、部门收支总体情况</w:t>
      </w:r>
    </w:p>
    <w:p>
      <w:pPr>
        <w:keepNext w:val="0"/>
        <w:keepLines w:val="0"/>
        <w:pageBreakBefore w:val="0"/>
        <w:kinsoku/>
        <w:wordWrap/>
        <w:overflowPunct/>
        <w:topLinePunct w:val="0"/>
        <w:autoSpaceDN/>
        <w:bidi w:val="0"/>
        <w:adjustRightInd/>
        <w:spacing w:line="600" w:lineRule="exact"/>
        <w:ind w:firstLine="684" w:firstLineChars="214"/>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（一）收入预算：2024年年初预算数405.62万元，其中：一般公共预算拨款405.62万元，政府性基金预算拨款 0万元,国有资本经营预算收入0万元，事业收入0万元，事业单位经营收入0 万元，其他收入0万元，收入较去年</w:t>
      </w:r>
      <w:r>
        <w:rPr>
          <w:rFonts w:hint="eastAsia" w:eastAsia="方正仿宋_GBK" w:cs="Times New Roman"/>
          <w:kern w:val="2"/>
          <w:sz w:val="32"/>
          <w:szCs w:val="32"/>
          <w:lang w:val="en-US" w:eastAsia="zh-CN" w:bidi="ar-SA"/>
        </w:rPr>
        <w:t>减少21.75</w:t>
      </w:r>
      <w:r>
        <w:rPr>
          <w:rFonts w:hint="eastAsia" w:ascii="Times New Roman" w:hAnsi="Times New Roman" w:eastAsia="方正仿宋_GBK" w:cs="Times New Roman"/>
          <w:kern w:val="2"/>
          <w:sz w:val="32"/>
          <w:szCs w:val="32"/>
          <w:lang w:val="en-US" w:eastAsia="zh-CN" w:bidi="ar-SA"/>
        </w:rPr>
        <w:t>万元。</w:t>
      </w:r>
    </w:p>
    <w:p>
      <w:pPr>
        <w:keepNext w:val="0"/>
        <w:keepLines w:val="0"/>
        <w:pageBreakBefore w:val="0"/>
        <w:kinsoku/>
        <w:wordWrap/>
        <w:overflowPunct/>
        <w:topLinePunct w:val="0"/>
        <w:autoSpaceDN/>
        <w:bidi w:val="0"/>
        <w:adjustRightInd/>
        <w:spacing w:line="600" w:lineRule="exact"/>
        <w:ind w:firstLine="684" w:firstLineChars="214"/>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（二）支出预算：2024年年初预算数 405.62万元，其中：社会保障和就业支出23.12 万元，卫生健康支出 9.29万元，城乡社区支出31.51万元，农林水支出 365.64万元，住房保障支出7.57万元</w:t>
      </w:r>
      <w:r>
        <w:rPr>
          <w:rFonts w:hint="eastAsia"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支出较去年</w:t>
      </w:r>
      <w:r>
        <w:rPr>
          <w:rFonts w:hint="eastAsia" w:eastAsia="方正仿宋_GBK" w:cs="Times New Roman"/>
          <w:kern w:val="2"/>
          <w:sz w:val="32"/>
          <w:szCs w:val="32"/>
          <w:lang w:val="en-US" w:eastAsia="zh-CN" w:bidi="ar-SA"/>
        </w:rPr>
        <w:t>减少21.75</w:t>
      </w:r>
      <w:r>
        <w:rPr>
          <w:rFonts w:hint="eastAsia" w:ascii="Times New Roman" w:hAnsi="Times New Roman" w:eastAsia="方正仿宋_GBK" w:cs="Times New Roman"/>
          <w:kern w:val="2"/>
          <w:sz w:val="32"/>
          <w:szCs w:val="32"/>
          <w:lang w:val="en-US" w:eastAsia="zh-CN" w:bidi="ar-SA"/>
        </w:rPr>
        <w:t>万元</w:t>
      </w:r>
      <w:r>
        <w:rPr>
          <w:rFonts w:hint="eastAsia" w:eastAsia="方正仿宋_GBK" w:cs="Times New Roman"/>
          <w:kern w:val="2"/>
          <w:sz w:val="32"/>
          <w:szCs w:val="32"/>
          <w:lang w:val="en-US" w:eastAsia="zh-CN" w:bidi="ar-SA"/>
        </w:rPr>
        <w:t>。</w:t>
      </w:r>
    </w:p>
    <w:p>
      <w:pPr>
        <w:keepNext w:val="0"/>
        <w:keepLines w:val="0"/>
        <w:pageBreakBefore w:val="0"/>
        <w:kinsoku/>
        <w:wordWrap/>
        <w:overflowPunct/>
        <w:topLinePunct w:val="0"/>
        <w:autoSpaceDN/>
        <w:bidi w:val="0"/>
        <w:adjustRightInd/>
        <w:spacing w:line="600" w:lineRule="exact"/>
        <w:ind w:firstLine="684" w:firstLineChars="214"/>
        <w:rPr>
          <w:rFonts w:eastAsia="方正黑体_GBK"/>
          <w:sz w:val="32"/>
          <w:szCs w:val="32"/>
        </w:rPr>
      </w:pPr>
      <w:r>
        <w:rPr>
          <w:rFonts w:eastAsia="方正黑体_GBK"/>
          <w:sz w:val="32"/>
          <w:szCs w:val="32"/>
        </w:rPr>
        <w:t>三、部门预算情况说明</w:t>
      </w:r>
    </w:p>
    <w:p>
      <w:pPr>
        <w:keepNext w:val="0"/>
        <w:keepLines w:val="0"/>
        <w:pageBreakBefore w:val="0"/>
        <w:kinsoku/>
        <w:wordWrap/>
        <w:overflowPunct/>
        <w:topLinePunct w:val="0"/>
        <w:autoSpaceDN/>
        <w:bidi w:val="0"/>
        <w:adjustRightInd/>
        <w:spacing w:line="600" w:lineRule="exact"/>
        <w:ind w:firstLine="684" w:firstLineChars="214"/>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2024年一般公共预算财政拨款收入405.62万元，一般公共预算财政拨款支出405.62万元，比2023年</w:t>
      </w:r>
      <w:r>
        <w:rPr>
          <w:rFonts w:hint="eastAsia" w:eastAsia="方正仿宋_GBK" w:cs="Times New Roman"/>
          <w:kern w:val="2"/>
          <w:sz w:val="32"/>
          <w:szCs w:val="32"/>
          <w:lang w:val="en-US" w:eastAsia="zh-CN" w:bidi="ar-SA"/>
        </w:rPr>
        <w:t>减少21.75</w:t>
      </w:r>
      <w:r>
        <w:rPr>
          <w:rFonts w:hint="eastAsia" w:ascii="Times New Roman" w:hAnsi="Times New Roman" w:eastAsia="方正仿宋_GBK" w:cs="Times New Roman"/>
          <w:kern w:val="2"/>
          <w:sz w:val="32"/>
          <w:szCs w:val="32"/>
          <w:lang w:val="en-US" w:eastAsia="zh-CN" w:bidi="ar-SA"/>
        </w:rPr>
        <w:t>万元。其中：基本支出173.48万元，比2023增加</w:t>
      </w:r>
      <w:r>
        <w:rPr>
          <w:rFonts w:hint="eastAsia" w:eastAsia="方正仿宋_GBK" w:cs="Times New Roman"/>
          <w:kern w:val="2"/>
          <w:sz w:val="32"/>
          <w:szCs w:val="32"/>
          <w:lang w:val="en-US" w:eastAsia="zh-CN" w:bidi="ar-SA"/>
        </w:rPr>
        <w:t>1.87</w:t>
      </w:r>
      <w:r>
        <w:rPr>
          <w:rFonts w:hint="eastAsia" w:ascii="Times New Roman" w:hAnsi="Times New Roman" w:eastAsia="方正仿宋_GBK" w:cs="Times New Roman"/>
          <w:kern w:val="2"/>
          <w:sz w:val="32"/>
          <w:szCs w:val="32"/>
          <w:lang w:val="en-US" w:eastAsia="zh-CN" w:bidi="ar-SA"/>
        </w:rPr>
        <w:t>万元；项目支出</w:t>
      </w:r>
      <w:r>
        <w:rPr>
          <w:rFonts w:hint="eastAsia" w:eastAsia="方正仿宋_GBK" w:cs="Times New Roman"/>
          <w:kern w:val="2"/>
          <w:sz w:val="32"/>
          <w:szCs w:val="32"/>
          <w:lang w:val="en-US" w:eastAsia="zh-CN" w:bidi="ar-SA"/>
        </w:rPr>
        <w:t>232.14</w:t>
      </w:r>
      <w:r>
        <w:rPr>
          <w:rFonts w:hint="eastAsia" w:ascii="Times New Roman" w:hAnsi="Times New Roman" w:eastAsia="方正仿宋_GBK" w:cs="Times New Roman"/>
          <w:kern w:val="2"/>
          <w:sz w:val="32"/>
          <w:szCs w:val="32"/>
          <w:lang w:val="en-US" w:eastAsia="zh-CN" w:bidi="ar-SA"/>
        </w:rPr>
        <w:t>万元，比2023年</w:t>
      </w:r>
      <w:r>
        <w:rPr>
          <w:rFonts w:hint="eastAsia" w:eastAsia="方正仿宋_GBK" w:cs="Times New Roman"/>
          <w:kern w:val="2"/>
          <w:sz w:val="32"/>
          <w:szCs w:val="32"/>
          <w:lang w:val="en-US" w:eastAsia="zh-CN" w:bidi="ar-SA"/>
        </w:rPr>
        <w:t>减少23.62</w:t>
      </w:r>
      <w:r>
        <w:rPr>
          <w:rFonts w:hint="eastAsia" w:ascii="Times New Roman" w:hAnsi="Times New Roman" w:eastAsia="方正仿宋_GBK" w:cs="Times New Roman"/>
          <w:kern w:val="2"/>
          <w:sz w:val="32"/>
          <w:szCs w:val="32"/>
          <w:lang w:val="en-US" w:eastAsia="zh-CN" w:bidi="ar-SA"/>
        </w:rPr>
        <w:t>万元，主要原因是对村民委员会和村党支部的补助</w:t>
      </w:r>
      <w:r>
        <w:rPr>
          <w:rFonts w:hint="eastAsia" w:eastAsia="方正仿宋_GBK" w:cs="Times New Roman"/>
          <w:kern w:val="2"/>
          <w:sz w:val="32"/>
          <w:szCs w:val="32"/>
          <w:lang w:val="en-US" w:eastAsia="zh-CN" w:bidi="ar-SA"/>
        </w:rPr>
        <w:t>支出较少</w:t>
      </w:r>
      <w:r>
        <w:rPr>
          <w:rFonts w:hint="eastAsia" w:ascii="Times New Roman" w:hAnsi="Times New Roman" w:eastAsia="方正仿宋_GBK" w:cs="Times New Roman"/>
          <w:kern w:val="2"/>
          <w:sz w:val="32"/>
          <w:szCs w:val="32"/>
          <w:lang w:val="en-US" w:eastAsia="zh-CN" w:bidi="ar-SA"/>
        </w:rPr>
        <w:t>。</w:t>
      </w:r>
    </w:p>
    <w:p>
      <w:pPr>
        <w:keepNext w:val="0"/>
        <w:keepLines w:val="0"/>
        <w:pageBreakBefore w:val="0"/>
        <w:kinsoku/>
        <w:wordWrap/>
        <w:overflowPunct/>
        <w:topLinePunct w:val="0"/>
        <w:autoSpaceDN/>
        <w:bidi w:val="0"/>
        <w:adjustRightInd/>
        <w:spacing w:line="600" w:lineRule="exact"/>
        <w:ind w:firstLine="684" w:firstLineChars="214"/>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2024年政府性基金预算收入0万元，政府性基金预算支出0元，与2023年持平。</w:t>
      </w:r>
    </w:p>
    <w:p>
      <w:pPr>
        <w:keepNext w:val="0"/>
        <w:keepLines w:val="0"/>
        <w:pageBreakBefore w:val="0"/>
        <w:kinsoku/>
        <w:wordWrap/>
        <w:overflowPunct/>
        <w:topLinePunct w:val="0"/>
        <w:autoSpaceDN/>
        <w:bidi w:val="0"/>
        <w:adjustRightInd/>
        <w:spacing w:line="600" w:lineRule="exact"/>
        <w:ind w:firstLine="684" w:firstLineChars="214"/>
        <w:rPr>
          <w:rFonts w:eastAsia="方正黑体_GBK"/>
          <w:sz w:val="32"/>
          <w:szCs w:val="32"/>
        </w:rPr>
      </w:pPr>
      <w:r>
        <w:rPr>
          <w:rFonts w:eastAsia="方正黑体_GBK"/>
          <w:sz w:val="32"/>
          <w:szCs w:val="32"/>
        </w:rPr>
        <w:t>四、“三公”经费情况说明</w:t>
      </w:r>
    </w:p>
    <w:p>
      <w:pPr>
        <w:keepNext w:val="0"/>
        <w:keepLines w:val="0"/>
        <w:pageBreakBefore w:val="0"/>
        <w:kinsoku/>
        <w:wordWrap/>
        <w:overflowPunct/>
        <w:topLinePunct w:val="0"/>
        <w:autoSpaceDN/>
        <w:bidi w:val="0"/>
        <w:adjustRightInd/>
        <w:spacing w:line="600" w:lineRule="exact"/>
        <w:ind w:firstLine="684" w:firstLineChars="214"/>
        <w:rPr>
          <w:rFonts w:hint="eastAsia" w:ascii="Times New Roman" w:hAnsi="Times New Roman" w:eastAsia="方正仿宋_GBK" w:cs="Times New Roman"/>
          <w:kern w:val="2"/>
          <w:sz w:val="32"/>
          <w:szCs w:val="32"/>
          <w:lang w:val="en-US" w:eastAsia="zh-CN" w:bidi="ar-SA"/>
        </w:rPr>
      </w:pPr>
      <w:r>
        <w:rPr>
          <w:rFonts w:hint="eastAsia" w:eastAsia="方正仿宋_GBK" w:cs="Times New Roman"/>
          <w:kern w:val="2"/>
          <w:sz w:val="32"/>
          <w:szCs w:val="32"/>
          <w:lang w:val="en-US" w:eastAsia="zh-CN" w:bidi="ar-SA"/>
        </w:rPr>
        <w:t>本单位</w:t>
      </w:r>
      <w:r>
        <w:rPr>
          <w:rFonts w:hint="eastAsia" w:ascii="Times New Roman" w:hAnsi="Times New Roman" w:eastAsia="方正仿宋_GBK" w:cs="Times New Roman"/>
          <w:kern w:val="2"/>
          <w:sz w:val="32"/>
          <w:szCs w:val="32"/>
          <w:lang w:val="en-US" w:eastAsia="zh-CN" w:bidi="ar-SA"/>
        </w:rPr>
        <w:t>2024年“三公”经费预算</w:t>
      </w:r>
      <w:r>
        <w:rPr>
          <w:rFonts w:hint="eastAsia" w:eastAsia="方正仿宋_GBK" w:cs="Times New Roman"/>
          <w:kern w:val="2"/>
          <w:sz w:val="32"/>
          <w:szCs w:val="32"/>
          <w:lang w:val="en-US" w:eastAsia="zh-CN" w:bidi="ar-SA"/>
        </w:rPr>
        <w:t>0</w:t>
      </w:r>
      <w:r>
        <w:rPr>
          <w:rFonts w:hint="eastAsia" w:ascii="Times New Roman" w:hAnsi="Times New Roman" w:eastAsia="方正仿宋_GBK" w:cs="Times New Roman"/>
          <w:kern w:val="2"/>
          <w:sz w:val="32"/>
          <w:szCs w:val="32"/>
          <w:lang w:val="en-US" w:eastAsia="zh-CN" w:bidi="ar-SA"/>
        </w:rPr>
        <w:t>万元</w:t>
      </w:r>
      <w:r>
        <w:rPr>
          <w:rFonts w:hint="eastAsia"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与2023年持平。</w:t>
      </w:r>
    </w:p>
    <w:p>
      <w:pPr>
        <w:keepNext w:val="0"/>
        <w:keepLines w:val="0"/>
        <w:pageBreakBefore w:val="0"/>
        <w:kinsoku/>
        <w:wordWrap/>
        <w:overflowPunct/>
        <w:topLinePunct w:val="0"/>
        <w:autoSpaceDN/>
        <w:bidi w:val="0"/>
        <w:adjustRightInd/>
        <w:spacing w:line="600" w:lineRule="exact"/>
        <w:ind w:firstLine="684" w:firstLineChars="214"/>
        <w:rPr>
          <w:rFonts w:eastAsia="方正黑体_GBK"/>
          <w:sz w:val="32"/>
          <w:szCs w:val="32"/>
        </w:rPr>
      </w:pPr>
      <w:r>
        <w:rPr>
          <w:rFonts w:eastAsia="方正黑体_GBK"/>
          <w:sz w:val="32"/>
          <w:szCs w:val="32"/>
        </w:rPr>
        <w:t>五、其他重要事项的情况说明</w:t>
      </w:r>
    </w:p>
    <w:p>
      <w:pPr>
        <w:keepNext w:val="0"/>
        <w:keepLines w:val="0"/>
        <w:pageBreakBefore w:val="0"/>
        <w:kinsoku/>
        <w:wordWrap/>
        <w:overflowPunct/>
        <w:topLinePunct w:val="0"/>
        <w:autoSpaceDN/>
        <w:bidi w:val="0"/>
        <w:adjustRightInd/>
        <w:spacing w:line="600" w:lineRule="exact"/>
        <w:ind w:firstLine="684" w:firstLineChars="214"/>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1、机关运行经费。2024年一般公共预算财政拨款运行经费25.18万元，比上年增加0.2万元，机关运行经费主要用于办公费、电费、水费、邮电费、差旅费和其他交通费等。</w:t>
      </w:r>
    </w:p>
    <w:p>
      <w:pPr>
        <w:keepNext w:val="0"/>
        <w:keepLines w:val="0"/>
        <w:pageBreakBefore w:val="0"/>
        <w:kinsoku/>
        <w:wordWrap/>
        <w:overflowPunct/>
        <w:topLinePunct w:val="0"/>
        <w:autoSpaceDN/>
        <w:bidi w:val="0"/>
        <w:adjustRightInd/>
        <w:spacing w:line="600" w:lineRule="exact"/>
        <w:ind w:firstLine="684" w:firstLineChars="214"/>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2、政府采购情况。2024年无政府采购预算。</w:t>
      </w:r>
    </w:p>
    <w:p>
      <w:pPr>
        <w:keepNext w:val="0"/>
        <w:keepLines w:val="0"/>
        <w:pageBreakBefore w:val="0"/>
        <w:kinsoku/>
        <w:wordWrap/>
        <w:overflowPunct/>
        <w:topLinePunct w:val="0"/>
        <w:autoSpaceDN/>
        <w:bidi w:val="0"/>
        <w:adjustRightInd/>
        <w:spacing w:line="600" w:lineRule="exact"/>
        <w:ind w:firstLine="684" w:firstLineChars="214"/>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3、绩效目标设置情况。2024年项目支出均实行了绩效目标管理，涉及一般公共预算当年财政拨款</w:t>
      </w:r>
      <w:r>
        <w:rPr>
          <w:rFonts w:hint="default" w:ascii="Times New Roman" w:hAnsi="Times New Roman" w:eastAsia="方正仿宋_GBK" w:cs="Times New Roman"/>
          <w:kern w:val="2"/>
          <w:sz w:val="32"/>
          <w:szCs w:val="32"/>
          <w:lang w:val="en-US" w:eastAsia="zh-CN" w:bidi="ar-SA"/>
        </w:rPr>
        <w:t>232.14</w:t>
      </w:r>
      <w:r>
        <w:rPr>
          <w:rFonts w:hint="eastAsia" w:ascii="Times New Roman" w:hAnsi="Times New Roman" w:eastAsia="方正仿宋_GBK" w:cs="Times New Roman"/>
          <w:kern w:val="2"/>
          <w:sz w:val="32"/>
          <w:szCs w:val="32"/>
          <w:lang w:val="en-US" w:eastAsia="zh-CN" w:bidi="ar-SA"/>
        </w:rPr>
        <w:t>万元,涉及政府性基金预算当年财政拨款0万元。</w:t>
      </w:r>
    </w:p>
    <w:p>
      <w:pPr>
        <w:keepNext w:val="0"/>
        <w:keepLines w:val="0"/>
        <w:pageBreakBefore w:val="0"/>
        <w:kinsoku/>
        <w:wordWrap/>
        <w:overflowPunct/>
        <w:topLinePunct w:val="0"/>
        <w:autoSpaceDN/>
        <w:bidi w:val="0"/>
        <w:adjustRightInd/>
        <w:spacing w:line="600" w:lineRule="exact"/>
        <w:ind w:firstLine="684" w:firstLineChars="214"/>
        <w:rPr>
          <w:rFonts w:hint="eastAsia"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4、国有资产占有使用情况。</w:t>
      </w:r>
      <w:r>
        <w:rPr>
          <w:rFonts w:hint="eastAsia" w:eastAsia="方正仿宋_GBK" w:cs="Times New Roman"/>
          <w:kern w:val="2"/>
          <w:sz w:val="32"/>
          <w:szCs w:val="32"/>
          <w:lang w:val="en-US" w:eastAsia="zh-CN" w:bidi="ar-SA"/>
        </w:rPr>
        <w:t>无。</w:t>
      </w:r>
    </w:p>
    <w:p>
      <w:pPr>
        <w:keepNext w:val="0"/>
        <w:keepLines w:val="0"/>
        <w:pageBreakBefore w:val="0"/>
        <w:kinsoku/>
        <w:wordWrap/>
        <w:overflowPunct/>
        <w:topLinePunct w:val="0"/>
        <w:autoSpaceDN/>
        <w:bidi w:val="0"/>
        <w:adjustRightInd/>
        <w:spacing w:line="600" w:lineRule="exact"/>
        <w:ind w:firstLine="684" w:firstLineChars="214"/>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六、专业性名词解释</w:t>
      </w:r>
    </w:p>
    <w:p>
      <w:pPr>
        <w:pStyle w:val="34"/>
        <w:keepNext w:val="0"/>
        <w:keepLines w:val="0"/>
        <w:pageBreakBefore w:val="0"/>
        <w:tabs>
          <w:tab w:val="center" w:pos="4153"/>
          <w:tab w:val="left" w:pos="7275"/>
        </w:tabs>
        <w:kinsoku/>
        <w:wordWrap/>
        <w:overflowPunct/>
        <w:topLinePunct w:val="0"/>
        <w:autoSpaceDN/>
        <w:bidi w:val="0"/>
        <w:adjustRightInd/>
        <w:spacing w:line="600" w:lineRule="exact"/>
        <w:ind w:firstLine="64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（一）财政拨款收入：</w:t>
      </w:r>
      <w:r>
        <w:rPr>
          <w:rFonts w:hint="eastAsia" w:ascii="Times New Roman" w:hAnsi="Times New Roman" w:eastAsia="方正仿宋_GBK" w:cs="Times New Roman"/>
          <w:kern w:val="2"/>
          <w:sz w:val="32"/>
          <w:szCs w:val="32"/>
          <w:lang w:val="en-US" w:eastAsia="zh-CN" w:bidi="ar-SA"/>
        </w:rPr>
        <w:t>指本年度从本级财政部门取得的财政拨款，包括一般公共预算财政拨款和政府性基金预算财政拨款。</w:t>
      </w:r>
    </w:p>
    <w:p>
      <w:pPr>
        <w:pStyle w:val="34"/>
        <w:keepNext w:val="0"/>
        <w:keepLines w:val="0"/>
        <w:pageBreakBefore w:val="0"/>
        <w:tabs>
          <w:tab w:val="center" w:pos="4153"/>
          <w:tab w:val="left" w:pos="7275"/>
        </w:tabs>
        <w:kinsoku/>
        <w:wordWrap/>
        <w:overflowPunct/>
        <w:topLinePunct w:val="0"/>
        <w:autoSpaceDN/>
        <w:bidi w:val="0"/>
        <w:adjustRightInd/>
        <w:spacing w:line="600" w:lineRule="exact"/>
        <w:ind w:firstLine="64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（二）其他收入：</w:t>
      </w:r>
      <w:r>
        <w:rPr>
          <w:rFonts w:hint="eastAsia" w:ascii="Times New Roman" w:hAnsi="Times New Roman" w:eastAsia="方正仿宋_GBK" w:cs="Times New Roman"/>
          <w:kern w:val="2"/>
          <w:sz w:val="32"/>
          <w:szCs w:val="32"/>
          <w:lang w:val="en-US" w:eastAsia="zh-CN" w:bidi="ar-SA"/>
        </w:rPr>
        <w:t>指单位取得的除“财政拨款收入”、“事业收入”、“经营收入”等以外的收入。</w:t>
      </w:r>
    </w:p>
    <w:p>
      <w:pPr>
        <w:pStyle w:val="34"/>
        <w:keepNext w:val="0"/>
        <w:keepLines w:val="0"/>
        <w:pageBreakBefore w:val="0"/>
        <w:tabs>
          <w:tab w:val="center" w:pos="4153"/>
          <w:tab w:val="left" w:pos="7275"/>
        </w:tabs>
        <w:kinsoku/>
        <w:wordWrap/>
        <w:overflowPunct/>
        <w:topLinePunct w:val="0"/>
        <w:autoSpaceDN/>
        <w:bidi w:val="0"/>
        <w:adjustRightInd/>
        <w:spacing w:line="600" w:lineRule="exact"/>
        <w:ind w:firstLine="64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（三）基本支出：</w:t>
      </w:r>
      <w:r>
        <w:rPr>
          <w:rFonts w:hint="eastAsia" w:ascii="Times New Roman" w:hAnsi="Times New Roman" w:eastAsia="方正仿宋_GBK" w:cs="Times New Roman"/>
          <w:kern w:val="2"/>
          <w:sz w:val="32"/>
          <w:szCs w:val="32"/>
          <w:lang w:val="en-US" w:eastAsia="zh-CN" w:bidi="ar-SA"/>
        </w:rPr>
        <w:t>指为保障机构正常运转、完成日常工作任务而发生的人员经费和公用经费。</w:t>
      </w:r>
    </w:p>
    <w:p>
      <w:pPr>
        <w:pStyle w:val="34"/>
        <w:keepNext w:val="0"/>
        <w:keepLines w:val="0"/>
        <w:pageBreakBefore w:val="0"/>
        <w:tabs>
          <w:tab w:val="center" w:pos="4153"/>
          <w:tab w:val="left" w:pos="7275"/>
        </w:tabs>
        <w:kinsoku/>
        <w:wordWrap/>
        <w:overflowPunct/>
        <w:topLinePunct w:val="0"/>
        <w:autoSpaceDN/>
        <w:bidi w:val="0"/>
        <w:adjustRightInd/>
        <w:spacing w:line="600" w:lineRule="exact"/>
        <w:ind w:firstLine="64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（四）项目支出：</w:t>
      </w:r>
      <w:r>
        <w:rPr>
          <w:rFonts w:hint="eastAsia" w:ascii="Times New Roman" w:hAnsi="Times New Roman" w:eastAsia="方正仿宋_GBK" w:cs="Times New Roman"/>
          <w:kern w:val="2"/>
          <w:sz w:val="32"/>
          <w:szCs w:val="32"/>
          <w:lang w:val="en-US" w:eastAsia="zh-CN" w:bidi="ar-SA"/>
        </w:rPr>
        <w:t>指在基本支出之外为完成特定行政任务和事业发展目标所发生的支出。</w:t>
      </w:r>
    </w:p>
    <w:p>
      <w:pPr>
        <w:keepNext w:val="0"/>
        <w:keepLines w:val="0"/>
        <w:pageBreakBefore w:val="0"/>
        <w:kinsoku/>
        <w:wordWrap/>
        <w:overflowPunct/>
        <w:topLinePunct w:val="0"/>
        <w:autoSpaceDN/>
        <w:bidi w:val="0"/>
        <w:adjustRightInd/>
        <w:spacing w:line="600" w:lineRule="exact"/>
        <w:ind w:firstLine="640" w:firstLineChars="200"/>
        <w:rPr>
          <w:rFonts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（五）“三公”经费：</w:t>
      </w:r>
      <w:r>
        <w:rPr>
          <w:rFonts w:hint="eastAsia" w:ascii="Times New Roman" w:hAnsi="Times New Roman" w:eastAsia="方正仿宋_GBK" w:cs="Times New Roman"/>
          <w:kern w:val="2"/>
          <w:sz w:val="32"/>
          <w:szCs w:val="32"/>
          <w:lang w:val="en-US" w:eastAsia="zh-CN" w:bidi="ar-SA"/>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w:t>
      </w:r>
      <w:bookmarkStart w:id="0" w:name="_GoBack"/>
      <w:bookmarkEnd w:id="0"/>
      <w:r>
        <w:rPr>
          <w:rFonts w:hint="eastAsia" w:ascii="Times New Roman" w:hAnsi="Times New Roman" w:eastAsia="方正仿宋_GBK" w:cs="Times New Roman"/>
          <w:kern w:val="2"/>
          <w:sz w:val="32"/>
          <w:szCs w:val="32"/>
          <w:lang w:val="en-US" w:eastAsia="zh-CN" w:bidi="ar-SA"/>
        </w:rPr>
        <w:t>规定保留的公务用车燃料费、维修费、过路过桥费、保险费、安全奖励费用等支出；公务接待费反映单位按规定开支的各类公务接待（含外宾接待）支出。</w:t>
      </w:r>
    </w:p>
    <w:p>
      <w:pPr>
        <w:keepNext w:val="0"/>
        <w:keepLines w:val="0"/>
        <w:pageBreakBefore w:val="0"/>
        <w:kinsoku/>
        <w:wordWrap/>
        <w:overflowPunct/>
        <w:topLinePunct w:val="0"/>
        <w:autoSpaceDN/>
        <w:bidi w:val="0"/>
        <w:adjustRightInd/>
        <w:spacing w:line="600" w:lineRule="exact"/>
        <w:ind w:firstLine="640" w:firstLineChars="200"/>
        <w:rPr>
          <w:rFonts w:ascii="Times New Roman" w:hAnsi="Times New Roman" w:eastAsia="方正仿宋_GBK" w:cs="Times New Roman"/>
          <w:kern w:val="2"/>
          <w:sz w:val="32"/>
          <w:szCs w:val="32"/>
          <w:lang w:val="en-US" w:eastAsia="zh-CN" w:bidi="ar-SA"/>
        </w:rPr>
      </w:pPr>
    </w:p>
    <w:p>
      <w:pPr>
        <w:keepNext w:val="0"/>
        <w:keepLines w:val="0"/>
        <w:pageBreakBefore w:val="0"/>
        <w:kinsoku/>
        <w:wordWrap/>
        <w:overflowPunct/>
        <w:topLinePunct w:val="0"/>
        <w:autoSpaceDN/>
        <w:bidi w:val="0"/>
        <w:adjustRightInd/>
        <w:spacing w:line="600" w:lineRule="exact"/>
        <w:ind w:firstLine="640" w:firstLineChars="200"/>
        <w:jc w:val="right"/>
        <w:rPr>
          <w:rFonts w:eastAsia="方正仿宋_GBK"/>
          <w:sz w:val="32"/>
          <w:szCs w:val="32"/>
        </w:rPr>
      </w:pPr>
      <w:r>
        <w:rPr>
          <w:rFonts w:eastAsia="方正仿宋_GBK"/>
          <w:sz w:val="32"/>
          <w:szCs w:val="32"/>
        </w:rPr>
        <w:t>部门预算公开联系人：</w:t>
      </w:r>
      <w:r>
        <w:rPr>
          <w:rFonts w:hint="eastAsia" w:eastAsia="方正仿宋_GBK"/>
          <w:sz w:val="32"/>
          <w:szCs w:val="32"/>
          <w:lang w:eastAsia="zh-CN"/>
        </w:rPr>
        <w:t>黄兵</w:t>
      </w:r>
      <w:r>
        <w:rPr>
          <w:rFonts w:eastAsia="方正仿宋_GBK"/>
          <w:sz w:val="32"/>
          <w:szCs w:val="32"/>
        </w:rPr>
        <w:t xml:space="preserve"> </w:t>
      </w:r>
      <w:r>
        <w:rPr>
          <w:rFonts w:hint="eastAsia" w:eastAsia="方正仿宋_GBK"/>
          <w:sz w:val="32"/>
          <w:szCs w:val="32"/>
          <w:lang w:val="en-US" w:eastAsia="zh-CN"/>
        </w:rPr>
        <w:t xml:space="preserve">                </w:t>
      </w:r>
      <w:r>
        <w:rPr>
          <w:rFonts w:eastAsia="方正仿宋_GBK"/>
          <w:sz w:val="32"/>
          <w:szCs w:val="32"/>
        </w:rPr>
        <w:t xml:space="preserve">     </w:t>
      </w:r>
    </w:p>
    <w:p>
      <w:pPr>
        <w:keepNext w:val="0"/>
        <w:keepLines w:val="0"/>
        <w:pageBreakBefore w:val="0"/>
        <w:kinsoku/>
        <w:wordWrap/>
        <w:overflowPunct/>
        <w:topLinePunct w:val="0"/>
        <w:autoSpaceDN/>
        <w:bidi w:val="0"/>
        <w:adjustRightInd/>
        <w:spacing w:line="600" w:lineRule="exact"/>
        <w:ind w:firstLine="640" w:firstLineChars="200"/>
        <w:jc w:val="right"/>
        <w:rPr>
          <w:rFonts w:hint="default" w:eastAsia="方正仿宋_GBK"/>
          <w:sz w:val="32"/>
          <w:szCs w:val="32"/>
          <w:lang w:val="en-US" w:eastAsia="zh-CN"/>
        </w:rPr>
      </w:pPr>
      <w:r>
        <w:rPr>
          <w:rFonts w:eastAsia="方正仿宋_GBK"/>
          <w:sz w:val="32"/>
          <w:szCs w:val="32"/>
        </w:rPr>
        <w:t>联系方式：</w:t>
      </w:r>
      <w:r>
        <w:rPr>
          <w:rFonts w:hint="eastAsia" w:eastAsia="方正仿宋_GBK"/>
          <w:sz w:val="32"/>
          <w:szCs w:val="32"/>
          <w:lang w:val="en-US" w:eastAsia="zh-CN"/>
        </w:rPr>
        <w:t xml:space="preserve"> 44775513</w:t>
      </w:r>
    </w:p>
    <w:p>
      <w:pPr>
        <w:keepNext w:val="0"/>
        <w:keepLines w:val="0"/>
        <w:pageBreakBefore w:val="0"/>
        <w:widowControl/>
        <w:kinsoku/>
        <w:wordWrap/>
        <w:overflowPunct/>
        <w:topLinePunct w:val="0"/>
        <w:autoSpaceDN/>
        <w:bidi w:val="0"/>
        <w:adjustRightInd/>
        <w:spacing w:line="600" w:lineRule="exact"/>
        <w:jc w:val="left"/>
        <w:rPr>
          <w:rFonts w:eastAsia="方正黑体_GBK"/>
          <w:sz w:val="32"/>
          <w:szCs w:val="32"/>
        </w:rPr>
        <w:sectPr>
          <w:footerReference r:id="rId3" w:type="default"/>
          <w:pgSz w:w="11906" w:h="16838"/>
          <w:pgMar w:top="1814" w:right="1701" w:bottom="1814" w:left="1701" w:header="851" w:footer="992" w:gutter="0"/>
          <w:cols w:space="720" w:num="1"/>
          <w:docGrid w:linePitch="312" w:charSpace="0"/>
        </w:sectPr>
      </w:pPr>
    </w:p>
    <w:p>
      <w:pPr>
        <w:pStyle w:val="5"/>
        <w:keepNext w:val="0"/>
        <w:keepLines w:val="0"/>
        <w:pageBreakBefore w:val="0"/>
        <w:kinsoku/>
        <w:wordWrap/>
        <w:overflowPunct/>
        <w:topLinePunct w:val="0"/>
        <w:autoSpaceDN/>
        <w:bidi w:val="0"/>
        <w:adjustRightInd/>
        <w:spacing w:line="600" w:lineRule="exact"/>
        <w:rPr>
          <w:rFonts w:eastAsia="方正黑体_GBK"/>
          <w:sz w:val="32"/>
          <w:szCs w:val="32"/>
        </w:rPr>
      </w:pPr>
      <w:r>
        <w:rPr>
          <w:rFonts w:eastAsia="方正黑体_GBK"/>
          <w:sz w:val="32"/>
          <w:szCs w:val="32"/>
        </w:rPr>
        <w:t>附件1</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63"/>
        <w:gridCol w:w="1115"/>
        <w:gridCol w:w="2511"/>
        <w:gridCol w:w="924"/>
        <w:gridCol w:w="2002"/>
        <w:gridCol w:w="2298"/>
        <w:gridCol w:w="2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000" w:type="pct"/>
            <w:gridSpan w:val="7"/>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小标宋_GBK" w:hAnsi="方正小标宋_GBK" w:eastAsia="方正小标宋_GBK" w:cs="方正小标宋_GBK"/>
                <w:i w:val="0"/>
                <w:iCs w:val="0"/>
                <w:color w:val="000000"/>
                <w:sz w:val="38"/>
                <w:szCs w:val="38"/>
                <w:u w:val="none"/>
              </w:rPr>
            </w:pPr>
            <w:r>
              <w:rPr>
                <w:rFonts w:eastAsia="方正小标宋_GBK"/>
                <w:kern w:val="0"/>
                <w:sz w:val="36"/>
                <w:szCs w:val="36"/>
              </w:rPr>
              <w:t>重庆市潼南区</w:t>
            </w:r>
            <w:r>
              <w:rPr>
                <w:rFonts w:hint="default" w:ascii="方正小标宋_GBK" w:hAnsi="方正小标宋_GBK" w:eastAsia="方正小标宋_GBK" w:cs="方正小标宋_GBK"/>
                <w:i w:val="0"/>
                <w:iCs w:val="0"/>
                <w:color w:val="000000"/>
                <w:kern w:val="0"/>
                <w:sz w:val="36"/>
                <w:szCs w:val="36"/>
                <w:u w:val="none"/>
                <w:lang w:val="en-US" w:eastAsia="zh-CN" w:bidi="ar"/>
              </w:rPr>
              <w:t>五桂镇</w:t>
            </w:r>
            <w:r>
              <w:rPr>
                <w:rFonts w:hint="eastAsia" w:ascii="方正小标宋_GBK" w:hAnsi="方正小标宋_GBK" w:eastAsia="方正小标宋_GBK" w:cs="方正小标宋_GBK"/>
                <w:i w:val="0"/>
                <w:iCs w:val="0"/>
                <w:color w:val="000000"/>
                <w:kern w:val="0"/>
                <w:sz w:val="36"/>
                <w:szCs w:val="36"/>
                <w:u w:val="none"/>
                <w:lang w:val="en-US" w:eastAsia="zh-CN" w:bidi="ar"/>
              </w:rPr>
              <w:t>农业服务中心</w:t>
            </w:r>
            <w:r>
              <w:rPr>
                <w:rFonts w:eastAsia="方正小标宋_GBK"/>
                <w:kern w:val="0"/>
                <w:sz w:val="36"/>
                <w:szCs w:val="36"/>
              </w:rPr>
              <w:t>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000" w:type="pct"/>
            <w:gridSpan w:val="7"/>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ascii="方正楷体_GBK" w:hAnsi="方正楷体_GBK" w:eastAsia="方正楷体_GBK" w:cs="方正楷体_GBK"/>
                <w:i w:val="0"/>
                <w:iCs w:val="0"/>
                <w:color w:val="000000"/>
                <w:sz w:val="22"/>
                <w:szCs w:val="22"/>
                <w:u w:val="none"/>
              </w:rPr>
            </w:pPr>
            <w:r>
              <w:rPr>
                <w:rFonts w:hint="default" w:ascii="方正楷体_GBK" w:hAnsi="方正楷体_GBK" w:eastAsia="方正楷体_GBK" w:cs="方正楷体_GBK"/>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2" w:hRule="atLeast"/>
        </w:trPr>
        <w:tc>
          <w:tcPr>
            <w:tcW w:w="13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收入</w:t>
            </w:r>
          </w:p>
        </w:tc>
        <w:tc>
          <w:tcPr>
            <w:tcW w:w="363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2" w:hRule="atLeast"/>
        </w:trPr>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项目</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预算数</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项目</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合计</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一般公共预算</w:t>
            </w: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政府性基金预算</w:t>
            </w: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国有资本经营预算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一、本年收入</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405.62</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一、本年支出</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405.62</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405.62</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b/>
                <w:bCs/>
                <w:i w:val="0"/>
                <w:iCs w:val="0"/>
                <w:color w:val="000000"/>
                <w:sz w:val="24"/>
                <w:szCs w:val="24"/>
                <w:u w:val="none"/>
              </w:rPr>
            </w:pPr>
          </w:p>
        </w:tc>
        <w:tc>
          <w:tcPr>
            <w:tcW w:w="9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一般公共预算资金</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405.62</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社会保障和就业支出</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23.12</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23.12</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c>
          <w:tcPr>
            <w:tcW w:w="9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政府性基金预算资金</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卫生健康支出</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9.29</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9.29</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c>
          <w:tcPr>
            <w:tcW w:w="9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国有资本经营预算资金</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农林水支出</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365.64</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365.64</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c>
          <w:tcPr>
            <w:tcW w:w="9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rPr>
                <w:rFonts w:hint="default" w:ascii="方正仿宋_GBK" w:hAnsi="方正仿宋_GBK" w:eastAsia="方正仿宋_GBK" w:cs="方正仿宋_GBK"/>
                <w:i w:val="0"/>
                <w:iCs w:val="0"/>
                <w:color w:val="000000"/>
                <w:sz w:val="24"/>
                <w:szCs w:val="24"/>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住房保障支出</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7.57</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7.57</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c>
          <w:tcPr>
            <w:tcW w:w="9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二、上年结转</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二、结转下年</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一般公共预算拨款</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政府性基金预算拨款</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国有资本经营收入</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收入合计</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405.62</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支出合计</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405.62</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405.62</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b/>
                <w:bCs/>
                <w:i w:val="0"/>
                <w:iCs w:val="0"/>
                <w:color w:val="000000"/>
                <w:sz w:val="24"/>
                <w:szCs w:val="24"/>
                <w:u w:val="none"/>
              </w:rPr>
            </w:pPr>
          </w:p>
        </w:tc>
        <w:tc>
          <w:tcPr>
            <w:tcW w:w="9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b/>
                <w:bCs/>
                <w:i w:val="0"/>
                <w:iCs w:val="0"/>
                <w:color w:val="000000"/>
                <w:sz w:val="24"/>
                <w:szCs w:val="24"/>
                <w:u w:val="none"/>
              </w:rPr>
            </w:pPr>
          </w:p>
        </w:tc>
      </w:tr>
    </w:tbl>
    <w:p>
      <w:pPr>
        <w:keepNext w:val="0"/>
        <w:keepLines w:val="0"/>
        <w:pageBreakBefore w:val="0"/>
        <w:widowControl/>
        <w:kinsoku/>
        <w:wordWrap/>
        <w:overflowPunct/>
        <w:topLinePunct w:val="0"/>
        <w:autoSpaceDN/>
        <w:bidi w:val="0"/>
        <w:adjustRightInd/>
        <w:spacing w:line="600" w:lineRule="exact"/>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5"/>
        <w:keepNext w:val="0"/>
        <w:keepLines w:val="0"/>
        <w:pageBreakBefore w:val="0"/>
        <w:kinsoku/>
        <w:wordWrap/>
        <w:overflowPunct/>
        <w:topLinePunct w:val="0"/>
        <w:autoSpaceDN/>
        <w:bidi w:val="0"/>
        <w:adjustRightInd/>
        <w:spacing w:line="600" w:lineRule="exact"/>
        <w:rPr>
          <w:rFonts w:eastAsia="方正黑体_GBK"/>
          <w:sz w:val="32"/>
          <w:szCs w:val="32"/>
        </w:rPr>
      </w:pPr>
      <w:r>
        <w:rPr>
          <w:rFonts w:eastAsia="方正黑体_GBK"/>
          <w:sz w:val="32"/>
          <w:szCs w:val="32"/>
        </w:rPr>
        <w:t>附件2</w:t>
      </w:r>
    </w:p>
    <w:tbl>
      <w:tblPr>
        <w:tblStyle w:val="8"/>
        <w:tblW w:w="5000" w:type="pct"/>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41"/>
        <w:gridCol w:w="6446"/>
        <w:gridCol w:w="2013"/>
        <w:gridCol w:w="2082"/>
        <w:gridCol w:w="21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5000" w:type="pct"/>
            <w:gridSpan w:val="5"/>
            <w:vMerge w:val="restar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小标宋_GBK" w:hAnsi="方正小标宋_GBK" w:eastAsia="方正小标宋_GBK" w:cs="方正小标宋_GBK"/>
                <w:i w:val="0"/>
                <w:iCs w:val="0"/>
                <w:color w:val="000000"/>
                <w:sz w:val="34"/>
                <w:szCs w:val="34"/>
                <w:u w:val="none"/>
              </w:rPr>
            </w:pPr>
            <w:r>
              <w:rPr>
                <w:rFonts w:eastAsia="方正小标宋_GBK"/>
                <w:kern w:val="0"/>
                <w:sz w:val="36"/>
                <w:szCs w:val="36"/>
              </w:rPr>
              <w:t>重庆市潼南区</w:t>
            </w:r>
            <w:r>
              <w:rPr>
                <w:rFonts w:hint="default" w:ascii="方正小标宋_GBK" w:hAnsi="方正小标宋_GBK" w:eastAsia="方正小标宋_GBK" w:cs="方正小标宋_GBK"/>
                <w:i w:val="0"/>
                <w:iCs w:val="0"/>
                <w:color w:val="000000"/>
                <w:kern w:val="0"/>
                <w:sz w:val="36"/>
                <w:szCs w:val="36"/>
                <w:u w:val="none"/>
                <w:lang w:val="en-US" w:eastAsia="zh-CN" w:bidi="ar"/>
              </w:rPr>
              <w:t>五桂镇</w:t>
            </w:r>
            <w:r>
              <w:rPr>
                <w:rFonts w:hint="eastAsia" w:ascii="方正小标宋_GBK" w:hAnsi="方正小标宋_GBK" w:eastAsia="方正小标宋_GBK" w:cs="方正小标宋_GBK"/>
                <w:i w:val="0"/>
                <w:iCs w:val="0"/>
                <w:color w:val="000000"/>
                <w:kern w:val="0"/>
                <w:sz w:val="36"/>
                <w:szCs w:val="36"/>
                <w:u w:val="none"/>
                <w:lang w:val="en-US" w:eastAsia="zh-CN" w:bidi="ar"/>
              </w:rPr>
              <w:t>农业服务中心</w:t>
            </w:r>
            <w:r>
              <w:rPr>
                <w:rFonts w:eastAsia="方正小标宋_GBK"/>
                <w:kern w:val="0"/>
                <w:sz w:val="36"/>
                <w:szCs w:val="36"/>
              </w:rPr>
              <w:t>一般公共预算财政拨款支出预算表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nil"/>
              <w:left w:val="nil"/>
              <w:bottom w:val="nil"/>
              <w:right w:val="nil"/>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default" w:ascii="方正小标宋_GBK" w:hAnsi="方正小标宋_GBK" w:eastAsia="方正小标宋_GBK" w:cs="方正小标宋_GBK"/>
                <w:i w:val="0"/>
                <w:iCs w:val="0"/>
                <w:color w:val="000000"/>
                <w:sz w:val="34"/>
                <w:szCs w:val="3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5000" w:type="pct"/>
            <w:gridSpan w:val="5"/>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ascii="方正楷体_GBK" w:hAnsi="方正楷体_GBK" w:eastAsia="方正楷体_GBK" w:cs="方正楷体_GBK"/>
                <w:i w:val="0"/>
                <w:iCs w:val="0"/>
                <w:color w:val="000000"/>
                <w:sz w:val="20"/>
                <w:szCs w:val="20"/>
                <w:u w:val="none"/>
              </w:rPr>
            </w:pPr>
            <w:r>
              <w:rPr>
                <w:rFonts w:hint="default" w:ascii="方正楷体_GBK" w:hAnsi="方正楷体_GBK" w:eastAsia="方正楷体_GBK" w:cs="方正楷体_GBK"/>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2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黑体_GBK" w:hAnsi="方正黑体_GBK" w:eastAsia="方正黑体_GBK" w:cs="方正黑体_GBK"/>
                <w:i w:val="0"/>
                <w:iCs w:val="0"/>
                <w:color w:val="000000"/>
                <w:sz w:val="21"/>
                <w:szCs w:val="21"/>
                <w:u w:val="none"/>
              </w:rPr>
            </w:pPr>
            <w:r>
              <w:rPr>
                <w:rFonts w:hint="default" w:ascii="方正黑体_GBK" w:hAnsi="方正黑体_GBK" w:eastAsia="方正黑体_GBK" w:cs="方正黑体_GBK"/>
                <w:i w:val="0"/>
                <w:iCs w:val="0"/>
                <w:color w:val="000000"/>
                <w:kern w:val="0"/>
                <w:sz w:val="21"/>
                <w:szCs w:val="21"/>
                <w:u w:val="none"/>
                <w:lang w:val="en-US" w:eastAsia="zh-CN" w:bidi="ar"/>
              </w:rPr>
              <w:t>功能分类科目</w:t>
            </w:r>
          </w:p>
        </w:tc>
        <w:tc>
          <w:tcPr>
            <w:tcW w:w="219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1"/>
                <w:szCs w:val="21"/>
                <w:u w:val="none"/>
              </w:rPr>
            </w:pPr>
            <w:r>
              <w:rPr>
                <w:rFonts w:hint="default" w:ascii="方正黑体_GBK" w:hAnsi="方正黑体_GBK" w:eastAsia="方正黑体_GBK" w:cs="方正黑体_GBK"/>
                <w:i w:val="0"/>
                <w:iCs w:val="0"/>
                <w:color w:val="000000"/>
                <w:kern w:val="0"/>
                <w:sz w:val="21"/>
                <w:szCs w:val="21"/>
                <w:u w:val="none"/>
                <w:lang w:val="en-US" w:eastAsia="zh-CN" w:bidi="ar"/>
              </w:rPr>
              <w:t>2024年预算数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1"/>
                <w:szCs w:val="21"/>
                <w:u w:val="none"/>
              </w:rPr>
            </w:pPr>
            <w:r>
              <w:rPr>
                <w:rFonts w:hint="default" w:ascii="方正黑体_GBK" w:hAnsi="方正黑体_GBK" w:eastAsia="方正黑体_GBK" w:cs="方正黑体_GBK"/>
                <w:i w:val="0"/>
                <w:iCs w:val="0"/>
                <w:color w:val="000000"/>
                <w:kern w:val="0"/>
                <w:sz w:val="21"/>
                <w:szCs w:val="21"/>
                <w:u w:val="none"/>
                <w:lang w:val="en-US" w:eastAsia="zh-CN" w:bidi="ar"/>
              </w:rPr>
              <w:t xml:space="preserve"> 科目编码</w:t>
            </w:r>
          </w:p>
        </w:tc>
        <w:tc>
          <w:tcPr>
            <w:tcW w:w="2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1"/>
                <w:szCs w:val="21"/>
                <w:u w:val="none"/>
              </w:rPr>
            </w:pPr>
            <w:r>
              <w:rPr>
                <w:rFonts w:hint="default" w:ascii="方正黑体_GBK" w:hAnsi="方正黑体_GBK" w:eastAsia="方正黑体_GBK" w:cs="方正黑体_GBK"/>
                <w:i w:val="0"/>
                <w:iCs w:val="0"/>
                <w:color w:val="000000"/>
                <w:kern w:val="0"/>
                <w:sz w:val="21"/>
                <w:szCs w:val="21"/>
                <w:u w:val="none"/>
                <w:lang w:val="en-US" w:eastAsia="zh-CN" w:bidi="ar"/>
              </w:rPr>
              <w:t>科目名称</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1"/>
                <w:szCs w:val="21"/>
                <w:u w:val="none"/>
              </w:rPr>
            </w:pPr>
            <w:r>
              <w:rPr>
                <w:rFonts w:hint="default" w:ascii="方正黑体_GBK" w:hAnsi="方正黑体_GBK" w:eastAsia="方正黑体_GBK" w:cs="方正黑体_GBK"/>
                <w:i w:val="0"/>
                <w:iCs w:val="0"/>
                <w:color w:val="000000"/>
                <w:kern w:val="0"/>
                <w:sz w:val="21"/>
                <w:szCs w:val="21"/>
                <w:u w:val="none"/>
                <w:lang w:val="en-US" w:eastAsia="zh-CN" w:bidi="ar"/>
              </w:rPr>
              <w:t>总计</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1"/>
                <w:szCs w:val="21"/>
                <w:u w:val="none"/>
              </w:rPr>
            </w:pPr>
            <w:r>
              <w:rPr>
                <w:rFonts w:hint="default" w:ascii="方正黑体_GBK" w:hAnsi="方正黑体_GBK" w:eastAsia="方正黑体_GBK" w:cs="方正黑体_GBK"/>
                <w:i w:val="0"/>
                <w:iCs w:val="0"/>
                <w:color w:val="000000"/>
                <w:kern w:val="0"/>
                <w:sz w:val="21"/>
                <w:szCs w:val="21"/>
                <w:u w:val="none"/>
                <w:lang w:val="en-US" w:eastAsia="zh-CN" w:bidi="ar"/>
              </w:rPr>
              <w:t xml:space="preserve">基本支出 </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1"/>
                <w:szCs w:val="21"/>
                <w:u w:val="none"/>
              </w:rPr>
            </w:pPr>
            <w:r>
              <w:rPr>
                <w:rFonts w:hint="default" w:ascii="方正黑体_GBK" w:hAnsi="方正黑体_GBK" w:eastAsia="方正黑体_GBK" w:cs="方正黑体_GBK"/>
                <w:i w:val="0"/>
                <w:iCs w:val="0"/>
                <w:color w:val="000000"/>
                <w:kern w:val="0"/>
                <w:sz w:val="21"/>
                <w:szCs w:val="21"/>
                <w:u w:val="none"/>
                <w:lang w:val="en-US" w:eastAsia="zh-CN" w:bidi="ar"/>
              </w:rPr>
              <w:t xml:space="preserve">项目支出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28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仿宋_GBK" w:hAnsi="方正仿宋_GBK" w:eastAsia="方正仿宋_GBK" w:cs="方正仿宋_GBK"/>
                <w:b/>
                <w:bCs/>
                <w:i w:val="0"/>
                <w:iCs w:val="0"/>
                <w:color w:val="000000"/>
                <w:sz w:val="20"/>
                <w:szCs w:val="20"/>
                <w:u w:val="none"/>
              </w:rPr>
            </w:pPr>
            <w:r>
              <w:rPr>
                <w:rFonts w:hint="default" w:ascii="方正仿宋_GBK" w:hAnsi="方正仿宋_GBK" w:eastAsia="方正仿宋_GBK" w:cs="方正仿宋_GBK"/>
                <w:b/>
                <w:bCs/>
                <w:i w:val="0"/>
                <w:iCs w:val="0"/>
                <w:color w:val="000000"/>
                <w:kern w:val="0"/>
                <w:sz w:val="20"/>
                <w:szCs w:val="20"/>
                <w:u w:val="none"/>
                <w:lang w:val="en-US" w:eastAsia="zh-CN" w:bidi="ar"/>
              </w:rPr>
              <w:t>合计</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405.62</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173.48</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208</w:t>
            </w:r>
          </w:p>
        </w:tc>
        <w:tc>
          <w:tcPr>
            <w:tcW w:w="2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社会保障和就业支出</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23.12</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23.12</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20805</w:t>
            </w:r>
          </w:p>
        </w:tc>
        <w:tc>
          <w:tcPr>
            <w:tcW w:w="2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行政事业单位养老支出</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23.12</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23.12</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2080505</w:t>
            </w:r>
          </w:p>
        </w:tc>
        <w:tc>
          <w:tcPr>
            <w:tcW w:w="2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机关事业单位基本养老保险缴费支出</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10.09</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10.09</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2080506</w:t>
            </w:r>
          </w:p>
        </w:tc>
        <w:tc>
          <w:tcPr>
            <w:tcW w:w="2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机关事业单位职业年金缴费支出</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5.05</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5.05</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2080599</w:t>
            </w:r>
          </w:p>
        </w:tc>
        <w:tc>
          <w:tcPr>
            <w:tcW w:w="2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其他行政事业单位养老支出</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7.98</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7.98</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210</w:t>
            </w:r>
          </w:p>
        </w:tc>
        <w:tc>
          <w:tcPr>
            <w:tcW w:w="2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卫生健康支出</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9.29</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9.29</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21011</w:t>
            </w:r>
          </w:p>
        </w:tc>
        <w:tc>
          <w:tcPr>
            <w:tcW w:w="2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行政事业单位医疗</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9.29</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9.29</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2101102</w:t>
            </w:r>
          </w:p>
        </w:tc>
        <w:tc>
          <w:tcPr>
            <w:tcW w:w="2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事业单位医疗</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7.57</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7.57</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2101199</w:t>
            </w:r>
          </w:p>
        </w:tc>
        <w:tc>
          <w:tcPr>
            <w:tcW w:w="2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其他行政事业单位医疗支出</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1.72</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1.72</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213</w:t>
            </w:r>
          </w:p>
        </w:tc>
        <w:tc>
          <w:tcPr>
            <w:tcW w:w="2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农林水支出</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365.64</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133.50</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21301</w:t>
            </w:r>
          </w:p>
        </w:tc>
        <w:tc>
          <w:tcPr>
            <w:tcW w:w="2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农业农村</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133.50</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133.50</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2130104</w:t>
            </w:r>
          </w:p>
        </w:tc>
        <w:tc>
          <w:tcPr>
            <w:tcW w:w="2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事业运行</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133.50</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133.50</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21307</w:t>
            </w:r>
          </w:p>
        </w:tc>
        <w:tc>
          <w:tcPr>
            <w:tcW w:w="2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农村综合改革</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232.14</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2130705</w:t>
            </w:r>
          </w:p>
        </w:tc>
        <w:tc>
          <w:tcPr>
            <w:tcW w:w="2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对村民委员会和村党支部的补助</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202.64</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2130706</w:t>
            </w:r>
          </w:p>
        </w:tc>
        <w:tc>
          <w:tcPr>
            <w:tcW w:w="2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对村集体经济组织的补助</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29.50</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221</w:t>
            </w:r>
          </w:p>
        </w:tc>
        <w:tc>
          <w:tcPr>
            <w:tcW w:w="2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住房保障支出</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7.57</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7.57</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22102</w:t>
            </w:r>
          </w:p>
        </w:tc>
        <w:tc>
          <w:tcPr>
            <w:tcW w:w="2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住房改革支出</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7.57</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7.57</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2210201</w:t>
            </w:r>
          </w:p>
        </w:tc>
        <w:tc>
          <w:tcPr>
            <w:tcW w:w="2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住房公积金</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7.57</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7.57</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bl>
    <w:p>
      <w:pPr>
        <w:keepNext w:val="0"/>
        <w:keepLines w:val="0"/>
        <w:pageBreakBefore w:val="0"/>
        <w:widowControl/>
        <w:kinsoku/>
        <w:wordWrap/>
        <w:overflowPunct/>
        <w:topLinePunct w:val="0"/>
        <w:autoSpaceDN/>
        <w:bidi w:val="0"/>
        <w:adjustRightInd/>
        <w:spacing w:line="600" w:lineRule="exact"/>
        <w:jc w:val="left"/>
        <w:rPr>
          <w:rFonts w:hint="eastAsia" w:eastAsia="方正黑体_GBK"/>
          <w:sz w:val="32"/>
          <w:szCs w:val="32"/>
          <w:lang w:val="en-US" w:eastAsia="zh-CN"/>
        </w:rPr>
        <w:sectPr>
          <w:pgSz w:w="16838" w:h="11906" w:orient="landscape"/>
          <w:pgMar w:top="1418" w:right="1418" w:bottom="1418" w:left="1418" w:header="851" w:footer="992" w:gutter="0"/>
          <w:cols w:space="720" w:num="1"/>
          <w:docGrid w:linePitch="312" w:charSpace="0"/>
        </w:sectPr>
      </w:pPr>
    </w:p>
    <w:p>
      <w:pPr>
        <w:pStyle w:val="5"/>
        <w:keepNext w:val="0"/>
        <w:keepLines w:val="0"/>
        <w:pageBreakBefore w:val="0"/>
        <w:kinsoku/>
        <w:wordWrap/>
        <w:overflowPunct/>
        <w:topLinePunct w:val="0"/>
        <w:autoSpaceDN/>
        <w:bidi w:val="0"/>
        <w:adjustRightInd/>
        <w:spacing w:line="600" w:lineRule="exact"/>
        <w:rPr>
          <w:rFonts w:eastAsia="方正黑体_GBK"/>
          <w:sz w:val="32"/>
          <w:szCs w:val="32"/>
        </w:rPr>
      </w:pPr>
      <w:r>
        <w:rPr>
          <w:rFonts w:eastAsia="方正黑体_GBK"/>
          <w:sz w:val="32"/>
          <w:szCs w:val="32"/>
        </w:rPr>
        <w:t>附件3</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68"/>
        <w:gridCol w:w="4971"/>
        <w:gridCol w:w="1482"/>
        <w:gridCol w:w="2275"/>
        <w:gridCol w:w="3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5"/>
            <w:vMerge w:val="restar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小标宋_GBK" w:hAnsi="方正小标宋_GBK" w:eastAsia="方正小标宋_GBK" w:cs="方正小标宋_GBK"/>
                <w:i w:val="0"/>
                <w:iCs w:val="0"/>
                <w:color w:val="000000"/>
                <w:sz w:val="36"/>
                <w:szCs w:val="36"/>
                <w:u w:val="none"/>
              </w:rPr>
            </w:pPr>
            <w:r>
              <w:rPr>
                <w:rFonts w:hint="default" w:ascii="方正小标宋_GBK" w:hAnsi="方正小标宋_GBK" w:eastAsia="方正小标宋_GBK" w:cs="方正小标宋_GBK"/>
                <w:i w:val="0"/>
                <w:iCs w:val="0"/>
                <w:color w:val="000000"/>
                <w:kern w:val="0"/>
                <w:sz w:val="36"/>
                <w:szCs w:val="36"/>
                <w:u w:val="none"/>
                <w:lang w:val="en-US" w:eastAsia="zh-CN" w:bidi="ar"/>
              </w:rPr>
              <w:t>重庆市潼南区五桂镇</w:t>
            </w:r>
            <w:r>
              <w:rPr>
                <w:rFonts w:hint="eastAsia" w:ascii="方正小标宋_GBK" w:hAnsi="方正小标宋_GBK" w:eastAsia="方正小标宋_GBK" w:cs="方正小标宋_GBK"/>
                <w:i w:val="0"/>
                <w:iCs w:val="0"/>
                <w:color w:val="000000"/>
                <w:kern w:val="0"/>
                <w:sz w:val="36"/>
                <w:szCs w:val="36"/>
                <w:u w:val="none"/>
                <w:lang w:val="en-US" w:eastAsia="zh-CN" w:bidi="ar"/>
              </w:rPr>
              <w:t>农业服务中心</w:t>
            </w:r>
            <w:r>
              <w:rPr>
                <w:rFonts w:hint="default" w:ascii="方正小标宋_GBK" w:hAnsi="方正小标宋_GBK" w:eastAsia="方正小标宋_GBK" w:cs="方正小标宋_GBK"/>
                <w:i w:val="0"/>
                <w:iCs w:val="0"/>
                <w:color w:val="000000"/>
                <w:kern w:val="0"/>
                <w:sz w:val="36"/>
                <w:szCs w:val="36"/>
                <w:u w:val="none"/>
                <w:lang w:val="en-US" w:eastAsia="zh-CN" w:bidi="ar"/>
              </w:rPr>
              <w:t>一般公共预算财政拨款基本支出预算表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00" w:type="pct"/>
            <w:gridSpan w:val="5"/>
            <w:vMerge w:val="continue"/>
            <w:tcBorders>
              <w:top w:val="nil"/>
              <w:left w:val="nil"/>
              <w:bottom w:val="nil"/>
              <w:right w:val="nil"/>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center"/>
              <w:rPr>
                <w:rFonts w:hint="default" w:ascii="方正小标宋_GBK" w:hAnsi="方正小标宋_GBK" w:eastAsia="方正小标宋_GBK" w:cs="方正小标宋_GBK"/>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000" w:type="pct"/>
            <w:gridSpan w:val="5"/>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ascii="方正楷体_GBK" w:hAnsi="方正楷体_GBK" w:eastAsia="方正楷体_GBK" w:cs="方正楷体_GBK"/>
                <w:i w:val="0"/>
                <w:iCs w:val="0"/>
                <w:color w:val="000000"/>
                <w:sz w:val="20"/>
                <w:szCs w:val="20"/>
                <w:u w:val="none"/>
              </w:rPr>
            </w:pPr>
            <w:r>
              <w:rPr>
                <w:rFonts w:hint="default" w:ascii="方正楷体_GBK" w:hAnsi="方正楷体_GBK" w:eastAsia="方正楷体_GBK" w:cs="方正楷体_GBK"/>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25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经济分类科目</w:t>
            </w:r>
          </w:p>
        </w:tc>
        <w:tc>
          <w:tcPr>
            <w:tcW w:w="245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2024年基本支出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科目编码</w:t>
            </w:r>
          </w:p>
        </w:tc>
        <w:tc>
          <w:tcPr>
            <w:tcW w:w="1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科目名称</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总计</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人员经费</w:t>
            </w:r>
          </w:p>
        </w:tc>
        <w:tc>
          <w:tcPr>
            <w:tcW w:w="1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日常公用经费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5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仿宋_GBK" w:hAnsi="方正仿宋_GBK" w:eastAsia="方正仿宋_GBK" w:cs="方正仿宋_GBK"/>
                <w:b/>
                <w:bCs/>
                <w:i w:val="0"/>
                <w:iCs w:val="0"/>
                <w:color w:val="000000"/>
                <w:sz w:val="20"/>
                <w:szCs w:val="20"/>
                <w:u w:val="none"/>
              </w:rPr>
            </w:pPr>
            <w:r>
              <w:rPr>
                <w:rFonts w:hint="default" w:ascii="方正仿宋_GBK" w:hAnsi="方正仿宋_GBK" w:eastAsia="方正仿宋_GBK" w:cs="方正仿宋_GBK"/>
                <w:b/>
                <w:bCs/>
                <w:i w:val="0"/>
                <w:iCs w:val="0"/>
                <w:color w:val="000000"/>
                <w:kern w:val="0"/>
                <w:sz w:val="20"/>
                <w:szCs w:val="20"/>
                <w:u w:val="none"/>
                <w:lang w:val="en-US" w:eastAsia="zh-CN" w:bidi="ar"/>
              </w:rPr>
              <w:t>合计</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173.48</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148.30</w:t>
            </w:r>
          </w:p>
        </w:tc>
        <w:tc>
          <w:tcPr>
            <w:tcW w:w="1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301</w:t>
            </w:r>
          </w:p>
        </w:tc>
        <w:tc>
          <w:tcPr>
            <w:tcW w:w="1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工资福利支出</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139.72</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139.72</w:t>
            </w:r>
          </w:p>
        </w:tc>
        <w:tc>
          <w:tcPr>
            <w:tcW w:w="1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0"/>
                <w:lang w:val="en-US" w:eastAsia="zh-CN" w:bidi="ar"/>
              </w:rPr>
              <w:t xml:space="preserve"> 30101</w:t>
            </w:r>
          </w:p>
        </w:tc>
        <w:tc>
          <w:tcPr>
            <w:tcW w:w="17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0"/>
                <w:lang w:val="en-US" w:eastAsia="zh-CN" w:bidi="ar"/>
              </w:rPr>
              <w:t xml:space="preserve"> 基本工资</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35.35</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35.35</w:t>
            </w:r>
          </w:p>
        </w:tc>
        <w:tc>
          <w:tcPr>
            <w:tcW w:w="1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0"/>
                <w:lang w:val="en-US" w:eastAsia="zh-CN" w:bidi="ar"/>
              </w:rPr>
              <w:t xml:space="preserve"> 30102</w:t>
            </w:r>
          </w:p>
        </w:tc>
        <w:tc>
          <w:tcPr>
            <w:tcW w:w="17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0"/>
                <w:lang w:val="en-US" w:eastAsia="zh-CN" w:bidi="ar"/>
              </w:rPr>
              <w:t xml:space="preserve"> 津贴补贴</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5.73</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5.73</w:t>
            </w:r>
          </w:p>
        </w:tc>
        <w:tc>
          <w:tcPr>
            <w:tcW w:w="1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0"/>
                <w:lang w:val="en-US" w:eastAsia="zh-CN" w:bidi="ar"/>
              </w:rPr>
              <w:t xml:space="preserve"> 30107</w:t>
            </w:r>
          </w:p>
        </w:tc>
        <w:tc>
          <w:tcPr>
            <w:tcW w:w="17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0"/>
                <w:lang w:val="en-US" w:eastAsia="zh-CN" w:bidi="ar"/>
              </w:rPr>
              <w:t xml:space="preserve"> 绩效工资</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66.42</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66.42</w:t>
            </w:r>
          </w:p>
        </w:tc>
        <w:tc>
          <w:tcPr>
            <w:tcW w:w="1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0"/>
                <w:lang w:val="en-US" w:eastAsia="zh-CN" w:bidi="ar"/>
              </w:rPr>
              <w:t xml:space="preserve"> 30108</w:t>
            </w:r>
          </w:p>
        </w:tc>
        <w:tc>
          <w:tcPr>
            <w:tcW w:w="17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0"/>
                <w:lang w:val="en-US" w:eastAsia="zh-CN" w:bidi="ar"/>
              </w:rPr>
              <w:t xml:space="preserve"> 机关事业单位基本养老保险缴费</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10.09</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10.09</w:t>
            </w:r>
          </w:p>
        </w:tc>
        <w:tc>
          <w:tcPr>
            <w:tcW w:w="1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0"/>
                <w:lang w:val="en-US" w:eastAsia="zh-CN" w:bidi="ar"/>
              </w:rPr>
              <w:t xml:space="preserve"> 30109</w:t>
            </w:r>
          </w:p>
        </w:tc>
        <w:tc>
          <w:tcPr>
            <w:tcW w:w="17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0"/>
                <w:lang w:val="en-US" w:eastAsia="zh-CN" w:bidi="ar"/>
              </w:rPr>
              <w:t xml:space="preserve"> 职业年金缴费</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5.05</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5.05</w:t>
            </w:r>
          </w:p>
        </w:tc>
        <w:tc>
          <w:tcPr>
            <w:tcW w:w="1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0"/>
                <w:lang w:val="en-US" w:eastAsia="zh-CN" w:bidi="ar"/>
              </w:rPr>
              <w:t xml:space="preserve"> 30110</w:t>
            </w:r>
          </w:p>
        </w:tc>
        <w:tc>
          <w:tcPr>
            <w:tcW w:w="17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0"/>
                <w:lang w:val="en-US" w:eastAsia="zh-CN" w:bidi="ar"/>
              </w:rPr>
              <w:t xml:space="preserve"> 职工基本医疗保险缴费</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5.36</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5.36</w:t>
            </w:r>
          </w:p>
        </w:tc>
        <w:tc>
          <w:tcPr>
            <w:tcW w:w="1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0"/>
                <w:lang w:val="en-US" w:eastAsia="zh-CN" w:bidi="ar"/>
              </w:rPr>
              <w:t xml:space="preserve"> 30112</w:t>
            </w:r>
          </w:p>
        </w:tc>
        <w:tc>
          <w:tcPr>
            <w:tcW w:w="17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0"/>
                <w:lang w:val="en-US" w:eastAsia="zh-CN" w:bidi="ar"/>
              </w:rPr>
              <w:t xml:space="preserve"> 其他社会保障缴费</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3.03</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3.03</w:t>
            </w:r>
          </w:p>
        </w:tc>
        <w:tc>
          <w:tcPr>
            <w:tcW w:w="1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0"/>
                <w:lang w:val="en-US" w:eastAsia="zh-CN" w:bidi="ar"/>
              </w:rPr>
              <w:t xml:space="preserve"> 30113</w:t>
            </w:r>
          </w:p>
        </w:tc>
        <w:tc>
          <w:tcPr>
            <w:tcW w:w="17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0"/>
                <w:lang w:val="en-US" w:eastAsia="zh-CN" w:bidi="ar"/>
              </w:rPr>
              <w:t xml:space="preserve"> 住房公积金</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7.57</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7.57</w:t>
            </w:r>
          </w:p>
        </w:tc>
        <w:tc>
          <w:tcPr>
            <w:tcW w:w="1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0"/>
                <w:lang w:val="en-US" w:eastAsia="zh-CN" w:bidi="ar"/>
              </w:rPr>
              <w:t xml:space="preserve"> 30114</w:t>
            </w:r>
          </w:p>
        </w:tc>
        <w:tc>
          <w:tcPr>
            <w:tcW w:w="17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0"/>
                <w:lang w:val="en-US" w:eastAsia="zh-CN" w:bidi="ar"/>
              </w:rPr>
              <w:t xml:space="preserve"> 医疗费</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1.12</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1.12</w:t>
            </w:r>
          </w:p>
        </w:tc>
        <w:tc>
          <w:tcPr>
            <w:tcW w:w="1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302</w:t>
            </w:r>
          </w:p>
        </w:tc>
        <w:tc>
          <w:tcPr>
            <w:tcW w:w="1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商品和服务支出</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25.18</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c>
          <w:tcPr>
            <w:tcW w:w="1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0"/>
                <w:lang w:val="en-US" w:eastAsia="zh-CN" w:bidi="ar"/>
              </w:rPr>
              <w:t xml:space="preserve"> 30201</w:t>
            </w:r>
          </w:p>
        </w:tc>
        <w:tc>
          <w:tcPr>
            <w:tcW w:w="17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0"/>
                <w:lang w:val="en-US" w:eastAsia="zh-CN" w:bidi="ar"/>
              </w:rPr>
              <w:t xml:space="preserve"> 办公费</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5.74</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c>
          <w:tcPr>
            <w:tcW w:w="1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0"/>
                <w:lang w:val="en-US" w:eastAsia="zh-CN" w:bidi="ar"/>
              </w:rPr>
              <w:t xml:space="preserve"> 30202</w:t>
            </w:r>
          </w:p>
        </w:tc>
        <w:tc>
          <w:tcPr>
            <w:tcW w:w="17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0"/>
                <w:lang w:val="en-US" w:eastAsia="zh-CN" w:bidi="ar"/>
              </w:rPr>
              <w:t xml:space="preserve"> 印刷费</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4.00</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c>
          <w:tcPr>
            <w:tcW w:w="1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0"/>
                <w:lang w:val="en-US" w:eastAsia="zh-CN" w:bidi="ar"/>
              </w:rPr>
              <w:t xml:space="preserve"> 30211</w:t>
            </w:r>
          </w:p>
        </w:tc>
        <w:tc>
          <w:tcPr>
            <w:tcW w:w="17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0"/>
                <w:lang w:val="en-US" w:eastAsia="zh-CN" w:bidi="ar"/>
              </w:rPr>
              <w:t xml:space="preserve"> 差旅费</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3.00</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c>
          <w:tcPr>
            <w:tcW w:w="1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0"/>
                <w:lang w:val="en-US" w:eastAsia="zh-CN" w:bidi="ar"/>
              </w:rPr>
              <w:t xml:space="preserve"> 30213</w:t>
            </w:r>
          </w:p>
        </w:tc>
        <w:tc>
          <w:tcPr>
            <w:tcW w:w="17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0"/>
                <w:lang w:val="en-US" w:eastAsia="zh-CN" w:bidi="ar"/>
              </w:rPr>
              <w:t xml:space="preserve"> 维修（护）费</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3.00</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c>
          <w:tcPr>
            <w:tcW w:w="1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0"/>
                <w:lang w:val="en-US" w:eastAsia="zh-CN" w:bidi="ar"/>
              </w:rPr>
              <w:t xml:space="preserve"> 30216</w:t>
            </w:r>
          </w:p>
        </w:tc>
        <w:tc>
          <w:tcPr>
            <w:tcW w:w="17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0"/>
                <w:lang w:val="en-US" w:eastAsia="zh-CN" w:bidi="ar"/>
              </w:rPr>
              <w:t xml:space="preserve"> 培训费</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0.47</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c>
          <w:tcPr>
            <w:tcW w:w="1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0"/>
                <w:lang w:val="en-US" w:eastAsia="zh-CN" w:bidi="ar"/>
              </w:rPr>
              <w:t xml:space="preserve"> 30228</w:t>
            </w:r>
          </w:p>
        </w:tc>
        <w:tc>
          <w:tcPr>
            <w:tcW w:w="17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0"/>
                <w:lang w:val="en-US" w:eastAsia="zh-CN" w:bidi="ar"/>
              </w:rPr>
              <w:t xml:space="preserve"> 工会经费</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0.76</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c>
          <w:tcPr>
            <w:tcW w:w="1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0"/>
                <w:lang w:val="en-US" w:eastAsia="zh-CN" w:bidi="ar"/>
              </w:rPr>
              <w:t xml:space="preserve"> 30229</w:t>
            </w:r>
          </w:p>
        </w:tc>
        <w:tc>
          <w:tcPr>
            <w:tcW w:w="17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0"/>
                <w:lang w:val="en-US" w:eastAsia="zh-CN" w:bidi="ar"/>
              </w:rPr>
              <w:t xml:space="preserve"> 福利费</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2.21</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c>
          <w:tcPr>
            <w:tcW w:w="1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0"/>
                <w:lang w:val="en-US" w:eastAsia="zh-CN" w:bidi="ar"/>
              </w:rPr>
              <w:t xml:space="preserve"> 30299</w:t>
            </w:r>
          </w:p>
        </w:tc>
        <w:tc>
          <w:tcPr>
            <w:tcW w:w="17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0"/>
                <w:lang w:val="en-US" w:eastAsia="zh-CN" w:bidi="ar"/>
              </w:rPr>
              <w:t xml:space="preserve"> 其他商品和服务支出</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6.00</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c>
          <w:tcPr>
            <w:tcW w:w="1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303</w:t>
            </w:r>
          </w:p>
        </w:tc>
        <w:tc>
          <w:tcPr>
            <w:tcW w:w="1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对个人和家庭的补助</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8.58</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8.58</w:t>
            </w:r>
          </w:p>
        </w:tc>
        <w:tc>
          <w:tcPr>
            <w:tcW w:w="1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0"/>
                <w:lang w:val="en-US" w:eastAsia="zh-CN" w:bidi="ar"/>
              </w:rPr>
              <w:t xml:space="preserve"> 30307</w:t>
            </w:r>
          </w:p>
        </w:tc>
        <w:tc>
          <w:tcPr>
            <w:tcW w:w="17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0"/>
                <w:lang w:val="en-US" w:eastAsia="zh-CN" w:bidi="ar"/>
              </w:rPr>
              <w:t xml:space="preserve"> 医疗费补助</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0.60</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0.60</w:t>
            </w:r>
          </w:p>
        </w:tc>
        <w:tc>
          <w:tcPr>
            <w:tcW w:w="1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0"/>
                <w:lang w:val="en-US" w:eastAsia="zh-CN" w:bidi="ar"/>
              </w:rPr>
              <w:t xml:space="preserve"> 30399</w:t>
            </w:r>
          </w:p>
        </w:tc>
        <w:tc>
          <w:tcPr>
            <w:tcW w:w="17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0"/>
                <w:lang w:val="en-US" w:eastAsia="zh-CN" w:bidi="ar"/>
              </w:rPr>
              <w:t xml:space="preserve"> 其他对个人和家庭的补助</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7.98</w:t>
            </w:r>
          </w:p>
        </w:tc>
        <w:tc>
          <w:tcPr>
            <w:tcW w:w="8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7.98</w:t>
            </w:r>
          </w:p>
        </w:tc>
        <w:tc>
          <w:tcPr>
            <w:tcW w:w="1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bl>
    <w:p>
      <w:pPr>
        <w:keepNext w:val="0"/>
        <w:keepLines w:val="0"/>
        <w:pageBreakBefore w:val="0"/>
        <w:widowControl/>
        <w:kinsoku/>
        <w:wordWrap/>
        <w:overflowPunct/>
        <w:topLinePunct w:val="0"/>
        <w:autoSpaceDN/>
        <w:bidi w:val="0"/>
        <w:adjustRightInd/>
        <w:spacing w:line="600" w:lineRule="exact"/>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5"/>
        <w:keepNext w:val="0"/>
        <w:keepLines w:val="0"/>
        <w:pageBreakBefore w:val="0"/>
        <w:kinsoku/>
        <w:wordWrap/>
        <w:overflowPunct/>
        <w:topLinePunct w:val="0"/>
        <w:autoSpaceDN/>
        <w:bidi w:val="0"/>
        <w:adjustRightInd/>
        <w:spacing w:line="600" w:lineRule="exact"/>
        <w:rPr>
          <w:rFonts w:eastAsia="方正黑体_GBK"/>
          <w:sz w:val="32"/>
          <w:szCs w:val="32"/>
        </w:rPr>
      </w:pPr>
      <w:r>
        <w:rPr>
          <w:rFonts w:eastAsia="方正黑体_GBK"/>
          <w:sz w:val="32"/>
          <w:szCs w:val="32"/>
        </w:rPr>
        <w:t>附件4</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1"/>
        <w:gridCol w:w="1737"/>
        <w:gridCol w:w="518"/>
        <w:gridCol w:w="1488"/>
        <w:gridCol w:w="518"/>
        <w:gridCol w:w="1006"/>
        <w:gridCol w:w="1372"/>
        <w:gridCol w:w="884"/>
        <w:gridCol w:w="518"/>
        <w:gridCol w:w="1488"/>
        <w:gridCol w:w="576"/>
        <w:gridCol w:w="1066"/>
        <w:gridCol w:w="1372"/>
        <w:gridCol w:w="8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2" w:hRule="atLeast"/>
        </w:trPr>
        <w:tc>
          <w:tcPr>
            <w:tcW w:w="0" w:type="auto"/>
            <w:gridSpan w:val="14"/>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黑体" w:hAnsi="宋体" w:eastAsia="黑体" w:cs="黑体"/>
                <w:i w:val="0"/>
                <w:iCs w:val="0"/>
                <w:color w:val="000000"/>
                <w:sz w:val="30"/>
                <w:szCs w:val="30"/>
                <w:u w:val="none"/>
              </w:rPr>
            </w:pPr>
            <w:r>
              <w:rPr>
                <w:rFonts w:hint="default" w:ascii="方正小标宋_GBK" w:hAnsi="方正小标宋_GBK" w:eastAsia="方正小标宋_GBK" w:cs="方正小标宋_GBK"/>
                <w:i w:val="0"/>
                <w:iCs w:val="0"/>
                <w:color w:val="000000"/>
                <w:kern w:val="0"/>
                <w:sz w:val="36"/>
                <w:szCs w:val="36"/>
                <w:u w:val="none"/>
                <w:lang w:val="en-US" w:eastAsia="zh-CN" w:bidi="ar"/>
              </w:rPr>
              <w:t>重庆市潼南区五桂镇</w:t>
            </w:r>
            <w:r>
              <w:rPr>
                <w:rFonts w:hint="eastAsia" w:ascii="方正小标宋_GBK" w:hAnsi="方正小标宋_GBK" w:eastAsia="方正小标宋_GBK" w:cs="方正小标宋_GBK"/>
                <w:i w:val="0"/>
                <w:iCs w:val="0"/>
                <w:color w:val="000000"/>
                <w:kern w:val="0"/>
                <w:sz w:val="36"/>
                <w:szCs w:val="36"/>
                <w:u w:val="none"/>
                <w:lang w:val="en-US" w:eastAsia="zh-CN" w:bidi="ar"/>
              </w:rPr>
              <w:t>农业服务中心</w:t>
            </w:r>
            <w:r>
              <w:rPr>
                <w:rFonts w:hint="default" w:ascii="方正小标宋_GBK" w:hAnsi="方正小标宋_GBK" w:eastAsia="方正小标宋_GBK" w:cs="方正小标宋_GBK"/>
                <w:i w:val="0"/>
                <w:iCs w:val="0"/>
                <w:color w:val="000000"/>
                <w:kern w:val="0"/>
                <w:sz w:val="36"/>
                <w:szCs w:val="36"/>
                <w:u w:val="none"/>
                <w:lang w:val="en-US" w:eastAsia="zh-CN" w:bidi="ar"/>
              </w:rPr>
              <w:t>一般公共预算支出“三公”经费预算表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14"/>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部门编码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部门名称</w:t>
            </w:r>
          </w:p>
        </w:tc>
        <w:tc>
          <w:tcPr>
            <w:tcW w:w="0" w:type="auto"/>
            <w:gridSpan w:val="6"/>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2023年预算数</w:t>
            </w:r>
          </w:p>
        </w:tc>
        <w:tc>
          <w:tcPr>
            <w:tcW w:w="0" w:type="auto"/>
            <w:gridSpan w:val="6"/>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2024年预算数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b w:val="0"/>
                <w:bCs w:val="0"/>
                <w:i w:val="0"/>
                <w:iCs w:val="0"/>
                <w:color w:val="000000"/>
                <w:sz w:val="18"/>
                <w:szCs w:val="18"/>
                <w:u w:val="none"/>
                <w:shd w:val="clear" w:color="auto" w:fill="auto"/>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b w:val="0"/>
                <w:bCs w:val="0"/>
                <w:i w:val="0"/>
                <w:iCs w:val="0"/>
                <w:color w:val="000000"/>
                <w:sz w:val="18"/>
                <w:szCs w:val="18"/>
                <w:u w:val="none"/>
                <w:shd w:val="clear" w:color="auto" w:fill="auto"/>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总计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因公出国（境）费用</w:t>
            </w:r>
          </w:p>
        </w:tc>
        <w:tc>
          <w:tcPr>
            <w:tcW w:w="0" w:type="auto"/>
            <w:gridSpan w:val="3"/>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公务用车购置及运行费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公务接待费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总计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因公出国（境）费用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公务用车购置及运行费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val="0"/>
                <w:bCs w:val="0"/>
                <w:i w:val="0"/>
                <w:iCs w:val="0"/>
                <w:color w:val="000000"/>
                <w:sz w:val="18"/>
                <w:szCs w:val="18"/>
                <w:u w:val="none"/>
              </w:rPr>
            </w:pPr>
            <w:r>
              <w:rPr>
                <w:rFonts w:ascii="宋体" w:hAnsi="宋体" w:eastAsia="宋体" w:cs="宋体"/>
                <w:b w:val="0"/>
                <w:bCs w:val="0"/>
                <w:i w:val="0"/>
                <w:iCs w:val="0"/>
                <w:color w:val="000000"/>
                <w:kern w:val="0"/>
                <w:sz w:val="18"/>
                <w:szCs w:val="18"/>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val="0"/>
                <w:bCs w:val="0"/>
                <w:i w:val="0"/>
                <w:iCs w:val="0"/>
                <w:color w:val="000000"/>
                <w:sz w:val="18"/>
                <w:szCs w:val="18"/>
                <w:u w:val="none"/>
              </w:rPr>
            </w:pPr>
            <w:r>
              <w:rPr>
                <w:rFonts w:ascii="宋体" w:hAnsi="宋体" w:eastAsia="宋体" w:cs="宋体"/>
                <w:b w:val="0"/>
                <w:bCs w:val="0"/>
                <w:i w:val="0"/>
                <w:iCs w:val="0"/>
                <w:color w:val="000000"/>
                <w:kern w:val="0"/>
                <w:sz w:val="18"/>
                <w:szCs w:val="18"/>
                <w:u w:val="none"/>
                <w:lang w:val="en-US" w:eastAsia="zh-CN" w:bidi="ar"/>
              </w:rPr>
              <w:t>公务用车购置</w:t>
            </w:r>
          </w:p>
        </w:tc>
        <w:tc>
          <w:tcPr>
            <w:tcW w:w="0" w:type="auto"/>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val="0"/>
                <w:bCs w:val="0"/>
                <w:i w:val="0"/>
                <w:iCs w:val="0"/>
                <w:color w:val="000000"/>
                <w:sz w:val="18"/>
                <w:szCs w:val="18"/>
                <w:u w:val="none"/>
              </w:rPr>
            </w:pPr>
            <w:r>
              <w:rPr>
                <w:rFonts w:ascii="宋体" w:hAnsi="宋体" w:eastAsia="宋体" w:cs="宋体"/>
                <w:b w:val="0"/>
                <w:bCs w:val="0"/>
                <w:i w:val="0"/>
                <w:iCs w:val="0"/>
                <w:color w:val="000000"/>
                <w:kern w:val="0"/>
                <w:sz w:val="18"/>
                <w:szCs w:val="18"/>
                <w:u w:val="none"/>
                <w:lang w:val="en-US" w:eastAsia="zh-CN" w:bidi="ar"/>
              </w:rPr>
              <w:t>公务用车运行维护费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b/>
                <w:bCs/>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val="0"/>
                <w:bCs w:val="0"/>
                <w:i w:val="0"/>
                <w:iCs w:val="0"/>
                <w:color w:val="000000"/>
                <w:sz w:val="18"/>
                <w:szCs w:val="18"/>
                <w:u w:val="none"/>
              </w:rPr>
            </w:pPr>
            <w:r>
              <w:rPr>
                <w:rFonts w:ascii="宋体" w:hAnsi="宋体" w:eastAsia="宋体" w:cs="宋体"/>
                <w:b w:val="0"/>
                <w:bCs w:val="0"/>
                <w:i w:val="0"/>
                <w:iCs w:val="0"/>
                <w:color w:val="000000"/>
                <w:kern w:val="0"/>
                <w:sz w:val="18"/>
                <w:szCs w:val="18"/>
                <w:u w:val="none"/>
                <w:lang w:val="en-US" w:eastAsia="zh-CN" w:bidi="ar"/>
              </w:rPr>
              <w:t>小计</w:t>
            </w:r>
          </w:p>
        </w:tc>
        <w:tc>
          <w:tcPr>
            <w:tcW w:w="1068" w:type="dxa"/>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val="0"/>
                <w:bCs w:val="0"/>
                <w:i w:val="0"/>
                <w:iCs w:val="0"/>
                <w:color w:val="000000"/>
                <w:sz w:val="18"/>
                <w:szCs w:val="18"/>
                <w:u w:val="none"/>
              </w:rPr>
            </w:pPr>
            <w:r>
              <w:rPr>
                <w:rFonts w:ascii="宋体" w:hAnsi="宋体" w:eastAsia="宋体" w:cs="宋体"/>
                <w:b w:val="0"/>
                <w:bCs w:val="0"/>
                <w:i w:val="0"/>
                <w:iCs w:val="0"/>
                <w:color w:val="000000"/>
                <w:kern w:val="0"/>
                <w:sz w:val="18"/>
                <w:szCs w:val="18"/>
                <w:u w:val="none"/>
                <w:lang w:val="en-US" w:eastAsia="zh-CN" w:bidi="ar"/>
              </w:rPr>
              <w:t>公务用车购置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val="0"/>
                <w:bCs w:val="0"/>
                <w:i w:val="0"/>
                <w:iCs w:val="0"/>
                <w:color w:val="000000"/>
                <w:sz w:val="18"/>
                <w:szCs w:val="18"/>
                <w:u w:val="none"/>
              </w:rPr>
            </w:pPr>
            <w:r>
              <w:rPr>
                <w:rFonts w:ascii="宋体" w:hAnsi="宋体" w:eastAsia="宋体" w:cs="宋体"/>
                <w:b w:val="0"/>
                <w:bCs w:val="0"/>
                <w:i w:val="0"/>
                <w:iCs w:val="0"/>
                <w:color w:val="000000"/>
                <w:kern w:val="0"/>
                <w:sz w:val="18"/>
                <w:szCs w:val="18"/>
                <w:u w:val="none"/>
                <w:lang w:val="en-US" w:eastAsia="zh-CN" w:bidi="ar"/>
              </w:rPr>
              <w:t>公务用车运行维护费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潼南区五桂镇</w:t>
            </w:r>
            <w:r>
              <w:rPr>
                <w:rFonts w:hint="eastAsia" w:ascii="宋体" w:hAnsi="宋体" w:eastAsia="宋体" w:cs="宋体"/>
                <w:i w:val="0"/>
                <w:iCs w:val="0"/>
                <w:color w:val="000000"/>
                <w:kern w:val="0"/>
                <w:sz w:val="18"/>
                <w:szCs w:val="18"/>
                <w:u w:val="none"/>
                <w:lang w:val="en-US" w:eastAsia="zh-CN" w:bidi="ar"/>
              </w:rPr>
              <w:t>农业服务中心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w:t>
            </w:r>
          </w:p>
        </w:tc>
      </w:tr>
    </w:tbl>
    <w:p>
      <w:pPr>
        <w:keepNext w:val="0"/>
        <w:keepLines w:val="0"/>
        <w:pageBreakBefore w:val="0"/>
        <w:widowControl/>
        <w:kinsoku/>
        <w:wordWrap/>
        <w:overflowPunct/>
        <w:topLinePunct w:val="0"/>
        <w:autoSpaceDN/>
        <w:bidi w:val="0"/>
        <w:adjustRightInd/>
        <w:spacing w:line="600" w:lineRule="exact"/>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5"/>
        <w:keepNext w:val="0"/>
        <w:keepLines w:val="0"/>
        <w:pageBreakBefore w:val="0"/>
        <w:kinsoku/>
        <w:wordWrap/>
        <w:overflowPunct/>
        <w:topLinePunct w:val="0"/>
        <w:autoSpaceDN/>
        <w:bidi w:val="0"/>
        <w:adjustRightInd/>
        <w:spacing w:line="600" w:lineRule="exact"/>
        <w:rPr>
          <w:rFonts w:eastAsia="方正黑体_GBK"/>
          <w:sz w:val="32"/>
          <w:szCs w:val="32"/>
        </w:rPr>
      </w:pPr>
      <w:r>
        <w:rPr>
          <w:rFonts w:eastAsia="方正黑体_GBK"/>
          <w:sz w:val="32"/>
          <w:szCs w:val="32"/>
        </w:rPr>
        <w:t>附件5</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48"/>
        <w:gridCol w:w="5551"/>
        <w:gridCol w:w="2329"/>
        <w:gridCol w:w="2244"/>
        <w:gridCol w:w="23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0" w:type="pct"/>
            <w:gridSpan w:val="5"/>
            <w:vMerge w:val="restar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小标宋_GBK" w:hAnsi="方正小标宋_GBK" w:eastAsia="方正小标宋_GBK" w:cs="方正小标宋_GBK"/>
                <w:i w:val="0"/>
                <w:iCs w:val="0"/>
                <w:color w:val="000000"/>
                <w:sz w:val="36"/>
                <w:szCs w:val="36"/>
                <w:u w:val="none"/>
              </w:rPr>
            </w:pPr>
            <w:r>
              <w:rPr>
                <w:rFonts w:hint="default" w:ascii="方正小标宋_GBK" w:hAnsi="方正小标宋_GBK" w:eastAsia="方正小标宋_GBK" w:cs="方正小标宋_GBK"/>
                <w:i w:val="0"/>
                <w:iCs w:val="0"/>
                <w:color w:val="000000"/>
                <w:kern w:val="0"/>
                <w:sz w:val="36"/>
                <w:szCs w:val="36"/>
                <w:u w:val="none"/>
                <w:lang w:val="en-US" w:eastAsia="zh-CN" w:bidi="ar"/>
              </w:rPr>
              <w:t>重庆市潼南区五桂镇</w:t>
            </w:r>
            <w:r>
              <w:rPr>
                <w:rFonts w:hint="eastAsia" w:ascii="方正小标宋_GBK" w:hAnsi="方正小标宋_GBK" w:eastAsia="方正小标宋_GBK" w:cs="方正小标宋_GBK"/>
                <w:i w:val="0"/>
                <w:iCs w:val="0"/>
                <w:color w:val="000000"/>
                <w:kern w:val="0"/>
                <w:sz w:val="36"/>
                <w:szCs w:val="36"/>
                <w:u w:val="none"/>
                <w:lang w:val="en-US" w:eastAsia="zh-CN" w:bidi="ar"/>
              </w:rPr>
              <w:t>农业服务中心</w:t>
            </w:r>
            <w:r>
              <w:rPr>
                <w:rFonts w:hint="default" w:ascii="方正小标宋_GBK" w:hAnsi="方正小标宋_GBK" w:eastAsia="方正小标宋_GBK" w:cs="方正小标宋_GBK"/>
                <w:i w:val="0"/>
                <w:iCs w:val="0"/>
                <w:color w:val="000000"/>
                <w:kern w:val="0"/>
                <w:sz w:val="36"/>
                <w:szCs w:val="36"/>
                <w:u w:val="none"/>
                <w:lang w:val="en-US" w:eastAsia="zh-CN" w:bidi="ar"/>
              </w:rPr>
              <w:t>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5000" w:type="pct"/>
            <w:gridSpan w:val="5"/>
            <w:vMerge w:val="continue"/>
            <w:tcBorders>
              <w:top w:val="nil"/>
              <w:left w:val="nil"/>
              <w:bottom w:val="nil"/>
              <w:right w:val="nil"/>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center"/>
              <w:rPr>
                <w:rFonts w:hint="default" w:ascii="方正小标宋_GBK" w:hAnsi="方正小标宋_GBK" w:eastAsia="方正小标宋_GBK" w:cs="方正小标宋_GBK"/>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5000" w:type="pct"/>
            <w:gridSpan w:val="5"/>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方正楷体_GBK" w:hAnsi="方正楷体_GBK" w:eastAsia="方正楷体_GBK" w:cs="方正楷体_GBK"/>
                <w:i w:val="0"/>
                <w:iCs w:val="0"/>
                <w:color w:val="000000"/>
                <w:sz w:val="20"/>
                <w:szCs w:val="20"/>
                <w:u w:val="none"/>
              </w:rPr>
            </w:pPr>
            <w:r>
              <w:rPr>
                <w:rFonts w:hint="default" w:ascii="方正楷体_GBK" w:hAnsi="方正楷体_GBK" w:eastAsia="方正楷体_GBK" w:cs="方正楷体_GBK"/>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6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 xml:space="preserve"> 科目编码</w:t>
            </w:r>
          </w:p>
        </w:tc>
        <w:tc>
          <w:tcPr>
            <w:tcW w:w="195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科目名称</w:t>
            </w:r>
          </w:p>
        </w:tc>
        <w:tc>
          <w:tcPr>
            <w:tcW w:w="243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本年政府性基金预算财政拨款支出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center"/>
              <w:rPr>
                <w:rFonts w:hint="default" w:ascii="方正黑体_GBK" w:hAnsi="方正黑体_GBK" w:eastAsia="方正黑体_GBK" w:cs="方正黑体_GBK"/>
                <w:i w:val="0"/>
                <w:iCs w:val="0"/>
                <w:color w:val="000000"/>
                <w:sz w:val="24"/>
                <w:szCs w:val="24"/>
                <w:u w:val="none"/>
              </w:rPr>
            </w:pPr>
          </w:p>
        </w:tc>
        <w:tc>
          <w:tcPr>
            <w:tcW w:w="19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center"/>
              <w:rPr>
                <w:rFonts w:hint="default" w:ascii="方正黑体_GBK" w:hAnsi="方正黑体_GBK" w:eastAsia="方正黑体_GBK" w:cs="方正黑体_GBK"/>
                <w:i w:val="0"/>
                <w:iCs w:val="0"/>
                <w:color w:val="000000"/>
                <w:sz w:val="24"/>
                <w:szCs w:val="24"/>
                <w:u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总计</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 xml:space="preserve">基本支出 </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 xml:space="preserve">项目支出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5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仿宋_GBK" w:hAnsi="方正仿宋_GBK" w:eastAsia="方正仿宋_GBK" w:cs="方正仿宋_GBK"/>
                <w:b/>
                <w:bCs/>
                <w:i w:val="0"/>
                <w:iCs w:val="0"/>
                <w:color w:val="000000"/>
                <w:sz w:val="20"/>
                <w:szCs w:val="20"/>
                <w:u w:val="none"/>
              </w:rPr>
            </w:pPr>
            <w:r>
              <w:rPr>
                <w:rFonts w:hint="default" w:ascii="方正仿宋_GBK" w:hAnsi="方正仿宋_GBK" w:eastAsia="方正仿宋_GBK" w:cs="方正仿宋_GBK"/>
                <w:b/>
                <w:bCs/>
                <w:i w:val="0"/>
                <w:iCs w:val="0"/>
                <w:color w:val="000000"/>
                <w:kern w:val="0"/>
                <w:sz w:val="20"/>
                <w:szCs w:val="20"/>
                <w:u w:val="none"/>
                <w:lang w:val="en-US" w:eastAsia="zh-CN" w:bidi="ar"/>
              </w:rPr>
              <w:t>合计</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b/>
                <w:bCs/>
                <w:i w:val="0"/>
                <w:iCs w:val="0"/>
                <w:color w:val="000000"/>
                <w:sz w:val="20"/>
                <w:szCs w:val="20"/>
                <w:u w:val="none"/>
              </w:rPr>
            </w:pP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b/>
                <w:bCs/>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left"/>
              <w:rPr>
                <w:rFonts w:hint="default" w:ascii="方正仿宋_GBK" w:hAnsi="方正仿宋_GBK" w:eastAsia="方正仿宋_GBK" w:cs="方正仿宋_GBK"/>
                <w:i w:val="0"/>
                <w:iCs w:val="0"/>
                <w:color w:val="000000"/>
                <w:sz w:val="20"/>
                <w:szCs w:val="20"/>
                <w:u w:val="none"/>
              </w:rPr>
            </w:pPr>
          </w:p>
        </w:tc>
        <w:tc>
          <w:tcPr>
            <w:tcW w:w="1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rPr>
                <w:rFonts w:hint="default" w:ascii="方正仿宋_GBK" w:hAnsi="方正仿宋_GBK" w:eastAsia="方正仿宋_GBK" w:cs="方正仿宋_GBK"/>
                <w:i w:val="0"/>
                <w:iCs w:val="0"/>
                <w:color w:val="000000"/>
                <w:sz w:val="20"/>
                <w:szCs w:val="20"/>
                <w:u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38"/>
                <w:rFonts w:ascii="宋体" w:hAnsi="宋体" w:eastAsia="宋体" w:cs="宋体"/>
                <w:sz w:val="24"/>
                <w:szCs w:val="24"/>
                <w:lang w:val="en-US" w:eastAsia="zh-CN" w:bidi="ar"/>
              </w:rPr>
              <w:t xml:space="preserve"> </w:t>
            </w:r>
          </w:p>
        </w:tc>
        <w:tc>
          <w:tcPr>
            <w:tcW w:w="19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38"/>
                <w:rFonts w:ascii="宋体" w:hAnsi="宋体" w:eastAsia="宋体" w:cs="宋体"/>
                <w:sz w:val="24"/>
                <w:szCs w:val="24"/>
                <w:lang w:val="en-US" w:eastAsia="zh-CN" w:bidi="ar"/>
              </w:rPr>
              <w:t xml:space="preserve"> </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38"/>
                <w:rFonts w:ascii="宋体" w:hAnsi="宋体" w:eastAsia="宋体" w:cs="宋体"/>
                <w:sz w:val="24"/>
                <w:szCs w:val="24"/>
                <w:lang w:val="en-US" w:eastAsia="zh-CN" w:bidi="ar"/>
              </w:rPr>
              <w:t xml:space="preserve">  </w:t>
            </w:r>
          </w:p>
        </w:tc>
        <w:tc>
          <w:tcPr>
            <w:tcW w:w="19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38"/>
                <w:rFonts w:ascii="宋体" w:hAnsi="宋体" w:eastAsia="宋体" w:cs="宋体"/>
                <w:sz w:val="24"/>
                <w:szCs w:val="24"/>
                <w:lang w:val="en-US" w:eastAsia="zh-CN" w:bidi="ar"/>
              </w:rPr>
              <w:t xml:space="preserve">  </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00" w:type="pct"/>
            <w:gridSpan w:val="5"/>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（备注：本单位无政府性基金收支，故此表无数据。）</w:t>
            </w:r>
          </w:p>
        </w:tc>
      </w:tr>
    </w:tbl>
    <w:p>
      <w:pPr>
        <w:keepNext w:val="0"/>
        <w:keepLines w:val="0"/>
        <w:pageBreakBefore w:val="0"/>
        <w:widowControl/>
        <w:kinsoku/>
        <w:wordWrap/>
        <w:overflowPunct/>
        <w:topLinePunct w:val="0"/>
        <w:autoSpaceDN/>
        <w:bidi w:val="0"/>
        <w:adjustRightInd/>
        <w:spacing w:line="600" w:lineRule="exact"/>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5"/>
        <w:keepNext w:val="0"/>
        <w:keepLines w:val="0"/>
        <w:pageBreakBefore w:val="0"/>
        <w:kinsoku/>
        <w:wordWrap/>
        <w:overflowPunct/>
        <w:topLinePunct w:val="0"/>
        <w:autoSpaceDN/>
        <w:bidi w:val="0"/>
        <w:adjustRightInd/>
        <w:spacing w:line="600" w:lineRule="exact"/>
        <w:rPr>
          <w:rFonts w:eastAsia="方正黑体_GBK"/>
          <w:sz w:val="32"/>
          <w:szCs w:val="32"/>
        </w:rPr>
      </w:pPr>
      <w:r>
        <w:rPr>
          <w:rFonts w:eastAsia="方正黑体_GBK"/>
          <w:sz w:val="32"/>
          <w:szCs w:val="32"/>
        </w:rPr>
        <w:t>附件6</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32"/>
        <w:gridCol w:w="2116"/>
        <w:gridCol w:w="4754"/>
        <w:gridCol w:w="2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4"/>
            <w:vMerge w:val="restar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小标宋_GBK" w:hAnsi="方正小标宋_GBK" w:eastAsia="方正小标宋_GBK" w:cs="方正小标宋_GBK"/>
                <w:i w:val="0"/>
                <w:iCs w:val="0"/>
                <w:color w:val="000000"/>
                <w:sz w:val="38"/>
                <w:szCs w:val="38"/>
                <w:u w:val="none"/>
              </w:rPr>
            </w:pPr>
            <w:r>
              <w:rPr>
                <w:rFonts w:hint="default" w:ascii="方正小标宋_GBK" w:hAnsi="方正小标宋_GBK" w:eastAsia="方正小标宋_GBK" w:cs="方正小标宋_GBK"/>
                <w:i w:val="0"/>
                <w:iCs w:val="0"/>
                <w:color w:val="000000"/>
                <w:kern w:val="0"/>
                <w:sz w:val="36"/>
                <w:szCs w:val="36"/>
                <w:u w:val="none"/>
                <w:lang w:val="en-US" w:eastAsia="zh-CN" w:bidi="ar"/>
              </w:rPr>
              <w:t>重庆市潼南区五桂镇</w:t>
            </w:r>
            <w:r>
              <w:rPr>
                <w:rFonts w:hint="eastAsia" w:ascii="方正小标宋_GBK" w:hAnsi="方正小标宋_GBK" w:eastAsia="方正小标宋_GBK" w:cs="方正小标宋_GBK"/>
                <w:i w:val="0"/>
                <w:iCs w:val="0"/>
                <w:color w:val="000000"/>
                <w:kern w:val="0"/>
                <w:sz w:val="36"/>
                <w:szCs w:val="36"/>
                <w:u w:val="none"/>
                <w:lang w:val="en-US" w:eastAsia="zh-CN" w:bidi="ar"/>
              </w:rPr>
              <w:t>农业服务中心</w:t>
            </w:r>
            <w:r>
              <w:rPr>
                <w:rFonts w:hint="default" w:ascii="方正小标宋_GBK" w:hAnsi="方正小标宋_GBK" w:eastAsia="方正小标宋_GBK" w:cs="方正小标宋_GBK"/>
                <w:i w:val="0"/>
                <w:iCs w:val="0"/>
                <w:color w:val="000000"/>
                <w:kern w:val="0"/>
                <w:sz w:val="36"/>
                <w:szCs w:val="36"/>
                <w:u w:val="none"/>
                <w:lang w:val="en-US" w:eastAsia="zh-CN" w:bidi="ar"/>
              </w:rPr>
              <w:t>部门收支总表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00" w:type="pct"/>
            <w:gridSpan w:val="4"/>
            <w:vMerge w:val="continue"/>
            <w:tcBorders>
              <w:top w:val="nil"/>
              <w:left w:val="nil"/>
              <w:bottom w:val="nil"/>
              <w:right w:val="nil"/>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default" w:ascii="方正小标宋_GBK" w:hAnsi="方正小标宋_GBK" w:eastAsia="方正小标宋_GBK" w:cs="方正小标宋_GBK"/>
                <w:i w:val="0"/>
                <w:iCs w:val="0"/>
                <w:color w:val="000000"/>
                <w:sz w:val="38"/>
                <w:szCs w:val="3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000" w:type="pct"/>
            <w:gridSpan w:val="4"/>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ascii="方正楷体_GBK" w:hAnsi="方正楷体_GBK" w:eastAsia="方正楷体_GBK" w:cs="方正楷体_GBK"/>
                <w:i w:val="0"/>
                <w:iCs w:val="0"/>
                <w:color w:val="000000"/>
                <w:sz w:val="22"/>
                <w:szCs w:val="22"/>
                <w:u w:val="none"/>
              </w:rPr>
            </w:pPr>
            <w:r>
              <w:rPr>
                <w:rFonts w:hint="default" w:ascii="方正楷体_GBK" w:hAnsi="方正楷体_GBK" w:eastAsia="方正楷体_GBK" w:cs="方正楷体_GBK"/>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258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收入</w:t>
            </w:r>
          </w:p>
        </w:tc>
        <w:tc>
          <w:tcPr>
            <w:tcW w:w="24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18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项目</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预算数</w:t>
            </w:r>
          </w:p>
        </w:tc>
        <w:tc>
          <w:tcPr>
            <w:tcW w:w="1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项目</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合计</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405.62</w:t>
            </w:r>
          </w:p>
        </w:tc>
        <w:tc>
          <w:tcPr>
            <w:tcW w:w="1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合计</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405.62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8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一般公共预算资金</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405.62</w:t>
            </w:r>
          </w:p>
        </w:tc>
        <w:tc>
          <w:tcPr>
            <w:tcW w:w="1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社会保障和就业支出</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8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政府性基金预算资金</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c>
          <w:tcPr>
            <w:tcW w:w="1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卫生健康支出</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8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国有资本经营预算资金</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c>
          <w:tcPr>
            <w:tcW w:w="1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农林水支出</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8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财政专户管理资金</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c>
          <w:tcPr>
            <w:tcW w:w="1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住房保障支出</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8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事业收入资金</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c>
          <w:tcPr>
            <w:tcW w:w="1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rPr>
                <w:rFonts w:hint="default" w:ascii="方正仿宋_GBK" w:hAnsi="方正仿宋_GBK" w:eastAsia="方正仿宋_GBK" w:cs="方正仿宋_GBK"/>
                <w:i w:val="0"/>
                <w:iCs w:val="0"/>
                <w:color w:val="000000"/>
                <w:sz w:val="24"/>
                <w:szCs w:val="24"/>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8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上级补助收入资金</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c>
          <w:tcPr>
            <w:tcW w:w="1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rPr>
                <w:rFonts w:hint="default" w:ascii="方正仿宋_GBK" w:hAnsi="方正仿宋_GBK" w:eastAsia="方正仿宋_GBK" w:cs="方正仿宋_GBK"/>
                <w:i w:val="0"/>
                <w:iCs w:val="0"/>
                <w:color w:val="000000"/>
                <w:sz w:val="24"/>
                <w:szCs w:val="24"/>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8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附属单位上缴收入资金 </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c>
          <w:tcPr>
            <w:tcW w:w="1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rPr>
                <w:rFonts w:hint="default" w:ascii="方正仿宋_GBK" w:hAnsi="方正仿宋_GBK" w:eastAsia="方正仿宋_GBK" w:cs="方正仿宋_GBK"/>
                <w:i w:val="0"/>
                <w:iCs w:val="0"/>
                <w:color w:val="000000"/>
                <w:sz w:val="24"/>
                <w:szCs w:val="24"/>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8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事业单位经营收入资金</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c>
          <w:tcPr>
            <w:tcW w:w="1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rPr>
                <w:rFonts w:hint="default" w:ascii="方正仿宋_GBK" w:hAnsi="方正仿宋_GBK" w:eastAsia="方正仿宋_GBK" w:cs="方正仿宋_GBK"/>
                <w:i w:val="0"/>
                <w:iCs w:val="0"/>
                <w:color w:val="000000"/>
                <w:sz w:val="24"/>
                <w:szCs w:val="24"/>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8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其他收入资金 </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c>
          <w:tcPr>
            <w:tcW w:w="1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rPr>
                <w:rFonts w:hint="default" w:ascii="方正仿宋_GBK" w:hAnsi="方正仿宋_GBK" w:eastAsia="方正仿宋_GBK" w:cs="方正仿宋_GBK"/>
                <w:i w:val="0"/>
                <w:iCs w:val="0"/>
                <w:color w:val="000000"/>
                <w:sz w:val="24"/>
                <w:szCs w:val="24"/>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bl>
    <w:p>
      <w:pPr>
        <w:keepNext w:val="0"/>
        <w:keepLines w:val="0"/>
        <w:pageBreakBefore w:val="0"/>
        <w:widowControl/>
        <w:kinsoku/>
        <w:wordWrap/>
        <w:overflowPunct/>
        <w:topLinePunct w:val="0"/>
        <w:autoSpaceDN/>
        <w:bidi w:val="0"/>
        <w:adjustRightInd/>
        <w:spacing w:line="600" w:lineRule="exact"/>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5"/>
        <w:keepNext w:val="0"/>
        <w:keepLines w:val="0"/>
        <w:pageBreakBefore w:val="0"/>
        <w:kinsoku/>
        <w:wordWrap/>
        <w:overflowPunct/>
        <w:topLinePunct w:val="0"/>
        <w:autoSpaceDN/>
        <w:bidi w:val="0"/>
        <w:adjustRightInd/>
        <w:spacing w:line="600" w:lineRule="exact"/>
        <w:rPr>
          <w:rFonts w:eastAsia="方正黑体_GBK"/>
          <w:sz w:val="32"/>
          <w:szCs w:val="32"/>
        </w:rPr>
      </w:pPr>
      <w:r>
        <w:rPr>
          <w:rFonts w:eastAsia="方正黑体_GBK"/>
          <w:sz w:val="32"/>
          <w:szCs w:val="32"/>
        </w:rPr>
        <w:t>附件7</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9"/>
        <w:gridCol w:w="2602"/>
        <w:gridCol w:w="711"/>
        <w:gridCol w:w="1405"/>
        <w:gridCol w:w="1354"/>
        <w:gridCol w:w="1450"/>
        <w:gridCol w:w="1260"/>
        <w:gridCol w:w="682"/>
        <w:gridCol w:w="876"/>
        <w:gridCol w:w="1066"/>
        <w:gridCol w:w="1066"/>
        <w:gridCol w:w="6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12"/>
            <w:vMerge w:val="restar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小标宋_GBK" w:hAnsi="方正小标宋_GBK" w:eastAsia="方正小标宋_GBK" w:cs="方正小标宋_GBK"/>
                <w:i w:val="0"/>
                <w:iCs w:val="0"/>
                <w:color w:val="000000"/>
                <w:sz w:val="38"/>
                <w:szCs w:val="38"/>
                <w:u w:val="none"/>
              </w:rPr>
            </w:pPr>
            <w:r>
              <w:rPr>
                <w:rFonts w:hint="default" w:ascii="方正小标宋_GBK" w:hAnsi="方正小标宋_GBK" w:eastAsia="方正小标宋_GBK" w:cs="方正小标宋_GBK"/>
                <w:i w:val="0"/>
                <w:iCs w:val="0"/>
                <w:color w:val="000000"/>
                <w:kern w:val="0"/>
                <w:sz w:val="36"/>
                <w:szCs w:val="36"/>
                <w:u w:val="none"/>
                <w:lang w:val="en-US" w:eastAsia="zh-CN" w:bidi="ar"/>
              </w:rPr>
              <w:t>重庆市潼南区五桂镇</w:t>
            </w:r>
            <w:r>
              <w:rPr>
                <w:rFonts w:hint="eastAsia" w:ascii="方正小标宋_GBK" w:hAnsi="方正小标宋_GBK" w:eastAsia="方正小标宋_GBK" w:cs="方正小标宋_GBK"/>
                <w:i w:val="0"/>
                <w:iCs w:val="0"/>
                <w:color w:val="000000"/>
                <w:kern w:val="0"/>
                <w:sz w:val="36"/>
                <w:szCs w:val="36"/>
                <w:u w:val="none"/>
                <w:lang w:val="en-US" w:eastAsia="zh-CN" w:bidi="ar"/>
              </w:rPr>
              <w:t>农业服务中心</w:t>
            </w:r>
            <w:r>
              <w:rPr>
                <w:rFonts w:hint="default" w:ascii="方正小标宋_GBK" w:hAnsi="方正小标宋_GBK" w:eastAsia="方正小标宋_GBK" w:cs="方正小标宋_GBK"/>
                <w:i w:val="0"/>
                <w:iCs w:val="0"/>
                <w:color w:val="000000"/>
                <w:kern w:val="0"/>
                <w:sz w:val="36"/>
                <w:szCs w:val="36"/>
                <w:u w:val="none"/>
                <w:lang w:val="en-US" w:eastAsia="zh-CN" w:bidi="ar"/>
              </w:rPr>
              <w:t>部门收入总表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00" w:type="pct"/>
            <w:gridSpan w:val="12"/>
            <w:vMerge w:val="continue"/>
            <w:tcBorders>
              <w:top w:val="nil"/>
              <w:left w:val="nil"/>
              <w:bottom w:val="nil"/>
              <w:right w:val="nil"/>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default" w:ascii="方正小标宋_GBK" w:hAnsi="方正小标宋_GBK" w:eastAsia="方正小标宋_GBK" w:cs="方正小标宋_GBK"/>
                <w:i w:val="0"/>
                <w:iCs w:val="0"/>
                <w:color w:val="000000"/>
                <w:sz w:val="38"/>
                <w:szCs w:val="3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5000" w:type="pct"/>
            <w:gridSpan w:val="12"/>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ascii="方正楷体_GBK" w:hAnsi="方正楷体_GBK" w:eastAsia="方正楷体_GBK" w:cs="方正楷体_GBK"/>
                <w:i w:val="0"/>
                <w:iCs w:val="0"/>
                <w:color w:val="000000"/>
                <w:sz w:val="20"/>
                <w:szCs w:val="20"/>
                <w:u w:val="none"/>
              </w:rPr>
            </w:pPr>
            <w:r>
              <w:rPr>
                <w:rFonts w:hint="default" w:ascii="方正楷体_GBK" w:hAnsi="方正楷体_GBK" w:eastAsia="方正楷体_GBK" w:cs="方正楷体_GBK"/>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128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科目</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总计</w:t>
            </w:r>
          </w:p>
        </w:tc>
        <w:tc>
          <w:tcPr>
            <w:tcW w:w="4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一般公共预算拨款收入</w:t>
            </w:r>
          </w:p>
        </w:tc>
        <w:tc>
          <w:tcPr>
            <w:tcW w:w="4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政府性基金预算拨款收入</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国有资本经营预算拨款收入</w:t>
            </w:r>
          </w:p>
        </w:tc>
        <w:tc>
          <w:tcPr>
            <w:tcW w:w="4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财政专户管理资金收入</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事业收入</w:t>
            </w:r>
          </w:p>
        </w:tc>
        <w:tc>
          <w:tcPr>
            <w:tcW w:w="3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上级补助收入</w:t>
            </w:r>
          </w:p>
        </w:tc>
        <w:tc>
          <w:tcPr>
            <w:tcW w:w="3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附属单位上缴收入</w:t>
            </w:r>
          </w:p>
        </w:tc>
        <w:tc>
          <w:tcPr>
            <w:tcW w:w="3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事业单位经营收入</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科目编码</w:t>
            </w: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科目名称</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center"/>
              <w:rPr>
                <w:rFonts w:hint="default" w:ascii="方正黑体_GBK" w:hAnsi="方正黑体_GBK" w:eastAsia="方正黑体_GBK" w:cs="方正黑体_GBK"/>
                <w:i w:val="0"/>
                <w:iCs w:val="0"/>
                <w:color w:val="000000"/>
                <w:sz w:val="18"/>
                <w:szCs w:val="18"/>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default" w:ascii="方正黑体_GBK" w:hAnsi="方正黑体_GBK" w:eastAsia="方正黑体_GBK" w:cs="方正黑体_GBK"/>
                <w:i w:val="0"/>
                <w:iCs w:val="0"/>
                <w:color w:val="000000"/>
                <w:sz w:val="18"/>
                <w:szCs w:val="18"/>
                <w:u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default" w:ascii="方正黑体_GBK" w:hAnsi="方正黑体_GBK" w:eastAsia="方正黑体_GBK" w:cs="方正黑体_GBK"/>
                <w:i w:val="0"/>
                <w:iCs w:val="0"/>
                <w:color w:val="000000"/>
                <w:sz w:val="18"/>
                <w:szCs w:val="18"/>
                <w:u w:val="none"/>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default" w:ascii="方正黑体_GBK" w:hAnsi="方正黑体_GBK" w:eastAsia="方正黑体_GBK" w:cs="方正黑体_GBK"/>
                <w:i w:val="0"/>
                <w:iCs w:val="0"/>
                <w:color w:val="000000"/>
                <w:sz w:val="18"/>
                <w:szCs w:val="18"/>
                <w:u w:val="none"/>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default" w:ascii="方正黑体_GBK" w:hAnsi="方正黑体_GBK" w:eastAsia="方正黑体_GBK" w:cs="方正黑体_GBK"/>
                <w:i w:val="0"/>
                <w:iCs w:val="0"/>
                <w:color w:val="000000"/>
                <w:sz w:val="18"/>
                <w:szCs w:val="18"/>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default" w:ascii="方正黑体_GBK" w:hAnsi="方正黑体_GBK" w:eastAsia="方正黑体_GBK" w:cs="方正黑体_GBK"/>
                <w:i w:val="0"/>
                <w:iCs w:val="0"/>
                <w:color w:val="000000"/>
                <w:sz w:val="18"/>
                <w:szCs w:val="18"/>
                <w:u w:val="none"/>
              </w:rPr>
            </w:pP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default" w:ascii="方正黑体_GBK" w:hAnsi="方正黑体_GBK" w:eastAsia="方正黑体_GBK" w:cs="方正黑体_GBK"/>
                <w:i w:val="0"/>
                <w:iCs w:val="0"/>
                <w:color w:val="000000"/>
                <w:sz w:val="18"/>
                <w:szCs w:val="18"/>
                <w:u w:val="none"/>
              </w:rPr>
            </w:pP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default" w:ascii="方正黑体_GBK" w:hAnsi="方正黑体_GBK" w:eastAsia="方正黑体_GBK" w:cs="方正黑体_GBK"/>
                <w:i w:val="0"/>
                <w:iCs w:val="0"/>
                <w:color w:val="000000"/>
                <w:sz w:val="18"/>
                <w:szCs w:val="18"/>
                <w:u w:val="none"/>
              </w:rPr>
            </w:pP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default" w:ascii="方正黑体_GBK" w:hAnsi="方正黑体_GBK" w:eastAsia="方正黑体_GBK" w:cs="方正黑体_GBK"/>
                <w:i w:val="0"/>
                <w:iCs w:val="0"/>
                <w:color w:val="000000"/>
                <w:sz w:val="18"/>
                <w:szCs w:val="18"/>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default" w:ascii="方正黑体_GBK" w:hAnsi="方正黑体_GBK" w:eastAsia="方正黑体_GBK" w:cs="方正黑体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28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仿宋_GBK" w:hAnsi="方正仿宋_GBK" w:eastAsia="方正仿宋_GBK" w:cs="方正仿宋_GBK"/>
                <w:b/>
                <w:bCs/>
                <w:i w:val="0"/>
                <w:iCs w:val="0"/>
                <w:color w:val="000000"/>
                <w:sz w:val="18"/>
                <w:szCs w:val="18"/>
                <w:u w:val="none"/>
              </w:rPr>
            </w:pPr>
            <w:r>
              <w:rPr>
                <w:rFonts w:hint="default" w:ascii="方正仿宋_GBK" w:hAnsi="方正仿宋_GBK" w:eastAsia="方正仿宋_GBK" w:cs="方正仿宋_GBK"/>
                <w:b/>
                <w:bCs/>
                <w:i w:val="0"/>
                <w:iCs w:val="0"/>
                <w:color w:val="000000"/>
                <w:kern w:val="0"/>
                <w:sz w:val="18"/>
                <w:szCs w:val="18"/>
                <w:u w:val="none"/>
                <w:lang w:val="en-US" w:eastAsia="zh-CN" w:bidi="ar"/>
              </w:rPr>
              <w:t>合计</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405.62</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405.62</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b/>
                <w:bCs/>
                <w:i w:val="0"/>
                <w:iCs w:val="0"/>
                <w:color w:val="000000"/>
                <w:sz w:val="18"/>
                <w:szCs w:val="18"/>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b/>
                <w:bCs/>
                <w:i w:val="0"/>
                <w:iCs w:val="0"/>
                <w:color w:val="000000"/>
                <w:sz w:val="18"/>
                <w:szCs w:val="18"/>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b/>
                <w:bCs/>
                <w:i w:val="0"/>
                <w:iCs w:val="0"/>
                <w:color w:val="000000"/>
                <w:sz w:val="18"/>
                <w:szCs w:val="18"/>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b/>
                <w:bCs/>
                <w:i w:val="0"/>
                <w:iCs w:val="0"/>
                <w:color w:val="000000"/>
                <w:sz w:val="18"/>
                <w:szCs w:val="18"/>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b/>
                <w:bCs/>
                <w:i w:val="0"/>
                <w:iCs w:val="0"/>
                <w:color w:val="000000"/>
                <w:sz w:val="18"/>
                <w:szCs w:val="18"/>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b/>
                <w:bCs/>
                <w:i w:val="0"/>
                <w:iCs w:val="0"/>
                <w:color w:val="000000"/>
                <w:sz w:val="18"/>
                <w:szCs w:val="18"/>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b/>
                <w:bCs/>
                <w:i w:val="0"/>
                <w:iCs w:val="0"/>
                <w:color w:val="000000"/>
                <w:sz w:val="18"/>
                <w:szCs w:val="18"/>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208</w:t>
            </w: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社会保障和就业支出</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23.12</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23.12</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20805</w:t>
            </w: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行政事业单位养老支出</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23.12</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23.12</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2080505</w:t>
            </w: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机关事业单位基本养老保险缴费支出</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10.09</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10.09</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2080506</w:t>
            </w: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机关事业单位职业年金缴费支出</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5.05</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5.05</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2080599</w:t>
            </w: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其他行政事业单位养老支出</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7.98</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7.98</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210</w:t>
            </w: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卫生健康支出</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9.29</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9.29</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21011</w:t>
            </w: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行政事业单位医疗</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9.29</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9.29</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2101102</w:t>
            </w: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事业单位医疗</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7.57</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7.57</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2101199</w:t>
            </w: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其他行政事业单位医疗支出</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1.72</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1.72</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213</w:t>
            </w: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农林水支出</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365.64</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365.64</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21301</w:t>
            </w: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农业农村</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133.50</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133.50</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2130104</w:t>
            </w: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事业运行</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133.50</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133.50</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21307</w:t>
            </w: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农村综合改革</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232.14</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232.14</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2130705</w:t>
            </w: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对村民委员会和村党支部的补助</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202.64</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202.64</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2130706</w:t>
            </w: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对村集体经济组织的补助</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29.50</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29.50</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221</w:t>
            </w: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住房保障支出</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7.57</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7.57</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22102</w:t>
            </w: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住房改革支出</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7.57</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7.57</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2210201</w:t>
            </w:r>
          </w:p>
        </w:tc>
        <w:tc>
          <w:tcPr>
            <w:tcW w:w="9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住房公积金</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7.57</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7.57</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r>
    </w:tbl>
    <w:p>
      <w:pPr>
        <w:keepNext w:val="0"/>
        <w:keepLines w:val="0"/>
        <w:pageBreakBefore w:val="0"/>
        <w:widowControl/>
        <w:kinsoku/>
        <w:wordWrap/>
        <w:overflowPunct/>
        <w:topLinePunct w:val="0"/>
        <w:autoSpaceDN/>
        <w:bidi w:val="0"/>
        <w:adjustRightInd/>
        <w:spacing w:line="600" w:lineRule="exact"/>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5"/>
        <w:keepNext w:val="0"/>
        <w:keepLines w:val="0"/>
        <w:pageBreakBefore w:val="0"/>
        <w:kinsoku/>
        <w:wordWrap/>
        <w:overflowPunct/>
        <w:topLinePunct w:val="0"/>
        <w:autoSpaceDN/>
        <w:bidi w:val="0"/>
        <w:adjustRightInd/>
        <w:spacing w:line="600" w:lineRule="exact"/>
        <w:rPr>
          <w:rFonts w:eastAsia="方正黑体_GBK"/>
          <w:sz w:val="32"/>
          <w:szCs w:val="32"/>
        </w:rPr>
      </w:pPr>
      <w:r>
        <w:rPr>
          <w:rFonts w:eastAsia="方正黑体_GBK"/>
          <w:sz w:val="32"/>
          <w:szCs w:val="32"/>
        </w:rPr>
        <w:t>附件8</w:t>
      </w:r>
    </w:p>
    <w:tbl>
      <w:tblPr>
        <w:tblStyle w:val="8"/>
        <w:tblW w:w="5000" w:type="pct"/>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37"/>
        <w:gridCol w:w="4183"/>
        <w:gridCol w:w="2679"/>
        <w:gridCol w:w="2593"/>
        <w:gridCol w:w="23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5"/>
            <w:vMerge w:val="restar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小标宋_GBK" w:hAnsi="方正小标宋_GBK" w:eastAsia="方正小标宋_GBK" w:cs="方正小标宋_GBK"/>
                <w:i w:val="0"/>
                <w:iCs w:val="0"/>
                <w:color w:val="000000"/>
                <w:sz w:val="38"/>
                <w:szCs w:val="38"/>
                <w:u w:val="none"/>
              </w:rPr>
            </w:pPr>
            <w:r>
              <w:rPr>
                <w:rFonts w:hint="default" w:ascii="方正小标宋_GBK" w:hAnsi="方正小标宋_GBK" w:eastAsia="方正小标宋_GBK" w:cs="方正小标宋_GBK"/>
                <w:i w:val="0"/>
                <w:iCs w:val="0"/>
                <w:color w:val="000000"/>
                <w:kern w:val="0"/>
                <w:sz w:val="36"/>
                <w:szCs w:val="36"/>
                <w:u w:val="none"/>
                <w:lang w:val="en-US" w:eastAsia="zh-CN" w:bidi="ar"/>
              </w:rPr>
              <w:t>重庆市潼南区五桂镇</w:t>
            </w:r>
            <w:r>
              <w:rPr>
                <w:rFonts w:hint="eastAsia" w:ascii="方正小标宋_GBK" w:hAnsi="方正小标宋_GBK" w:eastAsia="方正小标宋_GBK" w:cs="方正小标宋_GBK"/>
                <w:i w:val="0"/>
                <w:iCs w:val="0"/>
                <w:color w:val="000000"/>
                <w:kern w:val="0"/>
                <w:sz w:val="36"/>
                <w:szCs w:val="36"/>
                <w:u w:val="none"/>
                <w:lang w:val="en-US" w:eastAsia="zh-CN" w:bidi="ar"/>
              </w:rPr>
              <w:t>农业服务中心</w:t>
            </w:r>
            <w:r>
              <w:rPr>
                <w:rFonts w:hint="default" w:ascii="方正小标宋_GBK" w:hAnsi="方正小标宋_GBK" w:eastAsia="方正小标宋_GBK" w:cs="方正小标宋_GBK"/>
                <w:i w:val="0"/>
                <w:iCs w:val="0"/>
                <w:color w:val="000000"/>
                <w:kern w:val="0"/>
                <w:sz w:val="36"/>
                <w:szCs w:val="36"/>
                <w:u w:val="none"/>
                <w:lang w:val="en-US" w:eastAsia="zh-CN" w:bidi="ar"/>
              </w:rPr>
              <w:t>部门支出总表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00" w:type="pct"/>
            <w:gridSpan w:val="5"/>
            <w:vMerge w:val="continue"/>
            <w:tcBorders>
              <w:top w:val="nil"/>
              <w:left w:val="nil"/>
              <w:bottom w:val="nil"/>
              <w:right w:val="nil"/>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default" w:ascii="方正小标宋_GBK" w:hAnsi="方正小标宋_GBK" w:eastAsia="方正小标宋_GBK" w:cs="方正小标宋_GBK"/>
                <w:i w:val="0"/>
                <w:iCs w:val="0"/>
                <w:color w:val="000000"/>
                <w:sz w:val="38"/>
                <w:szCs w:val="3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000" w:type="pct"/>
            <w:gridSpan w:val="5"/>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ascii="方正楷体_GBK" w:hAnsi="方正楷体_GBK" w:eastAsia="方正楷体_GBK" w:cs="方正楷体_GBK"/>
                <w:i w:val="0"/>
                <w:iCs w:val="0"/>
                <w:color w:val="000000"/>
                <w:sz w:val="20"/>
                <w:szCs w:val="20"/>
                <w:u w:val="none"/>
              </w:rPr>
            </w:pPr>
            <w:r>
              <w:rPr>
                <w:rFonts w:hint="default" w:ascii="方正楷体_GBK" w:hAnsi="方正楷体_GBK" w:eastAsia="方正楷体_GBK" w:cs="方正楷体_GBK"/>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科目编码</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科目名称</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总计</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基本支出</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3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合计</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405.62</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173.48</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232.14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208</w:t>
            </w:r>
          </w:p>
        </w:tc>
        <w:tc>
          <w:tcPr>
            <w:tcW w:w="1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社会保障和就业支出</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23.12</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23.12</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Style w:val="41"/>
                <w:lang w:val="en-US" w:eastAsia="zh-CN" w:bidi="ar"/>
              </w:rPr>
              <w:t xml:space="preserve"> 20805</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Style w:val="41"/>
                <w:lang w:val="en-US" w:eastAsia="zh-CN" w:bidi="ar"/>
              </w:rPr>
              <w:t xml:space="preserve"> 行政事业单位养老支出</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23.12</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23.12</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Style w:val="41"/>
                <w:lang w:val="en-US" w:eastAsia="zh-CN" w:bidi="ar"/>
              </w:rPr>
              <w:t xml:space="preserve">  2080505</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Style w:val="41"/>
                <w:lang w:val="en-US" w:eastAsia="zh-CN" w:bidi="ar"/>
              </w:rPr>
              <w:t xml:space="preserve">  机关事业单位基本养老保险缴费支出</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10.09</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10.09</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Style w:val="41"/>
                <w:lang w:val="en-US" w:eastAsia="zh-CN" w:bidi="ar"/>
              </w:rPr>
              <w:t xml:space="preserve">  2080506</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Style w:val="41"/>
                <w:lang w:val="en-US" w:eastAsia="zh-CN" w:bidi="ar"/>
              </w:rPr>
              <w:t xml:space="preserve">  机关事业单位职业年金缴费支出</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5.05</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5.05</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Style w:val="41"/>
                <w:lang w:val="en-US" w:eastAsia="zh-CN" w:bidi="ar"/>
              </w:rPr>
              <w:t xml:space="preserve">  2080599</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Style w:val="41"/>
                <w:lang w:val="en-US" w:eastAsia="zh-CN" w:bidi="ar"/>
              </w:rPr>
              <w:t xml:space="preserve">  其他行政事业单位养老支出</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7.98</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7.98</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210</w:t>
            </w:r>
          </w:p>
        </w:tc>
        <w:tc>
          <w:tcPr>
            <w:tcW w:w="1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卫生健康支出</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9.29</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9.29</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Style w:val="41"/>
                <w:lang w:val="en-US" w:eastAsia="zh-CN" w:bidi="ar"/>
              </w:rPr>
              <w:t xml:space="preserve"> 21011</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Style w:val="41"/>
                <w:lang w:val="en-US" w:eastAsia="zh-CN" w:bidi="ar"/>
              </w:rPr>
              <w:t xml:space="preserve"> 行政事业单位医疗</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9.29</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9.29</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Style w:val="41"/>
                <w:lang w:val="en-US" w:eastAsia="zh-CN" w:bidi="ar"/>
              </w:rPr>
              <w:t xml:space="preserve">  2101102</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Style w:val="41"/>
                <w:lang w:val="en-US" w:eastAsia="zh-CN" w:bidi="ar"/>
              </w:rPr>
              <w:t xml:space="preserve">  事业单位医疗</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7.57</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7.57</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Style w:val="41"/>
                <w:lang w:val="en-US" w:eastAsia="zh-CN" w:bidi="ar"/>
              </w:rPr>
              <w:t xml:space="preserve">  2101199</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Style w:val="41"/>
                <w:lang w:val="en-US" w:eastAsia="zh-CN" w:bidi="ar"/>
              </w:rPr>
              <w:t xml:space="preserve">  其他行政事业单位医疗支出</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1.72</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1.72</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213</w:t>
            </w:r>
          </w:p>
        </w:tc>
        <w:tc>
          <w:tcPr>
            <w:tcW w:w="1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农林水支出</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365.64</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133.50</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Style w:val="41"/>
                <w:lang w:val="en-US" w:eastAsia="zh-CN" w:bidi="ar"/>
              </w:rPr>
              <w:t xml:space="preserve"> 21301</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Style w:val="41"/>
                <w:lang w:val="en-US" w:eastAsia="zh-CN" w:bidi="ar"/>
              </w:rPr>
              <w:t xml:space="preserve"> 农业农村</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133.50</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133.50</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Style w:val="41"/>
                <w:lang w:val="en-US" w:eastAsia="zh-CN" w:bidi="ar"/>
              </w:rPr>
              <w:t xml:space="preserve">  2130104</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Style w:val="41"/>
                <w:lang w:val="en-US" w:eastAsia="zh-CN" w:bidi="ar"/>
              </w:rPr>
              <w:t xml:space="preserve">  事业运行</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133.50</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133.50</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Style w:val="41"/>
                <w:lang w:val="en-US" w:eastAsia="zh-CN" w:bidi="ar"/>
              </w:rPr>
              <w:t xml:space="preserve"> 21307</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Style w:val="41"/>
                <w:lang w:val="en-US" w:eastAsia="zh-CN" w:bidi="ar"/>
              </w:rPr>
              <w:t xml:space="preserve"> 农村综合改革</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232.14</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Style w:val="41"/>
                <w:lang w:val="en-US" w:eastAsia="zh-CN" w:bidi="ar"/>
              </w:rPr>
              <w:t xml:space="preserve">  2130705</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Style w:val="41"/>
                <w:lang w:val="en-US" w:eastAsia="zh-CN" w:bidi="ar"/>
              </w:rPr>
              <w:t xml:space="preserve">  对村民委员会和村党支部的补助</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202.64</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Style w:val="41"/>
                <w:lang w:val="en-US" w:eastAsia="zh-CN" w:bidi="ar"/>
              </w:rPr>
              <w:t xml:space="preserve">  2130706</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Style w:val="41"/>
                <w:lang w:val="en-US" w:eastAsia="zh-CN" w:bidi="ar"/>
              </w:rPr>
              <w:t xml:space="preserve">  对村集体经济组织的补助</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29.50</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221</w:t>
            </w:r>
          </w:p>
        </w:tc>
        <w:tc>
          <w:tcPr>
            <w:tcW w:w="1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住房保障支出</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7.57</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7.57</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Style w:val="41"/>
                <w:lang w:val="en-US" w:eastAsia="zh-CN" w:bidi="ar"/>
              </w:rPr>
              <w:t xml:space="preserve"> 22102</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Style w:val="41"/>
                <w:lang w:val="en-US" w:eastAsia="zh-CN" w:bidi="ar"/>
              </w:rPr>
              <w:t xml:space="preserve"> 住房改革支出</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7.57</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7.57</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Style w:val="41"/>
                <w:lang w:val="en-US" w:eastAsia="zh-CN" w:bidi="ar"/>
              </w:rPr>
              <w:t xml:space="preserve">  2210201</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Style w:val="41"/>
                <w:lang w:val="en-US" w:eastAsia="zh-CN" w:bidi="ar"/>
              </w:rPr>
              <w:t xml:space="preserve">  住房公积金</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7.57</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7.57</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bl>
    <w:p>
      <w:pPr>
        <w:keepNext w:val="0"/>
        <w:keepLines w:val="0"/>
        <w:pageBreakBefore w:val="0"/>
        <w:widowControl/>
        <w:kinsoku/>
        <w:wordWrap/>
        <w:overflowPunct/>
        <w:topLinePunct w:val="0"/>
        <w:autoSpaceDN/>
        <w:bidi w:val="0"/>
        <w:adjustRightInd/>
        <w:spacing w:line="600" w:lineRule="exact"/>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5"/>
        <w:keepNext w:val="0"/>
        <w:keepLines w:val="0"/>
        <w:pageBreakBefore w:val="0"/>
        <w:kinsoku/>
        <w:wordWrap/>
        <w:overflowPunct/>
        <w:topLinePunct w:val="0"/>
        <w:autoSpaceDN/>
        <w:bidi w:val="0"/>
        <w:adjustRightInd/>
        <w:spacing w:line="600" w:lineRule="exact"/>
        <w:rPr>
          <w:rFonts w:eastAsia="方正黑体_GBK"/>
          <w:sz w:val="32"/>
          <w:szCs w:val="32"/>
        </w:rPr>
      </w:pPr>
      <w:r>
        <w:rPr>
          <w:rFonts w:eastAsia="方正黑体_GBK"/>
          <w:sz w:val="32"/>
          <w:szCs w:val="32"/>
        </w:rPr>
        <w:t>附件9</w:t>
      </w:r>
    </w:p>
    <w:tbl>
      <w:tblPr>
        <w:tblStyle w:val="8"/>
        <w:tblW w:w="13998" w:type="dxa"/>
        <w:jc w:val="center"/>
        <w:tblLayout w:type="fixed"/>
        <w:tblCellMar>
          <w:top w:w="0" w:type="dxa"/>
          <w:left w:w="108" w:type="dxa"/>
          <w:bottom w:w="0" w:type="dxa"/>
          <w:right w:w="108" w:type="dxa"/>
        </w:tblCellMar>
      </w:tblPr>
      <w:tblGrid>
        <w:gridCol w:w="1242"/>
        <w:gridCol w:w="1193"/>
        <w:gridCol w:w="1194"/>
        <w:gridCol w:w="1195"/>
        <w:gridCol w:w="1194"/>
        <w:gridCol w:w="1194"/>
        <w:gridCol w:w="1195"/>
        <w:gridCol w:w="1194"/>
        <w:gridCol w:w="1194"/>
        <w:gridCol w:w="1194"/>
        <w:gridCol w:w="1195"/>
        <w:gridCol w:w="814"/>
      </w:tblGrid>
      <w:tr>
        <w:tblPrEx>
          <w:tblCellMar>
            <w:top w:w="0" w:type="dxa"/>
            <w:left w:w="108" w:type="dxa"/>
            <w:bottom w:w="0" w:type="dxa"/>
            <w:right w:w="108" w:type="dxa"/>
          </w:tblCellMar>
        </w:tblPrEx>
        <w:trPr>
          <w:trHeight w:val="912" w:hRule="atLeast"/>
          <w:jc w:val="center"/>
        </w:trPr>
        <w:tc>
          <w:tcPr>
            <w:tcW w:w="13998" w:type="dxa"/>
            <w:gridSpan w:val="12"/>
            <w:tcBorders>
              <w:top w:val="nil"/>
              <w:left w:val="nil"/>
              <w:bottom w:val="nil"/>
              <w:right w:val="nil"/>
            </w:tcBorders>
            <w:vAlign w:val="center"/>
          </w:tcPr>
          <w:p>
            <w:pPr>
              <w:keepNext w:val="0"/>
              <w:keepLines w:val="0"/>
              <w:pageBreakBefore w:val="0"/>
              <w:kinsoku/>
              <w:wordWrap/>
              <w:overflowPunct/>
              <w:topLinePunct w:val="0"/>
              <w:autoSpaceDN/>
              <w:bidi w:val="0"/>
              <w:adjustRightInd/>
              <w:spacing w:line="600" w:lineRule="exact"/>
              <w:jc w:val="center"/>
              <w:rPr>
                <w:rFonts w:eastAsia="方正小标宋_GBK"/>
                <w:sz w:val="40"/>
                <w:szCs w:val="40"/>
              </w:rPr>
            </w:pPr>
            <w:r>
              <w:rPr>
                <w:rFonts w:eastAsia="方正小标宋_GBK"/>
                <w:sz w:val="36"/>
                <w:szCs w:val="36"/>
              </w:rPr>
              <w:t>重庆市潼南区</w:t>
            </w:r>
            <w:r>
              <w:rPr>
                <w:rFonts w:hint="eastAsia" w:eastAsia="方正小标宋_GBK"/>
                <w:sz w:val="36"/>
                <w:szCs w:val="36"/>
                <w:lang w:eastAsia="zh-CN"/>
              </w:rPr>
              <w:t>五桂镇</w:t>
            </w:r>
            <w:r>
              <w:rPr>
                <w:rFonts w:hint="eastAsia" w:ascii="方正小标宋_GBK" w:hAnsi="方正小标宋_GBK" w:eastAsia="方正小标宋_GBK" w:cs="方正小标宋_GBK"/>
                <w:i w:val="0"/>
                <w:iCs w:val="0"/>
                <w:color w:val="000000"/>
                <w:kern w:val="0"/>
                <w:sz w:val="36"/>
                <w:szCs w:val="36"/>
                <w:u w:val="none"/>
                <w:lang w:val="en-US" w:eastAsia="zh-CN" w:bidi="ar"/>
              </w:rPr>
              <w:t>农业服务中心</w:t>
            </w:r>
            <w:r>
              <w:rPr>
                <w:rFonts w:eastAsia="方正小标宋_GBK"/>
                <w:sz w:val="36"/>
                <w:szCs w:val="36"/>
              </w:rPr>
              <w:t>政府采购预算明细表</w:t>
            </w:r>
          </w:p>
        </w:tc>
      </w:tr>
      <w:tr>
        <w:tblPrEx>
          <w:tblCellMar>
            <w:top w:w="0" w:type="dxa"/>
            <w:left w:w="108" w:type="dxa"/>
            <w:bottom w:w="0" w:type="dxa"/>
            <w:right w:w="108" w:type="dxa"/>
          </w:tblCellMar>
        </w:tblPrEx>
        <w:trPr>
          <w:cantSplit/>
          <w:trHeight w:val="329" w:hRule="atLeast"/>
          <w:jc w:val="center"/>
        </w:trPr>
        <w:tc>
          <w:tcPr>
            <w:tcW w:w="13998" w:type="dxa"/>
            <w:gridSpan w:val="12"/>
            <w:tcBorders>
              <w:top w:val="nil"/>
              <w:left w:val="nil"/>
              <w:bottom w:val="nil"/>
              <w:right w:val="nil"/>
            </w:tcBorders>
            <w:vAlign w:val="center"/>
          </w:tcPr>
          <w:p>
            <w:pPr>
              <w:keepNext w:val="0"/>
              <w:keepLines w:val="0"/>
              <w:pageBreakBefore w:val="0"/>
              <w:widowControl/>
              <w:kinsoku/>
              <w:wordWrap/>
              <w:overflowPunct/>
              <w:topLinePunct w:val="0"/>
              <w:autoSpaceDN/>
              <w:bidi w:val="0"/>
              <w:adjustRightInd/>
              <w:spacing w:line="600" w:lineRule="exact"/>
              <w:jc w:val="right"/>
              <w:textAlignment w:val="center"/>
            </w:pPr>
            <w:r>
              <w:rPr>
                <w:kern w:val="0"/>
              </w:rPr>
              <w:t>单位：万元</w:t>
            </w:r>
          </w:p>
        </w:tc>
      </w:tr>
      <w:tr>
        <w:tblPrEx>
          <w:tblCellMar>
            <w:top w:w="0" w:type="dxa"/>
            <w:left w:w="108" w:type="dxa"/>
            <w:bottom w:w="0" w:type="dxa"/>
            <w:right w:w="108" w:type="dxa"/>
          </w:tblCellMar>
        </w:tblPrEx>
        <w:trPr>
          <w:trHeight w:val="862"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项目</w:t>
            </w:r>
          </w:p>
        </w:tc>
        <w:tc>
          <w:tcPr>
            <w:tcW w:w="119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总计</w:t>
            </w: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上年结转结余资金</w:t>
            </w: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一般公共预算拨款收入</w:t>
            </w: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政府性基金预算拨款收入</w:t>
            </w: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国有资本经营预算拨款收入</w:t>
            </w: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财政专户管理收入</w:t>
            </w: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事业收入</w:t>
            </w: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上级补助收入</w:t>
            </w: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附属单位上缴收入</w:t>
            </w: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事业单位经营收入</w:t>
            </w:r>
          </w:p>
        </w:tc>
        <w:tc>
          <w:tcPr>
            <w:tcW w:w="81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其他收入</w:t>
            </w:r>
          </w:p>
        </w:tc>
      </w:tr>
      <w:tr>
        <w:tblPrEx>
          <w:tblCellMar>
            <w:top w:w="0" w:type="dxa"/>
            <w:left w:w="108" w:type="dxa"/>
            <w:bottom w:w="0" w:type="dxa"/>
            <w:right w:w="108" w:type="dxa"/>
          </w:tblCellMar>
        </w:tblPrEx>
        <w:trPr>
          <w:trHeight w:val="90"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合计</w:t>
            </w:r>
          </w:p>
        </w:tc>
        <w:tc>
          <w:tcPr>
            <w:tcW w:w="119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81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货物类</w:t>
            </w:r>
          </w:p>
        </w:tc>
        <w:tc>
          <w:tcPr>
            <w:tcW w:w="119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81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工程类</w:t>
            </w:r>
          </w:p>
        </w:tc>
        <w:tc>
          <w:tcPr>
            <w:tcW w:w="119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81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服务类</w:t>
            </w:r>
          </w:p>
        </w:tc>
        <w:tc>
          <w:tcPr>
            <w:tcW w:w="119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81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r>
    </w:tbl>
    <w:p>
      <w:pPr>
        <w:pStyle w:val="5"/>
        <w:keepNext w:val="0"/>
        <w:keepLines w:val="0"/>
        <w:pageBreakBefore w:val="0"/>
        <w:kinsoku/>
        <w:wordWrap/>
        <w:overflowPunct/>
        <w:topLinePunct w:val="0"/>
        <w:autoSpaceDN/>
        <w:bidi w:val="0"/>
        <w:adjustRightInd/>
        <w:spacing w:line="600" w:lineRule="exact"/>
        <w:rPr>
          <w:rFonts w:eastAsia="仿宋_GB2312"/>
          <w:sz w:val="20"/>
          <w:szCs w:val="20"/>
        </w:rPr>
      </w:pPr>
      <w:r>
        <w:rPr>
          <w:rFonts w:eastAsia="仿宋_GB2312"/>
          <w:sz w:val="20"/>
          <w:szCs w:val="20"/>
        </w:rPr>
        <w:t xml:space="preserve"> </w:t>
      </w:r>
    </w:p>
    <w:p>
      <w:pPr>
        <w:pStyle w:val="5"/>
        <w:keepNext w:val="0"/>
        <w:keepLines w:val="0"/>
        <w:pageBreakBefore w:val="0"/>
        <w:kinsoku/>
        <w:wordWrap/>
        <w:overflowPunct/>
        <w:topLinePunct w:val="0"/>
        <w:autoSpaceDN/>
        <w:bidi w:val="0"/>
        <w:adjustRightInd/>
        <w:spacing w:line="600" w:lineRule="exact"/>
        <w:rPr>
          <w:rFonts w:eastAsia="仿宋_GB2312"/>
          <w:sz w:val="20"/>
          <w:szCs w:val="20"/>
        </w:rPr>
      </w:pPr>
      <w:r>
        <w:rPr>
          <w:rFonts w:eastAsia="仿宋_GB2312"/>
          <w:sz w:val="20"/>
          <w:szCs w:val="20"/>
        </w:rPr>
        <w:t xml:space="preserve"> </w:t>
      </w:r>
    </w:p>
    <w:p>
      <w:pPr>
        <w:pStyle w:val="5"/>
        <w:keepNext w:val="0"/>
        <w:keepLines w:val="0"/>
        <w:pageBreakBefore w:val="0"/>
        <w:kinsoku/>
        <w:wordWrap/>
        <w:overflowPunct/>
        <w:topLinePunct w:val="0"/>
        <w:autoSpaceDN/>
        <w:bidi w:val="0"/>
        <w:adjustRightInd/>
        <w:spacing w:line="600" w:lineRule="exact"/>
        <w:rPr>
          <w:rFonts w:eastAsia="仿宋_GB2312"/>
          <w:sz w:val="20"/>
          <w:szCs w:val="20"/>
        </w:rPr>
      </w:pPr>
      <w:r>
        <w:rPr>
          <w:rFonts w:eastAsia="仿宋_GB2312"/>
          <w:sz w:val="20"/>
          <w:szCs w:val="20"/>
        </w:rPr>
        <w:t xml:space="preserve"> </w:t>
      </w:r>
    </w:p>
    <w:p>
      <w:pPr>
        <w:pStyle w:val="5"/>
        <w:keepNext w:val="0"/>
        <w:keepLines w:val="0"/>
        <w:pageBreakBefore w:val="0"/>
        <w:kinsoku/>
        <w:wordWrap/>
        <w:overflowPunct/>
        <w:topLinePunct w:val="0"/>
        <w:autoSpaceDN/>
        <w:bidi w:val="0"/>
        <w:adjustRightInd/>
        <w:spacing w:line="600" w:lineRule="exact"/>
        <w:rPr>
          <w:rFonts w:eastAsia="仿宋_GB2312"/>
          <w:sz w:val="20"/>
          <w:szCs w:val="20"/>
        </w:rPr>
      </w:pPr>
      <w:r>
        <w:rPr>
          <w:rFonts w:eastAsia="仿宋_GB2312"/>
          <w:sz w:val="20"/>
          <w:szCs w:val="20"/>
        </w:rPr>
        <w:t xml:space="preserve"> </w:t>
      </w:r>
    </w:p>
    <w:p>
      <w:pPr>
        <w:pStyle w:val="5"/>
        <w:keepNext w:val="0"/>
        <w:keepLines w:val="0"/>
        <w:pageBreakBefore w:val="0"/>
        <w:kinsoku/>
        <w:wordWrap/>
        <w:overflowPunct/>
        <w:topLinePunct w:val="0"/>
        <w:autoSpaceDN/>
        <w:bidi w:val="0"/>
        <w:adjustRightInd/>
        <w:spacing w:line="600" w:lineRule="exact"/>
        <w:rPr>
          <w:rFonts w:eastAsia="仿宋_GB2312"/>
          <w:sz w:val="20"/>
          <w:szCs w:val="20"/>
        </w:rPr>
      </w:pPr>
      <w:r>
        <w:rPr>
          <w:rFonts w:eastAsia="仿宋_GB2312"/>
          <w:sz w:val="20"/>
          <w:szCs w:val="20"/>
        </w:rPr>
        <w:t xml:space="preserve"> </w:t>
      </w:r>
    </w:p>
    <w:p>
      <w:pPr>
        <w:pStyle w:val="5"/>
        <w:keepNext w:val="0"/>
        <w:keepLines w:val="0"/>
        <w:pageBreakBefore w:val="0"/>
        <w:kinsoku/>
        <w:wordWrap/>
        <w:overflowPunct/>
        <w:topLinePunct w:val="0"/>
        <w:autoSpaceDN/>
        <w:bidi w:val="0"/>
        <w:adjustRightInd/>
        <w:spacing w:line="600" w:lineRule="exact"/>
        <w:rPr>
          <w:rFonts w:eastAsia="仿宋_GB2312"/>
          <w:sz w:val="20"/>
          <w:szCs w:val="20"/>
        </w:rPr>
      </w:pPr>
      <w:r>
        <w:rPr>
          <w:rFonts w:eastAsia="仿宋_GB2312"/>
          <w:sz w:val="20"/>
          <w:szCs w:val="20"/>
        </w:rPr>
        <w:t xml:space="preserve"> </w:t>
      </w:r>
    </w:p>
    <w:p>
      <w:pPr>
        <w:pStyle w:val="5"/>
        <w:keepNext w:val="0"/>
        <w:keepLines w:val="0"/>
        <w:pageBreakBefore w:val="0"/>
        <w:kinsoku/>
        <w:wordWrap/>
        <w:overflowPunct/>
        <w:topLinePunct w:val="0"/>
        <w:autoSpaceDN/>
        <w:bidi w:val="0"/>
        <w:adjustRightInd/>
        <w:spacing w:line="600" w:lineRule="exact"/>
        <w:rPr>
          <w:rFonts w:eastAsia="仿宋_GB2312"/>
          <w:sz w:val="20"/>
          <w:szCs w:val="20"/>
        </w:rPr>
      </w:pPr>
      <w:r>
        <w:rPr>
          <w:rFonts w:eastAsia="仿宋_GB2312"/>
          <w:sz w:val="20"/>
          <w:szCs w:val="20"/>
        </w:rPr>
        <w:t xml:space="preserve"> </w:t>
      </w:r>
    </w:p>
    <w:p>
      <w:pPr>
        <w:pStyle w:val="5"/>
        <w:keepNext w:val="0"/>
        <w:keepLines w:val="0"/>
        <w:pageBreakBefore w:val="0"/>
        <w:kinsoku/>
        <w:wordWrap/>
        <w:overflowPunct/>
        <w:topLinePunct w:val="0"/>
        <w:autoSpaceDN/>
        <w:bidi w:val="0"/>
        <w:adjustRightInd/>
        <w:spacing w:line="600" w:lineRule="exact"/>
        <w:rPr>
          <w:rFonts w:eastAsia="仿宋_GB2312"/>
          <w:sz w:val="20"/>
          <w:szCs w:val="20"/>
        </w:rPr>
      </w:pPr>
      <w:r>
        <w:rPr>
          <w:rFonts w:eastAsia="仿宋_GB2312"/>
          <w:sz w:val="20"/>
          <w:szCs w:val="20"/>
        </w:rPr>
        <w:t xml:space="preserve"> </w:t>
      </w:r>
    </w:p>
    <w:p>
      <w:pPr>
        <w:pStyle w:val="5"/>
        <w:keepNext w:val="0"/>
        <w:keepLines w:val="0"/>
        <w:pageBreakBefore w:val="0"/>
        <w:kinsoku/>
        <w:wordWrap/>
        <w:overflowPunct/>
        <w:topLinePunct w:val="0"/>
        <w:autoSpaceDN/>
        <w:bidi w:val="0"/>
        <w:adjustRightInd/>
        <w:spacing w:line="600" w:lineRule="exact"/>
        <w:rPr>
          <w:rFonts w:eastAsia="仿宋_GB2312"/>
          <w:sz w:val="20"/>
          <w:szCs w:val="20"/>
        </w:rPr>
      </w:pPr>
      <w:r>
        <w:rPr>
          <w:rFonts w:eastAsia="仿宋_GB2312"/>
          <w:sz w:val="20"/>
          <w:szCs w:val="20"/>
        </w:rPr>
        <w:t xml:space="preserve"> </w:t>
      </w:r>
    </w:p>
    <w:p>
      <w:pPr>
        <w:pStyle w:val="5"/>
        <w:keepNext w:val="0"/>
        <w:keepLines w:val="0"/>
        <w:pageBreakBefore w:val="0"/>
        <w:kinsoku/>
        <w:wordWrap/>
        <w:overflowPunct/>
        <w:topLinePunct w:val="0"/>
        <w:autoSpaceDN/>
        <w:bidi w:val="0"/>
        <w:adjustRightInd/>
        <w:spacing w:line="600" w:lineRule="exact"/>
        <w:rPr>
          <w:rFonts w:eastAsia="仿宋_GB2312"/>
          <w:sz w:val="20"/>
          <w:szCs w:val="20"/>
        </w:rPr>
      </w:pPr>
      <w:r>
        <w:rPr>
          <w:rFonts w:eastAsia="仿宋_GB2312"/>
          <w:sz w:val="20"/>
          <w:szCs w:val="20"/>
        </w:rPr>
        <w:t xml:space="preserve"> </w:t>
      </w:r>
    </w:p>
    <w:p>
      <w:pPr>
        <w:pStyle w:val="5"/>
        <w:keepNext w:val="0"/>
        <w:keepLines w:val="0"/>
        <w:pageBreakBefore w:val="0"/>
        <w:kinsoku/>
        <w:wordWrap/>
        <w:overflowPunct/>
        <w:topLinePunct w:val="0"/>
        <w:autoSpaceDN/>
        <w:bidi w:val="0"/>
        <w:adjustRightInd/>
        <w:spacing w:line="600" w:lineRule="exact"/>
        <w:rPr>
          <w:rFonts w:eastAsia="仿宋_GB2312"/>
          <w:sz w:val="20"/>
          <w:szCs w:val="20"/>
        </w:rPr>
      </w:pPr>
      <w:r>
        <w:rPr>
          <w:rFonts w:eastAsia="仿宋_GB2312"/>
          <w:sz w:val="20"/>
          <w:szCs w:val="20"/>
        </w:rPr>
        <w:t xml:space="preserve"> </w:t>
      </w:r>
    </w:p>
    <w:p>
      <w:pPr>
        <w:pStyle w:val="5"/>
        <w:keepNext w:val="0"/>
        <w:keepLines w:val="0"/>
        <w:pageBreakBefore w:val="0"/>
        <w:kinsoku/>
        <w:wordWrap/>
        <w:overflowPunct/>
        <w:topLinePunct w:val="0"/>
        <w:autoSpaceDN/>
        <w:bidi w:val="0"/>
        <w:adjustRightInd/>
        <w:spacing w:line="600" w:lineRule="exact"/>
        <w:rPr>
          <w:rFonts w:eastAsia="仿宋_GB2312"/>
          <w:sz w:val="20"/>
          <w:szCs w:val="20"/>
        </w:rPr>
      </w:pPr>
      <w:r>
        <w:rPr>
          <w:rFonts w:eastAsia="仿宋_GB2312"/>
          <w:sz w:val="20"/>
          <w:szCs w:val="20"/>
        </w:rPr>
        <w:br w:type="page"/>
      </w:r>
      <w:r>
        <w:rPr>
          <w:rFonts w:eastAsia="方正黑体_GBK"/>
          <w:sz w:val="32"/>
          <w:szCs w:val="32"/>
        </w:rPr>
        <w:t>附件10</w:t>
      </w:r>
      <w:r>
        <w:rPr>
          <w:rFonts w:eastAsia="仿宋_GB2312"/>
          <w:sz w:val="20"/>
          <w:szCs w:val="20"/>
        </w:rPr>
        <w:t xml:space="preserve"> </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5"/>
        <w:gridCol w:w="2075"/>
        <w:gridCol w:w="4771"/>
        <w:gridCol w:w="756"/>
        <w:gridCol w:w="508"/>
        <w:gridCol w:w="845"/>
        <w:gridCol w:w="845"/>
        <w:gridCol w:w="964"/>
        <w:gridCol w:w="509"/>
        <w:gridCol w:w="958"/>
        <w:gridCol w:w="734"/>
        <w:gridCol w:w="7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1" w:hRule="atLeast"/>
        </w:trPr>
        <w:tc>
          <w:tcPr>
            <w:tcW w:w="5000" w:type="pct"/>
            <w:gridSpan w:val="1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黑体" w:hAnsi="宋体" w:eastAsia="黑体" w:cs="黑体"/>
                <w:i w:val="0"/>
                <w:iCs w:val="0"/>
                <w:color w:val="000000"/>
                <w:sz w:val="30"/>
                <w:szCs w:val="30"/>
                <w:u w:val="none"/>
              </w:rPr>
            </w:pPr>
            <w:r>
              <w:rPr>
                <w:rFonts w:eastAsia="方正小标宋_GBK"/>
                <w:sz w:val="36"/>
                <w:szCs w:val="36"/>
              </w:rPr>
              <w:t>重庆市潼南区</w:t>
            </w:r>
            <w:r>
              <w:rPr>
                <w:rFonts w:hint="eastAsia" w:eastAsia="方正小标宋_GBK"/>
                <w:sz w:val="36"/>
                <w:szCs w:val="36"/>
                <w:lang w:eastAsia="zh-CN"/>
              </w:rPr>
              <w:t>五桂镇</w:t>
            </w:r>
            <w:r>
              <w:rPr>
                <w:rFonts w:hint="eastAsia" w:ascii="方正小标宋_GBK" w:hAnsi="方正小标宋_GBK" w:eastAsia="方正小标宋_GBK" w:cs="方正小标宋_GBK"/>
                <w:i w:val="0"/>
                <w:iCs w:val="0"/>
                <w:color w:val="000000"/>
                <w:kern w:val="0"/>
                <w:sz w:val="36"/>
                <w:szCs w:val="36"/>
                <w:u w:val="none"/>
                <w:lang w:val="en-US" w:eastAsia="zh-CN" w:bidi="ar"/>
              </w:rPr>
              <w:t>农业服务中心</w:t>
            </w:r>
            <w:r>
              <w:rPr>
                <w:rFonts w:eastAsia="方正小标宋_GBK"/>
                <w:sz w:val="36"/>
                <w:szCs w:val="36"/>
              </w:rPr>
              <w:t>项目支出明细表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00" w:type="pct"/>
            <w:gridSpan w:val="1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78" w:type="pct"/>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序号</w:t>
            </w:r>
          </w:p>
        </w:tc>
        <w:tc>
          <w:tcPr>
            <w:tcW w:w="730" w:type="pct"/>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预算单位</w:t>
            </w:r>
          </w:p>
        </w:tc>
        <w:tc>
          <w:tcPr>
            <w:tcW w:w="1678" w:type="pct"/>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项目名称</w:t>
            </w:r>
          </w:p>
        </w:tc>
        <w:tc>
          <w:tcPr>
            <w:tcW w:w="265" w:type="pct"/>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合计</w:t>
            </w:r>
          </w:p>
        </w:tc>
        <w:tc>
          <w:tcPr>
            <w:tcW w:w="1112" w:type="pct"/>
            <w:gridSpan w:val="4"/>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年初特定目标</w:t>
            </w:r>
          </w:p>
        </w:tc>
        <w:tc>
          <w:tcPr>
            <w:tcW w:w="1033" w:type="pct"/>
            <w:gridSpan w:val="4"/>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上级专项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78" w:type="pct"/>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b/>
                <w:bCs/>
                <w:i w:val="0"/>
                <w:iCs w:val="0"/>
                <w:color w:val="000000"/>
                <w:sz w:val="18"/>
                <w:szCs w:val="18"/>
                <w:u w:val="none"/>
              </w:rPr>
            </w:pPr>
          </w:p>
        </w:tc>
        <w:tc>
          <w:tcPr>
            <w:tcW w:w="730" w:type="pct"/>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b/>
                <w:bCs/>
                <w:i w:val="0"/>
                <w:iCs w:val="0"/>
                <w:color w:val="000000"/>
                <w:sz w:val="18"/>
                <w:szCs w:val="18"/>
                <w:u w:val="none"/>
              </w:rPr>
            </w:pPr>
          </w:p>
        </w:tc>
        <w:tc>
          <w:tcPr>
            <w:tcW w:w="1678" w:type="pct"/>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b/>
                <w:bCs/>
                <w:i w:val="0"/>
                <w:iCs w:val="0"/>
                <w:color w:val="000000"/>
                <w:sz w:val="18"/>
                <w:szCs w:val="18"/>
                <w:u w:val="none"/>
              </w:rPr>
            </w:pPr>
          </w:p>
        </w:tc>
        <w:tc>
          <w:tcPr>
            <w:tcW w:w="265" w:type="pct"/>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b/>
                <w:bCs/>
                <w:i w:val="0"/>
                <w:iCs w:val="0"/>
                <w:color w:val="000000"/>
                <w:sz w:val="18"/>
                <w:szCs w:val="18"/>
                <w:u w:val="none"/>
              </w:rPr>
            </w:pPr>
          </w:p>
        </w:tc>
        <w:tc>
          <w:tcPr>
            <w:tcW w:w="179" w:type="pc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小计</w:t>
            </w:r>
          </w:p>
        </w:tc>
        <w:tc>
          <w:tcPr>
            <w:tcW w:w="297" w:type="pc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人员性项目</w:t>
            </w:r>
          </w:p>
        </w:tc>
        <w:tc>
          <w:tcPr>
            <w:tcW w:w="297" w:type="pc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一般性项目</w:t>
            </w:r>
          </w:p>
        </w:tc>
        <w:tc>
          <w:tcPr>
            <w:tcW w:w="337" w:type="pc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民生配套项目</w:t>
            </w:r>
          </w:p>
        </w:tc>
        <w:tc>
          <w:tcPr>
            <w:tcW w:w="179" w:type="pc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小计</w:t>
            </w:r>
          </w:p>
        </w:tc>
        <w:tc>
          <w:tcPr>
            <w:tcW w:w="337" w:type="pc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提前下达专项</w:t>
            </w:r>
          </w:p>
        </w:tc>
        <w:tc>
          <w:tcPr>
            <w:tcW w:w="258" w:type="pc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结转项目</w:t>
            </w:r>
          </w:p>
        </w:tc>
        <w:tc>
          <w:tcPr>
            <w:tcW w:w="258" w:type="pc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市级专项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1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232.14</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813002-潼南区五桂农业服务中心</w:t>
            </w:r>
          </w:p>
        </w:tc>
        <w:tc>
          <w:tcPr>
            <w:tcW w:w="1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50015224T000004237582-五桂镇本土人才补助（常年性项目</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25.00</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813002-潼南区五桂农业服务中心</w:t>
            </w:r>
          </w:p>
        </w:tc>
        <w:tc>
          <w:tcPr>
            <w:tcW w:w="1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50015224T000004237765-五桂镇村社误工补助（常年性项目）（常年性项目）</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130.00</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813002-潼南区五桂农业服务中心</w:t>
            </w:r>
          </w:p>
        </w:tc>
        <w:tc>
          <w:tcPr>
            <w:tcW w:w="1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50015224T000004237822-五桂镇村居五险（常年性项目）</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25.00</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813002-潼南区五桂农业服务中心</w:t>
            </w:r>
          </w:p>
        </w:tc>
        <w:tc>
          <w:tcPr>
            <w:tcW w:w="1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50015224T000004237837-五桂镇村级运转及服务群众经费（常年性项目）</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29.50</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813002-潼南区五桂农业服务中心</w:t>
            </w:r>
          </w:p>
        </w:tc>
        <w:tc>
          <w:tcPr>
            <w:tcW w:w="1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50015224T000004237870-五桂镇交通劝导员补助（常年性项目）</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2.64</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813002-潼南区五桂农业服务中心</w:t>
            </w:r>
          </w:p>
        </w:tc>
        <w:tc>
          <w:tcPr>
            <w:tcW w:w="1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50015224T000004237888-五桂镇老党员补助（常年性项目）</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813002-潼南区五桂农业服务中心</w:t>
            </w:r>
          </w:p>
        </w:tc>
        <w:tc>
          <w:tcPr>
            <w:tcW w:w="16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50015224T000004237899-五桂镇离任村干补助（常年性项目）</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r>
    </w:tbl>
    <w:p>
      <w:pPr>
        <w:keepNext w:val="0"/>
        <w:keepLines w:val="0"/>
        <w:pageBreakBefore w:val="0"/>
        <w:widowControl/>
        <w:kinsoku/>
        <w:wordWrap/>
        <w:overflowPunct/>
        <w:topLinePunct w:val="0"/>
        <w:autoSpaceDN/>
        <w:bidi w:val="0"/>
        <w:adjustRightInd/>
        <w:spacing w:line="600" w:lineRule="exact"/>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5"/>
        <w:keepNext w:val="0"/>
        <w:keepLines w:val="0"/>
        <w:pageBreakBefore w:val="0"/>
        <w:kinsoku/>
        <w:wordWrap/>
        <w:overflowPunct/>
        <w:topLinePunct w:val="0"/>
        <w:autoSpaceDN/>
        <w:bidi w:val="0"/>
        <w:adjustRightInd/>
        <w:spacing w:line="600" w:lineRule="exact"/>
        <w:rPr>
          <w:rFonts w:eastAsia="方正黑体_GBK"/>
          <w:sz w:val="32"/>
          <w:szCs w:val="32"/>
        </w:rPr>
      </w:pPr>
      <w:r>
        <w:rPr>
          <w:rFonts w:eastAsia="方正黑体_GBK"/>
          <w:sz w:val="32"/>
          <w:szCs w:val="32"/>
        </w:rPr>
        <w:t>附件11</w:t>
      </w:r>
    </w:p>
    <w:tbl>
      <w:tblPr>
        <w:tblStyle w:val="8"/>
        <w:tblW w:w="14174" w:type="dxa"/>
        <w:jc w:val="center"/>
        <w:tblLayout w:type="fixed"/>
        <w:tblCellMar>
          <w:top w:w="0" w:type="dxa"/>
          <w:left w:w="108" w:type="dxa"/>
          <w:bottom w:w="0" w:type="dxa"/>
          <w:right w:w="108" w:type="dxa"/>
        </w:tblCellMar>
      </w:tblPr>
      <w:tblGrid>
        <w:gridCol w:w="3227"/>
        <w:gridCol w:w="3922"/>
        <w:gridCol w:w="1633"/>
        <w:gridCol w:w="2291"/>
        <w:gridCol w:w="1599"/>
        <w:gridCol w:w="1502"/>
      </w:tblGrid>
      <w:tr>
        <w:tblPrEx>
          <w:tblCellMar>
            <w:top w:w="0" w:type="dxa"/>
            <w:left w:w="108" w:type="dxa"/>
            <w:bottom w:w="0" w:type="dxa"/>
            <w:right w:w="108" w:type="dxa"/>
          </w:tblCellMar>
        </w:tblPrEx>
        <w:trPr>
          <w:trHeight w:val="620" w:hRule="atLeast"/>
          <w:jc w:val="center"/>
        </w:trPr>
        <w:tc>
          <w:tcPr>
            <w:tcW w:w="14174" w:type="dxa"/>
            <w:gridSpan w:val="6"/>
            <w:tcBorders>
              <w:top w:val="nil"/>
              <w:left w:val="nil"/>
              <w:bottom w:val="nil"/>
              <w:right w:val="nil"/>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Times New Roman" w:hAnsi="Times New Roman" w:eastAsia="仿宋_GB2312" w:cs="Times New Roman"/>
                <w:sz w:val="40"/>
                <w:szCs w:val="40"/>
              </w:rPr>
            </w:pPr>
            <w:r>
              <w:rPr>
                <w:rFonts w:hint="default" w:ascii="Times New Roman" w:hAnsi="Times New Roman" w:eastAsia="方正小标宋_GBK" w:cs="Times New Roman"/>
                <w:kern w:val="0"/>
                <w:sz w:val="40"/>
                <w:szCs w:val="40"/>
              </w:rPr>
              <w:t>重庆市潼南区</w:t>
            </w:r>
            <w:r>
              <w:rPr>
                <w:rFonts w:hint="eastAsia" w:eastAsia="方正小标宋_GBK" w:cs="Times New Roman"/>
                <w:kern w:val="0"/>
                <w:sz w:val="40"/>
                <w:szCs w:val="40"/>
                <w:lang w:eastAsia="zh-CN"/>
              </w:rPr>
              <w:t>五桂镇</w:t>
            </w:r>
            <w:r>
              <w:rPr>
                <w:rFonts w:hint="eastAsia" w:ascii="方正小标宋_GBK" w:hAnsi="方正小标宋_GBK" w:eastAsia="方正小标宋_GBK" w:cs="方正小标宋_GBK"/>
                <w:i w:val="0"/>
                <w:iCs w:val="0"/>
                <w:color w:val="000000"/>
                <w:kern w:val="0"/>
                <w:sz w:val="36"/>
                <w:szCs w:val="36"/>
                <w:u w:val="none"/>
                <w:lang w:val="en-US" w:eastAsia="zh-CN" w:bidi="ar"/>
              </w:rPr>
              <w:t>农业服务中心</w:t>
            </w:r>
            <w:r>
              <w:rPr>
                <w:rFonts w:hint="default" w:ascii="Times New Roman" w:hAnsi="Times New Roman" w:eastAsia="方正小标宋_GBK" w:cs="Times New Roman"/>
                <w:kern w:val="0"/>
                <w:sz w:val="40"/>
                <w:szCs w:val="40"/>
              </w:rPr>
              <w:t>整体绩效目标表</w:t>
            </w:r>
          </w:p>
        </w:tc>
      </w:tr>
      <w:tr>
        <w:tblPrEx>
          <w:tblCellMar>
            <w:top w:w="0" w:type="dxa"/>
            <w:left w:w="108" w:type="dxa"/>
            <w:bottom w:w="0" w:type="dxa"/>
            <w:right w:w="108" w:type="dxa"/>
          </w:tblCellMar>
        </w:tblPrEx>
        <w:trPr>
          <w:trHeight w:val="340" w:hRule="atLeast"/>
          <w:jc w:val="center"/>
        </w:trPr>
        <w:tc>
          <w:tcPr>
            <w:tcW w:w="14174" w:type="dxa"/>
            <w:gridSpan w:val="6"/>
            <w:tcBorders>
              <w:top w:val="nil"/>
              <w:left w:val="nil"/>
              <w:bottom w:val="nil"/>
              <w:right w:val="nil"/>
            </w:tcBorders>
            <w:vAlign w:val="center"/>
          </w:tcPr>
          <w:p>
            <w:pPr>
              <w:keepNext w:val="0"/>
              <w:keepLines w:val="0"/>
              <w:pageBreakBefore w:val="0"/>
              <w:widowControl/>
              <w:kinsoku/>
              <w:wordWrap/>
              <w:overflowPunct/>
              <w:topLinePunct w:val="0"/>
              <w:autoSpaceDN/>
              <w:bidi w:val="0"/>
              <w:adjustRightInd/>
              <w:spacing w:line="600" w:lineRule="exact"/>
              <w:jc w:val="right"/>
              <w:textAlignment w:val="center"/>
              <w:rPr>
                <w:rFonts w:hint="default" w:ascii="Times New Roman" w:hAnsi="Times New Roman" w:cs="Times New Roman"/>
              </w:rPr>
            </w:pPr>
            <w:r>
              <w:rPr>
                <w:rFonts w:hint="default" w:ascii="Times New Roman" w:hAnsi="Times New Roman" w:cs="Times New Roman"/>
                <w:kern w:val="0"/>
              </w:rPr>
              <w:t>单位：万元</w:t>
            </w:r>
          </w:p>
        </w:tc>
      </w:tr>
      <w:tr>
        <w:tblPrEx>
          <w:tblCellMar>
            <w:top w:w="0" w:type="dxa"/>
            <w:left w:w="108" w:type="dxa"/>
            <w:bottom w:w="0" w:type="dxa"/>
            <w:right w:w="108" w:type="dxa"/>
          </w:tblCellMar>
        </w:tblPrEx>
        <w:trPr>
          <w:trHeight w:val="613" w:hRule="atLeast"/>
          <w:jc w:val="center"/>
        </w:trPr>
        <w:tc>
          <w:tcPr>
            <w:tcW w:w="3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Times New Roman" w:hAnsi="Times New Roman" w:cs="Times New Roman"/>
              </w:rPr>
            </w:pPr>
            <w:r>
              <w:rPr>
                <w:rFonts w:hint="default" w:ascii="Times New Roman" w:hAnsi="Times New Roman" w:cs="Times New Roman"/>
                <w:kern w:val="0"/>
              </w:rPr>
              <w:t>部门(单位)名称</w:t>
            </w:r>
          </w:p>
        </w:tc>
        <w:tc>
          <w:tcPr>
            <w:tcW w:w="5555"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eastAsia" w:ascii="Times New Roman" w:hAnsi="Times New Roman" w:eastAsia="宋体" w:cs="Times New Roman"/>
                <w:lang w:eastAsia="zh-CN"/>
              </w:rPr>
            </w:pPr>
            <w:r>
              <w:rPr>
                <w:rFonts w:hint="eastAsia" w:cs="Times New Roman"/>
                <w:lang w:eastAsia="zh-CN"/>
              </w:rPr>
              <w:t>重庆市潼南区五桂镇</w:t>
            </w:r>
            <w:r>
              <w:rPr>
                <w:rFonts w:hint="eastAsia" w:cs="Times New Roman"/>
                <w:lang w:val="en-US" w:eastAsia="zh-CN"/>
              </w:rPr>
              <w:t>农业服务中心</w:t>
            </w:r>
          </w:p>
        </w:tc>
        <w:tc>
          <w:tcPr>
            <w:tcW w:w="2291"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Times New Roman" w:hAnsi="Times New Roman" w:cs="Times New Roman"/>
              </w:rPr>
            </w:pPr>
            <w:r>
              <w:rPr>
                <w:rFonts w:hint="default" w:ascii="Times New Roman" w:hAnsi="Times New Roman" w:cs="Times New Roman"/>
                <w:kern w:val="0"/>
              </w:rPr>
              <w:t>部门支出预算数</w:t>
            </w:r>
          </w:p>
        </w:tc>
        <w:tc>
          <w:tcPr>
            <w:tcW w:w="3101"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Times New Roman" w:hAnsi="Times New Roman" w:cs="Times New Roman"/>
              </w:rPr>
            </w:pPr>
            <w:r>
              <w:rPr>
                <w:rFonts w:hint="eastAsia" w:cs="Times New Roman"/>
                <w:kern w:val="0"/>
                <w:lang w:val="en-US" w:eastAsia="zh-CN"/>
              </w:rPr>
              <w:t>405.62</w:t>
            </w:r>
            <w:r>
              <w:rPr>
                <w:rFonts w:hint="default" w:ascii="Times New Roman" w:hAnsi="Times New Roman" w:cs="Times New Roman"/>
                <w:kern w:val="0"/>
              </w:rPr>
              <w:t> </w:t>
            </w:r>
          </w:p>
        </w:tc>
      </w:tr>
      <w:tr>
        <w:tblPrEx>
          <w:tblCellMar>
            <w:top w:w="0" w:type="dxa"/>
            <w:left w:w="108" w:type="dxa"/>
            <w:bottom w:w="0" w:type="dxa"/>
            <w:right w:w="108" w:type="dxa"/>
          </w:tblCellMar>
        </w:tblPrEx>
        <w:trPr>
          <w:trHeight w:val="2628" w:hRule="atLeast"/>
          <w:jc w:val="center"/>
        </w:trPr>
        <w:tc>
          <w:tcPr>
            <w:tcW w:w="3227"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Times New Roman" w:hAnsi="Times New Roman" w:cs="Times New Roman"/>
              </w:rPr>
            </w:pPr>
            <w:r>
              <w:rPr>
                <w:rFonts w:hint="default" w:ascii="Times New Roman" w:hAnsi="Times New Roman" w:cs="Times New Roman"/>
                <w:kern w:val="0"/>
              </w:rPr>
              <w:t>当年整体绩效目标</w:t>
            </w:r>
          </w:p>
        </w:tc>
        <w:tc>
          <w:tcPr>
            <w:tcW w:w="10947" w:type="dxa"/>
            <w:gridSpan w:val="5"/>
            <w:tcBorders>
              <w:top w:val="single" w:color="000000"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textAlignment w:val="center"/>
              <w:rPr>
                <w:rFonts w:hint="default" w:ascii="Times New Roman" w:hAnsi="Times New Roman" w:cs="Times New Roman"/>
              </w:rPr>
            </w:pPr>
            <w:r>
              <w:rPr>
                <w:rFonts w:hint="default" w:ascii="Times New Roman" w:hAnsi="Times New Roman" w:cs="Times New Roman"/>
              </w:rPr>
              <w:tab/>
            </w:r>
            <w:r>
              <w:rPr>
                <w:rFonts w:hint="eastAsia" w:ascii="Times New Roman" w:hAnsi="Times New Roman" w:cs="Times New Roman"/>
                <w:color w:val="FF0000"/>
                <w:kern w:val="0"/>
                <w:sz w:val="24"/>
                <w:szCs w:val="24"/>
                <w:lang w:eastAsia="zh-CN"/>
              </w:rPr>
              <w:t>保障</w:t>
            </w:r>
            <w:r>
              <w:rPr>
                <w:rFonts w:hint="default" w:ascii="Times New Roman" w:hAnsi="Times New Roman" w:cs="Times New Roman"/>
                <w:color w:val="FF0000"/>
                <w:kern w:val="0"/>
                <w:sz w:val="24"/>
                <w:szCs w:val="24"/>
              </w:rPr>
              <w:t>机关和下属各单位、村居维持正常运转，做好辖区内的基础设施建设，环境卫生监督、管理、服务工作；负责辖区内维护稳定及社会治安综合治理、安全生产监督工作；负责村（社区）建设和管理，知道开展村（社区）群众服务工作，并指导和帮助村（社区）委员会搞好组织建设和制度建设，发挥村（社区）委员会的群众自治作用；发展街道和村级经济；管理国有资产和集体经济建设；开展劳动就业、社会保障工作；配合有关部门做好防汛、防火、防震、抢险、救灾等应急工作；向区人民政府反映群众的意见和建议，办理群众的来信和来访事项，并承办上级交办的其他工作。</w:t>
            </w:r>
          </w:p>
        </w:tc>
      </w:tr>
      <w:tr>
        <w:tblPrEx>
          <w:tblCellMar>
            <w:top w:w="0" w:type="dxa"/>
            <w:left w:w="108" w:type="dxa"/>
            <w:bottom w:w="0" w:type="dxa"/>
            <w:right w:w="108" w:type="dxa"/>
          </w:tblCellMar>
        </w:tblPrEx>
        <w:trPr>
          <w:trHeight w:val="340" w:hRule="atLeast"/>
          <w:jc w:val="center"/>
        </w:trPr>
        <w:tc>
          <w:tcPr>
            <w:tcW w:w="3227"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Times New Roman" w:hAnsi="Times New Roman" w:cs="Times New Roman"/>
              </w:rPr>
            </w:pPr>
            <w:r>
              <w:rPr>
                <w:rFonts w:hint="default" w:ascii="Times New Roman" w:hAnsi="Times New Roman" w:cs="Times New Roman"/>
                <w:kern w:val="0"/>
              </w:rPr>
              <w:t>绩效指标</w:t>
            </w:r>
          </w:p>
        </w:tc>
        <w:tc>
          <w:tcPr>
            <w:tcW w:w="3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Times New Roman" w:hAnsi="Times New Roman" w:cs="Times New Roman"/>
              </w:rPr>
            </w:pPr>
            <w:r>
              <w:rPr>
                <w:rFonts w:hint="default" w:ascii="Times New Roman" w:hAnsi="Times New Roman" w:cs="Times New Roman"/>
                <w:kern w:val="0"/>
              </w:rPr>
              <w:t>指标</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Times New Roman" w:hAnsi="Times New Roman" w:cs="Times New Roman"/>
              </w:rPr>
            </w:pPr>
            <w:r>
              <w:rPr>
                <w:rFonts w:hint="default" w:ascii="Times New Roman" w:hAnsi="Times New Roman" w:cs="Times New Roman"/>
                <w:kern w:val="0"/>
              </w:rPr>
              <w:t>指标权重</w:t>
            </w:r>
          </w:p>
        </w:tc>
        <w:tc>
          <w:tcPr>
            <w:tcW w:w="22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Times New Roman" w:hAnsi="Times New Roman" w:cs="Times New Roman"/>
              </w:rPr>
            </w:pPr>
            <w:r>
              <w:rPr>
                <w:rFonts w:hint="default" w:ascii="Times New Roman" w:hAnsi="Times New Roman" w:cs="Times New Roman"/>
                <w:kern w:val="0"/>
              </w:rPr>
              <w:t>计量单位</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Times New Roman" w:hAnsi="Times New Roman" w:cs="Times New Roman"/>
              </w:rPr>
            </w:pPr>
            <w:r>
              <w:rPr>
                <w:rFonts w:hint="default" w:ascii="Times New Roman" w:hAnsi="Times New Roman" w:cs="Times New Roman"/>
                <w:kern w:val="0"/>
              </w:rPr>
              <w:t>指标性质</w:t>
            </w:r>
          </w:p>
        </w:tc>
        <w:tc>
          <w:tcPr>
            <w:tcW w:w="15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Times New Roman" w:hAnsi="Times New Roman" w:cs="Times New Roman"/>
              </w:rPr>
            </w:pPr>
            <w:r>
              <w:rPr>
                <w:rFonts w:hint="default" w:ascii="Times New Roman" w:hAnsi="Times New Roman" w:cs="Times New Roman"/>
                <w:kern w:val="0"/>
              </w:rPr>
              <w:t>指标值</w:t>
            </w:r>
          </w:p>
        </w:tc>
      </w:tr>
      <w:tr>
        <w:tblPrEx>
          <w:tblCellMar>
            <w:top w:w="0" w:type="dxa"/>
            <w:left w:w="108" w:type="dxa"/>
            <w:bottom w:w="0" w:type="dxa"/>
            <w:right w:w="108" w:type="dxa"/>
          </w:tblCellMar>
        </w:tblPrEx>
        <w:trPr>
          <w:trHeight w:val="391" w:hRule="atLeast"/>
          <w:jc w:val="center"/>
        </w:trPr>
        <w:tc>
          <w:tcPr>
            <w:tcW w:w="322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exact"/>
              <w:jc w:val="left"/>
              <w:rPr>
                <w:rFonts w:hint="default" w:ascii="Times New Roman" w:hAnsi="Times New Roman" w:cs="Times New Roman"/>
              </w:rPr>
            </w:pPr>
          </w:p>
        </w:tc>
        <w:tc>
          <w:tcPr>
            <w:tcW w:w="3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pacing w:line="600" w:lineRule="exact"/>
              <w:jc w:val="center"/>
              <w:rPr>
                <w:rFonts w:hint="eastAsia" w:ascii="Times New Roman" w:hAnsi="Times New Roman" w:eastAsia="宋体" w:cs="Times New Roman"/>
                <w:lang w:eastAsia="zh-CN"/>
              </w:rPr>
            </w:pPr>
            <w:r>
              <w:rPr>
                <w:rFonts w:hint="eastAsia" w:cs="Times New Roman"/>
                <w:lang w:eastAsia="zh-CN"/>
              </w:rPr>
              <w:t>机关日常运行经费</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pacing w:line="600" w:lineRule="exact"/>
              <w:jc w:val="center"/>
              <w:rPr>
                <w:rFonts w:hint="default" w:ascii="Times New Roman" w:hAnsi="Times New Roman" w:eastAsia="宋体" w:cs="Times New Roman"/>
                <w:lang w:val="en-US" w:eastAsia="zh-CN"/>
              </w:rPr>
            </w:pPr>
            <w:r>
              <w:rPr>
                <w:rFonts w:hint="eastAsia" w:cs="Times New Roman"/>
                <w:lang w:val="en-US" w:eastAsia="zh-CN"/>
              </w:rPr>
              <w:t>15%</w:t>
            </w:r>
          </w:p>
        </w:tc>
        <w:tc>
          <w:tcPr>
            <w:tcW w:w="22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pacing w:line="600" w:lineRule="exact"/>
              <w:jc w:val="center"/>
              <w:rPr>
                <w:rFonts w:hint="eastAsia" w:ascii="Times New Roman" w:hAnsi="Times New Roman" w:eastAsia="宋体" w:cs="Times New Roman"/>
                <w:lang w:eastAsia="zh-CN"/>
              </w:rPr>
            </w:pPr>
            <w:r>
              <w:rPr>
                <w:rFonts w:hint="eastAsia" w:cs="Times New Roman"/>
                <w:lang w:eastAsia="zh-CN"/>
              </w:rPr>
              <w:t>万元</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pacing w:line="600" w:lineRule="exact"/>
              <w:jc w:val="center"/>
              <w:rPr>
                <w:rFonts w:hint="eastAsia" w:ascii="Times New Roman" w:hAnsi="Times New Roman" w:eastAsia="宋体" w:cs="Times New Roman"/>
                <w:lang w:val="en-US" w:eastAsia="zh-CN"/>
              </w:rPr>
            </w:pPr>
            <w:r>
              <w:rPr>
                <w:rFonts w:hint="eastAsia" w:cs="Times New Roman"/>
                <w:lang w:val="en-US" w:eastAsia="zh-CN"/>
              </w:rPr>
              <w:t>=</w:t>
            </w:r>
          </w:p>
        </w:tc>
        <w:tc>
          <w:tcPr>
            <w:tcW w:w="15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pacing w:line="600" w:lineRule="exact"/>
              <w:jc w:val="center"/>
              <w:rPr>
                <w:rFonts w:hint="default" w:ascii="Times New Roman" w:hAnsi="Times New Roman" w:cs="Times New Roman"/>
              </w:rPr>
            </w:pPr>
            <w:r>
              <w:rPr>
                <w:rFonts w:hint="eastAsia" w:cs="Times New Roman"/>
                <w:lang w:val="en-US" w:eastAsia="zh-CN"/>
              </w:rPr>
              <w:t>25.18</w:t>
            </w:r>
          </w:p>
        </w:tc>
      </w:tr>
      <w:tr>
        <w:tblPrEx>
          <w:tblCellMar>
            <w:top w:w="0" w:type="dxa"/>
            <w:left w:w="108" w:type="dxa"/>
            <w:bottom w:w="0" w:type="dxa"/>
            <w:right w:w="108" w:type="dxa"/>
          </w:tblCellMar>
        </w:tblPrEx>
        <w:trPr>
          <w:trHeight w:val="340" w:hRule="atLeast"/>
          <w:jc w:val="center"/>
        </w:trPr>
        <w:tc>
          <w:tcPr>
            <w:tcW w:w="322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exact"/>
              <w:jc w:val="left"/>
              <w:textAlignment w:val="center"/>
              <w:rPr>
                <w:rFonts w:hint="default" w:ascii="Times New Roman" w:hAnsi="Times New Roman" w:cs="Times New Roman"/>
              </w:rPr>
            </w:pPr>
          </w:p>
        </w:tc>
        <w:tc>
          <w:tcPr>
            <w:tcW w:w="3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pacing w:line="600" w:lineRule="exact"/>
              <w:jc w:val="center"/>
              <w:rPr>
                <w:rFonts w:hint="eastAsia" w:cs="Times New Roman"/>
                <w:lang w:eastAsia="zh-CN"/>
              </w:rPr>
            </w:pPr>
            <w:r>
              <w:rPr>
                <w:rFonts w:hint="eastAsia" w:cs="Times New Roman"/>
                <w:lang w:eastAsia="zh-CN"/>
              </w:rPr>
              <w:t>保障村级运转经费</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Times New Roman" w:hAnsi="Times New Roman" w:eastAsia="宋体" w:cs="Times New Roman"/>
                <w:lang w:val="en-US" w:eastAsia="zh-CN"/>
              </w:rPr>
            </w:pPr>
            <w:r>
              <w:rPr>
                <w:rFonts w:hint="eastAsia" w:cs="Times New Roman"/>
                <w:lang w:val="en-US" w:eastAsia="zh-CN"/>
              </w:rPr>
              <w:t>15%</w:t>
            </w:r>
          </w:p>
        </w:tc>
        <w:tc>
          <w:tcPr>
            <w:tcW w:w="22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Times New Roman" w:hAnsi="Times New Roman" w:cs="Times New Roman"/>
              </w:rPr>
            </w:pPr>
            <w:r>
              <w:rPr>
                <w:rFonts w:hint="eastAsia" w:cs="Times New Roman"/>
                <w:lang w:eastAsia="zh-CN"/>
              </w:rPr>
              <w:t>万元</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eastAsia" w:ascii="Times New Roman" w:hAnsi="Times New Roman" w:eastAsia="宋体" w:cs="Times New Roman"/>
                <w:lang w:val="en-US" w:eastAsia="zh-CN"/>
              </w:rPr>
            </w:pPr>
            <w:r>
              <w:rPr>
                <w:rFonts w:hint="eastAsia" w:cs="Times New Roman"/>
                <w:lang w:val="en-US" w:eastAsia="zh-CN"/>
              </w:rPr>
              <w:t>=</w:t>
            </w:r>
          </w:p>
        </w:tc>
        <w:tc>
          <w:tcPr>
            <w:tcW w:w="15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Times New Roman" w:hAnsi="Times New Roman" w:eastAsia="宋体" w:cs="Times New Roman"/>
                <w:lang w:val="en-US" w:eastAsia="zh-CN"/>
              </w:rPr>
            </w:pPr>
            <w:r>
              <w:rPr>
                <w:rFonts w:hint="eastAsia" w:cs="Times New Roman"/>
                <w:lang w:val="en-US" w:eastAsia="zh-CN"/>
              </w:rPr>
              <w:t>29.5</w:t>
            </w:r>
          </w:p>
        </w:tc>
      </w:tr>
      <w:tr>
        <w:tblPrEx>
          <w:tblCellMar>
            <w:top w:w="0" w:type="dxa"/>
            <w:left w:w="108" w:type="dxa"/>
            <w:bottom w:w="0" w:type="dxa"/>
            <w:right w:w="108" w:type="dxa"/>
          </w:tblCellMar>
        </w:tblPrEx>
        <w:trPr>
          <w:trHeight w:val="371" w:hRule="atLeast"/>
          <w:jc w:val="center"/>
        </w:trPr>
        <w:tc>
          <w:tcPr>
            <w:tcW w:w="322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exact"/>
              <w:jc w:val="left"/>
              <w:textAlignment w:val="center"/>
              <w:rPr>
                <w:rFonts w:hint="default" w:ascii="Times New Roman" w:hAnsi="Times New Roman" w:cs="Times New Roman"/>
              </w:rPr>
            </w:pPr>
          </w:p>
        </w:tc>
        <w:tc>
          <w:tcPr>
            <w:tcW w:w="3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pacing w:line="600" w:lineRule="exact"/>
              <w:jc w:val="center"/>
              <w:rPr>
                <w:rFonts w:hint="default" w:cs="Times New Roman"/>
                <w:lang w:eastAsia="zh-CN"/>
              </w:rPr>
            </w:pPr>
            <w:r>
              <w:rPr>
                <w:rFonts w:hint="eastAsia" w:cs="Times New Roman"/>
                <w:lang w:val="en-US" w:eastAsia="zh-CN"/>
              </w:rPr>
              <w:t>五桂镇老党员补助</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Times New Roman" w:hAnsi="Times New Roman" w:cs="Times New Roman"/>
              </w:rPr>
            </w:pPr>
            <w:r>
              <w:rPr>
                <w:rFonts w:hint="eastAsia" w:cs="Times New Roman"/>
                <w:lang w:val="en-US" w:eastAsia="zh-CN"/>
              </w:rPr>
              <w:t>10%</w:t>
            </w:r>
          </w:p>
        </w:tc>
        <w:tc>
          <w:tcPr>
            <w:tcW w:w="22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eastAsia" w:ascii="Times New Roman" w:hAnsi="Times New Roman" w:eastAsia="宋体" w:cs="Times New Roman"/>
                <w:lang w:eastAsia="zh-CN"/>
              </w:rPr>
            </w:pPr>
            <w:r>
              <w:rPr>
                <w:rFonts w:hint="eastAsia" w:cs="Times New Roman"/>
                <w:lang w:eastAsia="zh-CN"/>
              </w:rPr>
              <w:t>人</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Times New Roman" w:hAnsi="Times New Roman" w:eastAsia="宋体" w:cs="Times New Roman"/>
                <w:lang w:val="en-US" w:eastAsia="zh-CN"/>
              </w:rPr>
            </w:pPr>
            <w:r>
              <w:rPr>
                <w:rFonts w:hint="eastAsia" w:cs="Times New Roman"/>
                <w:lang w:val="en-US" w:eastAsia="zh-CN"/>
              </w:rPr>
              <w:t>=</w:t>
            </w:r>
          </w:p>
        </w:tc>
        <w:tc>
          <w:tcPr>
            <w:tcW w:w="15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Times New Roman" w:hAnsi="Times New Roman" w:eastAsia="宋体" w:cs="Times New Roman"/>
                <w:lang w:val="en-US" w:eastAsia="zh-CN"/>
              </w:rPr>
            </w:pPr>
            <w:r>
              <w:rPr>
                <w:rFonts w:hint="eastAsia" w:cs="Times New Roman"/>
                <w:lang w:val="en-US" w:eastAsia="zh-CN"/>
              </w:rPr>
              <w:t>80</w:t>
            </w:r>
          </w:p>
        </w:tc>
      </w:tr>
      <w:tr>
        <w:tblPrEx>
          <w:tblCellMar>
            <w:top w:w="0" w:type="dxa"/>
            <w:left w:w="108" w:type="dxa"/>
            <w:bottom w:w="0" w:type="dxa"/>
            <w:right w:w="108" w:type="dxa"/>
          </w:tblCellMar>
        </w:tblPrEx>
        <w:trPr>
          <w:trHeight w:val="366" w:hRule="atLeast"/>
          <w:jc w:val="center"/>
        </w:trPr>
        <w:tc>
          <w:tcPr>
            <w:tcW w:w="322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exact"/>
              <w:jc w:val="left"/>
              <w:textAlignment w:val="center"/>
              <w:rPr>
                <w:rFonts w:hint="default" w:ascii="Times New Roman" w:hAnsi="Times New Roman" w:cs="Times New Roman"/>
              </w:rPr>
            </w:pPr>
          </w:p>
        </w:tc>
        <w:tc>
          <w:tcPr>
            <w:tcW w:w="3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pacing w:line="600" w:lineRule="exact"/>
              <w:jc w:val="center"/>
              <w:rPr>
                <w:rFonts w:hint="default" w:cs="Times New Roman"/>
                <w:lang w:eastAsia="zh-CN"/>
              </w:rPr>
            </w:pPr>
            <w:r>
              <w:rPr>
                <w:rFonts w:hint="eastAsia" w:cs="Times New Roman"/>
                <w:lang w:val="en-US" w:eastAsia="zh-CN"/>
              </w:rPr>
              <w:t>五桂镇离任村干补助</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Times New Roman" w:hAnsi="Times New Roman" w:cs="Times New Roman"/>
              </w:rPr>
            </w:pPr>
            <w:r>
              <w:rPr>
                <w:rFonts w:hint="eastAsia" w:cs="Times New Roman"/>
                <w:lang w:val="en-US" w:eastAsia="zh-CN"/>
              </w:rPr>
              <w:t>15%</w:t>
            </w:r>
          </w:p>
        </w:tc>
        <w:tc>
          <w:tcPr>
            <w:tcW w:w="22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eastAsia" w:ascii="Times New Roman" w:hAnsi="Times New Roman" w:eastAsia="宋体" w:cs="Times New Roman"/>
                <w:lang w:eastAsia="zh-CN"/>
              </w:rPr>
            </w:pPr>
            <w:r>
              <w:rPr>
                <w:rFonts w:hint="eastAsia" w:cs="Times New Roman"/>
                <w:lang w:eastAsia="zh-CN"/>
              </w:rPr>
              <w:t>万元</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eastAsia" w:ascii="Times New Roman" w:hAnsi="Times New Roman" w:eastAsia="宋体" w:cs="Times New Roman"/>
                <w:lang w:val="en-US" w:eastAsia="zh-CN"/>
              </w:rPr>
            </w:pPr>
            <w:r>
              <w:rPr>
                <w:rFonts w:hint="eastAsia" w:cs="Times New Roman"/>
                <w:lang w:val="en-US" w:eastAsia="zh-CN"/>
              </w:rPr>
              <w:t>=</w:t>
            </w:r>
          </w:p>
        </w:tc>
        <w:tc>
          <w:tcPr>
            <w:tcW w:w="15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Times New Roman" w:hAnsi="Times New Roman" w:eastAsia="宋体" w:cs="Times New Roman"/>
                <w:lang w:val="en-US" w:eastAsia="zh-CN"/>
              </w:rPr>
            </w:pPr>
            <w:r>
              <w:rPr>
                <w:rFonts w:hint="eastAsia" w:cs="Times New Roman"/>
                <w:lang w:val="en-US" w:eastAsia="zh-CN"/>
              </w:rPr>
              <w:t>130</w:t>
            </w:r>
          </w:p>
        </w:tc>
      </w:tr>
      <w:tr>
        <w:tblPrEx>
          <w:tblCellMar>
            <w:top w:w="0" w:type="dxa"/>
            <w:left w:w="108" w:type="dxa"/>
            <w:bottom w:w="0" w:type="dxa"/>
            <w:right w:w="108" w:type="dxa"/>
          </w:tblCellMar>
        </w:tblPrEx>
        <w:trPr>
          <w:trHeight w:val="390" w:hRule="atLeast"/>
          <w:jc w:val="center"/>
        </w:trPr>
        <w:tc>
          <w:tcPr>
            <w:tcW w:w="322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exact"/>
              <w:jc w:val="left"/>
              <w:textAlignment w:val="center"/>
              <w:rPr>
                <w:rFonts w:hint="default" w:ascii="Times New Roman" w:hAnsi="Times New Roman" w:cs="Times New Roman"/>
              </w:rPr>
            </w:pPr>
          </w:p>
        </w:tc>
        <w:tc>
          <w:tcPr>
            <w:tcW w:w="3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pacing w:line="600" w:lineRule="exact"/>
              <w:jc w:val="center"/>
              <w:rPr>
                <w:rFonts w:hint="default" w:cs="Times New Roman"/>
                <w:lang w:eastAsia="zh-CN"/>
              </w:rPr>
            </w:pPr>
            <w:r>
              <w:rPr>
                <w:rFonts w:hint="eastAsia" w:cs="Times New Roman"/>
                <w:lang w:val="en-US" w:eastAsia="zh-CN"/>
              </w:rPr>
              <w:t>五桂镇本土人才补助</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Times New Roman" w:hAnsi="Times New Roman" w:cs="Times New Roman"/>
              </w:rPr>
            </w:pPr>
            <w:r>
              <w:rPr>
                <w:rFonts w:hint="eastAsia" w:cs="Times New Roman"/>
                <w:lang w:val="en-US" w:eastAsia="zh-CN"/>
              </w:rPr>
              <w:t>10%</w:t>
            </w:r>
          </w:p>
        </w:tc>
        <w:tc>
          <w:tcPr>
            <w:tcW w:w="22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Times New Roman" w:hAnsi="Times New Roman" w:cs="Times New Roman"/>
              </w:rPr>
            </w:pPr>
            <w:r>
              <w:rPr>
                <w:rFonts w:hint="eastAsia" w:cs="Times New Roman"/>
                <w:lang w:eastAsia="zh-CN"/>
              </w:rPr>
              <w:t>人</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Times New Roman" w:hAnsi="Times New Roman" w:cs="Times New Roman"/>
              </w:rPr>
            </w:pPr>
            <w:r>
              <w:rPr>
                <w:rFonts w:hint="eastAsia" w:cs="Times New Roman"/>
                <w:lang w:val="en-US" w:eastAsia="zh-CN"/>
              </w:rPr>
              <w:t>=</w:t>
            </w:r>
          </w:p>
        </w:tc>
        <w:tc>
          <w:tcPr>
            <w:tcW w:w="15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eastAsia" w:ascii="Times New Roman" w:hAnsi="Times New Roman" w:eastAsia="宋体" w:cs="Times New Roman"/>
                <w:lang w:val="en-US" w:eastAsia="zh-CN"/>
              </w:rPr>
            </w:pPr>
            <w:r>
              <w:rPr>
                <w:rFonts w:hint="eastAsia" w:cs="Times New Roman"/>
                <w:lang w:val="en-US" w:eastAsia="zh-CN"/>
              </w:rPr>
              <w:t>7</w:t>
            </w:r>
          </w:p>
        </w:tc>
      </w:tr>
      <w:tr>
        <w:tblPrEx>
          <w:tblCellMar>
            <w:top w:w="0" w:type="dxa"/>
            <w:left w:w="108" w:type="dxa"/>
            <w:bottom w:w="0" w:type="dxa"/>
            <w:right w:w="108" w:type="dxa"/>
          </w:tblCellMar>
        </w:tblPrEx>
        <w:trPr>
          <w:trHeight w:val="380" w:hRule="atLeast"/>
          <w:jc w:val="center"/>
        </w:trPr>
        <w:tc>
          <w:tcPr>
            <w:tcW w:w="322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exact"/>
              <w:jc w:val="left"/>
              <w:textAlignment w:val="center"/>
              <w:rPr>
                <w:rFonts w:hint="default" w:ascii="Times New Roman" w:hAnsi="Times New Roman" w:cs="Times New Roman"/>
              </w:rPr>
            </w:pPr>
          </w:p>
        </w:tc>
        <w:tc>
          <w:tcPr>
            <w:tcW w:w="3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pacing w:line="600" w:lineRule="exact"/>
              <w:jc w:val="center"/>
              <w:rPr>
                <w:rFonts w:hint="default" w:cs="Times New Roman"/>
                <w:lang w:eastAsia="zh-CN"/>
              </w:rPr>
            </w:pPr>
            <w:r>
              <w:rPr>
                <w:rFonts w:hint="default" w:cs="Times New Roman"/>
                <w:lang w:eastAsia="zh-CN"/>
              </w:rPr>
              <w:t>机关正常运转率</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Times New Roman" w:hAnsi="Times New Roman" w:cs="Times New Roman"/>
              </w:rPr>
            </w:pPr>
            <w:r>
              <w:rPr>
                <w:rFonts w:hint="eastAsia" w:cs="Times New Roman"/>
                <w:lang w:val="en-US" w:eastAsia="zh-CN"/>
              </w:rPr>
              <w:t>10%</w:t>
            </w:r>
          </w:p>
        </w:tc>
        <w:tc>
          <w:tcPr>
            <w:tcW w:w="22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Times New Roman" w:hAnsi="Times New Roman" w:cs="Times New Roman"/>
              </w:rPr>
            </w:pPr>
            <w:r>
              <w:rPr>
                <w:rFonts w:hint="eastAsia" w:cs="Times New Roman"/>
                <w:lang w:val="en-US" w:eastAsia="zh-CN"/>
              </w:rPr>
              <w:t>%</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Times New Roman" w:hAnsi="Times New Roman" w:cs="Times New Roman"/>
              </w:rPr>
            </w:pPr>
            <w:r>
              <w:rPr>
                <w:rFonts w:hint="default" w:ascii="Times New Roman" w:hAnsi="Times New Roman" w:cs="Times New Roman"/>
              </w:rPr>
              <w:t>≥</w:t>
            </w:r>
          </w:p>
        </w:tc>
        <w:tc>
          <w:tcPr>
            <w:tcW w:w="15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Times New Roman" w:hAnsi="Times New Roman" w:eastAsia="宋体" w:cs="Times New Roman"/>
                <w:lang w:val="en-US" w:eastAsia="zh-CN"/>
              </w:rPr>
            </w:pPr>
            <w:r>
              <w:rPr>
                <w:rFonts w:hint="eastAsia" w:cs="Times New Roman"/>
                <w:lang w:val="en-US" w:eastAsia="zh-CN"/>
              </w:rPr>
              <w:t>98</w:t>
            </w:r>
          </w:p>
        </w:tc>
      </w:tr>
      <w:tr>
        <w:tblPrEx>
          <w:tblCellMar>
            <w:top w:w="0" w:type="dxa"/>
            <w:left w:w="108" w:type="dxa"/>
            <w:bottom w:w="0" w:type="dxa"/>
            <w:right w:w="108" w:type="dxa"/>
          </w:tblCellMar>
        </w:tblPrEx>
        <w:trPr>
          <w:trHeight w:val="393" w:hRule="atLeast"/>
          <w:jc w:val="center"/>
        </w:trPr>
        <w:tc>
          <w:tcPr>
            <w:tcW w:w="322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exact"/>
              <w:jc w:val="left"/>
              <w:textAlignment w:val="center"/>
              <w:rPr>
                <w:rFonts w:hint="default" w:ascii="Times New Roman" w:hAnsi="Times New Roman" w:cs="Times New Roman"/>
              </w:rPr>
            </w:pPr>
          </w:p>
        </w:tc>
        <w:tc>
          <w:tcPr>
            <w:tcW w:w="3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pacing w:line="600" w:lineRule="exact"/>
              <w:jc w:val="center"/>
              <w:rPr>
                <w:rFonts w:hint="default" w:cs="Times New Roman"/>
                <w:lang w:eastAsia="zh-CN"/>
              </w:rPr>
            </w:pPr>
            <w:r>
              <w:rPr>
                <w:rFonts w:hint="default" w:cs="Times New Roman"/>
                <w:lang w:eastAsia="zh-CN"/>
              </w:rPr>
              <w:t>辖区生态正常率</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Times New Roman" w:hAnsi="Times New Roman" w:cs="Times New Roman"/>
              </w:rPr>
            </w:pPr>
            <w:r>
              <w:rPr>
                <w:rFonts w:hint="eastAsia" w:cs="Times New Roman"/>
                <w:lang w:val="en-US" w:eastAsia="zh-CN"/>
              </w:rPr>
              <w:t>15%</w:t>
            </w:r>
          </w:p>
        </w:tc>
        <w:tc>
          <w:tcPr>
            <w:tcW w:w="22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eastAsia" w:ascii="Times New Roman" w:hAnsi="Times New Roman" w:eastAsia="宋体" w:cs="Times New Roman"/>
                <w:lang w:val="en-US" w:eastAsia="zh-CN"/>
              </w:rPr>
            </w:pPr>
            <w:r>
              <w:rPr>
                <w:rFonts w:hint="eastAsia" w:cs="Times New Roman"/>
                <w:lang w:val="en-US" w:eastAsia="zh-CN"/>
              </w:rPr>
              <w:t>%</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Times New Roman" w:hAnsi="Times New Roman" w:cs="Times New Roman"/>
              </w:rPr>
            </w:pPr>
            <w:r>
              <w:rPr>
                <w:rFonts w:hint="default" w:ascii="Times New Roman" w:hAnsi="Times New Roman" w:cs="Times New Roman"/>
              </w:rPr>
              <w:t>≥</w:t>
            </w:r>
          </w:p>
        </w:tc>
        <w:tc>
          <w:tcPr>
            <w:tcW w:w="15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Times New Roman" w:hAnsi="Times New Roman" w:eastAsia="宋体" w:cs="Times New Roman"/>
                <w:lang w:val="en-US" w:eastAsia="zh-CN"/>
              </w:rPr>
            </w:pPr>
            <w:r>
              <w:rPr>
                <w:rFonts w:hint="eastAsia" w:cs="Times New Roman"/>
                <w:lang w:val="en-US" w:eastAsia="zh-CN"/>
              </w:rPr>
              <w:t>95</w:t>
            </w:r>
          </w:p>
        </w:tc>
      </w:tr>
      <w:tr>
        <w:tblPrEx>
          <w:tblCellMar>
            <w:top w:w="0" w:type="dxa"/>
            <w:left w:w="108" w:type="dxa"/>
            <w:bottom w:w="0" w:type="dxa"/>
            <w:right w:w="108" w:type="dxa"/>
          </w:tblCellMar>
        </w:tblPrEx>
        <w:trPr>
          <w:trHeight w:val="379" w:hRule="atLeast"/>
          <w:jc w:val="center"/>
        </w:trPr>
        <w:tc>
          <w:tcPr>
            <w:tcW w:w="3227"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exact"/>
              <w:jc w:val="left"/>
              <w:textAlignment w:val="center"/>
              <w:rPr>
                <w:rFonts w:hint="default" w:ascii="Times New Roman" w:hAnsi="Times New Roman" w:cs="Times New Roman"/>
              </w:rPr>
            </w:pPr>
          </w:p>
        </w:tc>
        <w:tc>
          <w:tcPr>
            <w:tcW w:w="3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pacing w:line="600" w:lineRule="exact"/>
              <w:jc w:val="center"/>
              <w:rPr>
                <w:rFonts w:hint="default" w:cs="Times New Roman"/>
                <w:lang w:eastAsia="zh-CN"/>
              </w:rPr>
            </w:pPr>
            <w:r>
              <w:rPr>
                <w:rFonts w:hint="default" w:cs="Times New Roman"/>
                <w:lang w:eastAsia="zh-CN"/>
              </w:rPr>
              <w:t>群众满意度</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Times New Roman" w:hAnsi="Times New Roman" w:cs="Times New Roman"/>
              </w:rPr>
            </w:pPr>
            <w:r>
              <w:rPr>
                <w:rFonts w:hint="eastAsia" w:cs="Times New Roman"/>
                <w:lang w:val="en-US" w:eastAsia="zh-CN"/>
              </w:rPr>
              <w:t>10%</w:t>
            </w:r>
          </w:p>
        </w:tc>
        <w:tc>
          <w:tcPr>
            <w:tcW w:w="22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Times New Roman" w:hAnsi="Times New Roman" w:cs="Times New Roman"/>
              </w:rPr>
            </w:pPr>
            <w:r>
              <w:rPr>
                <w:rFonts w:hint="eastAsia" w:cs="Times New Roman"/>
                <w:lang w:val="en-US" w:eastAsia="zh-CN"/>
              </w:rPr>
              <w:t>%</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Times New Roman" w:hAnsi="Times New Roman" w:cs="Times New Roman"/>
              </w:rPr>
            </w:pPr>
            <w:r>
              <w:rPr>
                <w:rFonts w:hint="default" w:ascii="Times New Roman" w:hAnsi="Times New Roman" w:cs="Times New Roman"/>
              </w:rPr>
              <w:t>≥</w:t>
            </w:r>
          </w:p>
        </w:tc>
        <w:tc>
          <w:tcPr>
            <w:tcW w:w="15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Times New Roman" w:hAnsi="Times New Roman" w:eastAsia="宋体" w:cs="Times New Roman"/>
                <w:lang w:val="en-US" w:eastAsia="zh-CN"/>
              </w:rPr>
            </w:pPr>
            <w:r>
              <w:rPr>
                <w:rFonts w:hint="eastAsia" w:cs="Times New Roman"/>
                <w:lang w:val="en-US" w:eastAsia="zh-CN"/>
              </w:rPr>
              <w:t>95</w:t>
            </w:r>
          </w:p>
        </w:tc>
      </w:tr>
    </w:tbl>
    <w:p>
      <w:pPr>
        <w:pStyle w:val="5"/>
        <w:keepNext w:val="0"/>
        <w:keepLines w:val="0"/>
        <w:pageBreakBefore w:val="0"/>
        <w:kinsoku/>
        <w:wordWrap/>
        <w:overflowPunct/>
        <w:topLinePunct w:val="0"/>
        <w:autoSpaceDN/>
        <w:bidi w:val="0"/>
        <w:adjustRightInd/>
        <w:spacing w:line="600" w:lineRule="exact"/>
        <w:sectPr>
          <w:footerReference r:id="rId4" w:type="default"/>
          <w:pgSz w:w="16838" w:h="11906" w:orient="landscape"/>
          <w:pgMar w:top="1418" w:right="1418" w:bottom="1418" w:left="1418" w:header="851" w:footer="992" w:gutter="0"/>
          <w:cols w:space="0" w:num="1"/>
          <w:docGrid w:linePitch="312" w:charSpace="0"/>
        </w:sectPr>
      </w:pPr>
    </w:p>
    <w:p>
      <w:pPr>
        <w:pStyle w:val="5"/>
        <w:keepNext w:val="0"/>
        <w:keepLines w:val="0"/>
        <w:pageBreakBefore w:val="0"/>
        <w:kinsoku/>
        <w:wordWrap/>
        <w:overflowPunct/>
        <w:topLinePunct w:val="0"/>
        <w:autoSpaceDN/>
        <w:bidi w:val="0"/>
        <w:adjustRightInd/>
        <w:spacing w:line="600" w:lineRule="exact"/>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附件12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32"/>
        <w:gridCol w:w="1438"/>
        <w:gridCol w:w="2369"/>
        <w:gridCol w:w="3529"/>
        <w:gridCol w:w="1092"/>
        <w:gridCol w:w="1391"/>
        <w:gridCol w:w="1391"/>
        <w:gridCol w:w="8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7" w:hRule="atLeast"/>
        </w:trPr>
        <w:tc>
          <w:tcPr>
            <w:tcW w:w="5000" w:type="pct"/>
            <w:gridSpan w:val="8"/>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宋体" w:hAnsi="宋体" w:eastAsia="宋体" w:cs="宋体"/>
                <w:b/>
                <w:bCs/>
                <w:i w:val="0"/>
                <w:iCs w:val="0"/>
                <w:color w:val="000000"/>
                <w:sz w:val="30"/>
                <w:szCs w:val="30"/>
                <w:u w:val="none"/>
                <w:lang w:val="en-US"/>
              </w:rPr>
            </w:pPr>
            <w:r>
              <w:rPr>
                <w:rFonts w:eastAsia="方正小标宋_GBK"/>
                <w:kern w:val="0"/>
                <w:sz w:val="36"/>
                <w:szCs w:val="36"/>
              </w:rPr>
              <w:t>重庆市潼南区</w:t>
            </w:r>
            <w:r>
              <w:rPr>
                <w:rFonts w:hint="eastAsia" w:eastAsia="方正小标宋_GBK"/>
                <w:kern w:val="0"/>
                <w:sz w:val="36"/>
                <w:szCs w:val="36"/>
                <w:lang w:eastAsia="zh-CN"/>
              </w:rPr>
              <w:t>五桂镇</w:t>
            </w:r>
            <w:r>
              <w:rPr>
                <w:rFonts w:hint="eastAsia" w:ascii="方正小标宋_GBK" w:hAnsi="方正小标宋_GBK" w:eastAsia="方正小标宋_GBK" w:cs="方正小标宋_GBK"/>
                <w:i w:val="0"/>
                <w:iCs w:val="0"/>
                <w:color w:val="000000"/>
                <w:kern w:val="0"/>
                <w:sz w:val="36"/>
                <w:szCs w:val="36"/>
                <w:u w:val="none"/>
                <w:lang w:val="en-US" w:eastAsia="zh-CN" w:bidi="ar"/>
              </w:rPr>
              <w:t>农业服务中心</w:t>
            </w:r>
            <w:r>
              <w:rPr>
                <w:rFonts w:hint="eastAsia" w:eastAsia="方正小标宋_GBK"/>
                <w:kern w:val="0"/>
                <w:sz w:val="36"/>
                <w:szCs w:val="36"/>
                <w:lang w:val="en-US" w:eastAsia="zh-CN"/>
              </w:rPr>
              <w:t>2024年预算项目绩效目标表-1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00" w:type="pct"/>
            <w:gridSpan w:val="8"/>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249"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50015224T000004237582-五桂镇本土人才补助（常年性项目</w:t>
            </w:r>
            <w:r>
              <w:rPr>
                <w:rFonts w:hint="eastAsia" w:ascii="宋体" w:hAnsi="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3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813-潼南区五桂镇</w:t>
            </w:r>
          </w:p>
        </w:tc>
        <w:tc>
          <w:tcPr>
            <w:tcW w:w="16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实施单位</w:t>
            </w:r>
          </w:p>
        </w:tc>
        <w:tc>
          <w:tcPr>
            <w:tcW w:w="128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813002-潼南区五桂农业服务中心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资金总额（万元）</w:t>
            </w:r>
          </w:p>
        </w:tc>
        <w:tc>
          <w:tcPr>
            <w:tcW w:w="13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16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项目属性</w:t>
            </w:r>
          </w:p>
        </w:tc>
        <w:tc>
          <w:tcPr>
            <w:tcW w:w="128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项目起始时间</w:t>
            </w:r>
          </w:p>
        </w:tc>
        <w:tc>
          <w:tcPr>
            <w:tcW w:w="13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2024年</w:t>
            </w:r>
          </w:p>
        </w:tc>
        <w:tc>
          <w:tcPr>
            <w:tcW w:w="16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项目终止时间</w:t>
            </w:r>
          </w:p>
        </w:tc>
        <w:tc>
          <w:tcPr>
            <w:tcW w:w="128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项目概况</w:t>
            </w:r>
          </w:p>
        </w:tc>
        <w:tc>
          <w:tcPr>
            <w:tcW w:w="4249"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按时足额发放本土人才补助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立项依据</w:t>
            </w:r>
          </w:p>
        </w:tc>
        <w:tc>
          <w:tcPr>
            <w:tcW w:w="4249"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渝财（2022）00001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项目当年绩效目标</w:t>
            </w:r>
          </w:p>
        </w:tc>
        <w:tc>
          <w:tcPr>
            <w:tcW w:w="4249"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按时足额发放本土人才补助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7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7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村社正常运转率</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7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每年发放补贴次数</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7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全年发放补贴金额</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250000</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7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改善办公条件，提升工作效率</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7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5000" w:type="pct"/>
            <w:gridSpan w:val="8"/>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宋体" w:hAnsi="宋体" w:eastAsia="宋体" w:cs="宋体"/>
                <w:b/>
                <w:bCs/>
                <w:i w:val="0"/>
                <w:iCs w:val="0"/>
                <w:color w:val="000000"/>
                <w:sz w:val="30"/>
                <w:szCs w:val="30"/>
                <w:u w:val="none"/>
                <w:lang w:val="en-US"/>
              </w:rPr>
            </w:pPr>
            <w:r>
              <w:rPr>
                <w:rFonts w:eastAsia="方正小标宋_GBK"/>
                <w:kern w:val="0"/>
                <w:sz w:val="36"/>
                <w:szCs w:val="36"/>
              </w:rPr>
              <w:t>重庆市潼南区</w:t>
            </w:r>
            <w:r>
              <w:rPr>
                <w:rFonts w:hint="eastAsia" w:eastAsia="方正小标宋_GBK"/>
                <w:kern w:val="0"/>
                <w:sz w:val="36"/>
                <w:szCs w:val="36"/>
                <w:lang w:eastAsia="zh-CN"/>
              </w:rPr>
              <w:t>五桂镇</w:t>
            </w:r>
            <w:r>
              <w:rPr>
                <w:rFonts w:hint="eastAsia" w:ascii="方正小标宋_GBK" w:hAnsi="方正小标宋_GBK" w:eastAsia="方正小标宋_GBK" w:cs="方正小标宋_GBK"/>
                <w:i w:val="0"/>
                <w:iCs w:val="0"/>
                <w:color w:val="000000"/>
                <w:kern w:val="0"/>
                <w:sz w:val="36"/>
                <w:szCs w:val="36"/>
                <w:u w:val="none"/>
                <w:lang w:val="en-US" w:eastAsia="zh-CN" w:bidi="ar"/>
              </w:rPr>
              <w:t>农业服务中心</w:t>
            </w:r>
            <w:r>
              <w:rPr>
                <w:rFonts w:hint="eastAsia" w:eastAsia="方正小标宋_GBK"/>
                <w:kern w:val="0"/>
                <w:sz w:val="36"/>
                <w:szCs w:val="36"/>
                <w:lang w:val="en-US" w:eastAsia="zh-CN"/>
              </w:rPr>
              <w:t>2024年预算项目绩效目标表-2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00" w:type="pct"/>
            <w:gridSpan w:val="8"/>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249"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50015224T000004237765-五桂镇村社误工补助（常年性项目）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3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813-潼南区五桂镇</w:t>
            </w:r>
          </w:p>
        </w:tc>
        <w:tc>
          <w:tcPr>
            <w:tcW w:w="16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实施单位</w:t>
            </w:r>
          </w:p>
        </w:tc>
        <w:tc>
          <w:tcPr>
            <w:tcW w:w="128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813002-潼南区五桂农业服务中心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资金总额（万元）</w:t>
            </w:r>
          </w:p>
        </w:tc>
        <w:tc>
          <w:tcPr>
            <w:tcW w:w="13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130</w:t>
            </w:r>
          </w:p>
        </w:tc>
        <w:tc>
          <w:tcPr>
            <w:tcW w:w="16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项目属性</w:t>
            </w:r>
          </w:p>
        </w:tc>
        <w:tc>
          <w:tcPr>
            <w:tcW w:w="128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项目起始时间</w:t>
            </w:r>
          </w:p>
        </w:tc>
        <w:tc>
          <w:tcPr>
            <w:tcW w:w="13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2024年</w:t>
            </w:r>
          </w:p>
        </w:tc>
        <w:tc>
          <w:tcPr>
            <w:tcW w:w="16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项目终止时间</w:t>
            </w:r>
          </w:p>
        </w:tc>
        <w:tc>
          <w:tcPr>
            <w:tcW w:w="128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项目概况</w:t>
            </w:r>
          </w:p>
        </w:tc>
        <w:tc>
          <w:tcPr>
            <w:tcW w:w="4249"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按时足额发放在职村干部补助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立项依据</w:t>
            </w:r>
          </w:p>
        </w:tc>
        <w:tc>
          <w:tcPr>
            <w:tcW w:w="4249"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渝财（2022）00001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项目当年绩效目标</w:t>
            </w:r>
          </w:p>
        </w:tc>
        <w:tc>
          <w:tcPr>
            <w:tcW w:w="4249"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按时足额发放在职村干部补助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7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7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拨付村社干部工工资人数</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人数</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7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拨付工资及时率</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7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全年发放补贴金额</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1300000</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7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村干部履职积极性</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7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00" w:type="pct"/>
            <w:gridSpan w:val="8"/>
            <w:tcBorders>
              <w:top w:val="nil"/>
              <w:left w:val="nil"/>
              <w:bottom w:val="nil"/>
              <w:right w:val="nil"/>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5000" w:type="pct"/>
            <w:gridSpan w:val="8"/>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宋体" w:hAnsi="宋体" w:eastAsia="宋体" w:cs="宋体"/>
                <w:b/>
                <w:bCs/>
                <w:i w:val="0"/>
                <w:iCs w:val="0"/>
                <w:color w:val="000000"/>
                <w:sz w:val="30"/>
                <w:szCs w:val="30"/>
                <w:u w:val="none"/>
                <w:lang w:val="en-US"/>
              </w:rPr>
            </w:pPr>
            <w:r>
              <w:rPr>
                <w:rFonts w:eastAsia="方正小标宋_GBK"/>
                <w:kern w:val="0"/>
                <w:sz w:val="36"/>
                <w:szCs w:val="36"/>
              </w:rPr>
              <w:t>重庆市潼南区</w:t>
            </w:r>
            <w:r>
              <w:rPr>
                <w:rFonts w:hint="eastAsia" w:eastAsia="方正小标宋_GBK"/>
                <w:kern w:val="0"/>
                <w:sz w:val="36"/>
                <w:szCs w:val="36"/>
                <w:lang w:eastAsia="zh-CN"/>
              </w:rPr>
              <w:t>五桂镇</w:t>
            </w:r>
            <w:r>
              <w:rPr>
                <w:rFonts w:hint="eastAsia" w:eastAsia="方正小标宋_GBK"/>
                <w:kern w:val="0"/>
                <w:sz w:val="36"/>
                <w:szCs w:val="36"/>
                <w:lang w:val="en-US" w:eastAsia="zh-CN"/>
              </w:rPr>
              <w:t>2024年预算项目绩效目标表-3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00" w:type="pct"/>
            <w:gridSpan w:val="8"/>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249"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50015224T000004237822-五桂镇村居五险（常年性项目）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3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813-潼南区五桂镇</w:t>
            </w:r>
          </w:p>
        </w:tc>
        <w:tc>
          <w:tcPr>
            <w:tcW w:w="16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实施单位</w:t>
            </w:r>
          </w:p>
        </w:tc>
        <w:tc>
          <w:tcPr>
            <w:tcW w:w="128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813002-潼南区五桂农业服务中心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资金总额（万元）</w:t>
            </w:r>
          </w:p>
        </w:tc>
        <w:tc>
          <w:tcPr>
            <w:tcW w:w="13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16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项目属性</w:t>
            </w:r>
          </w:p>
        </w:tc>
        <w:tc>
          <w:tcPr>
            <w:tcW w:w="128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项目起始时间</w:t>
            </w:r>
          </w:p>
        </w:tc>
        <w:tc>
          <w:tcPr>
            <w:tcW w:w="13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2024年</w:t>
            </w:r>
          </w:p>
        </w:tc>
        <w:tc>
          <w:tcPr>
            <w:tcW w:w="16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项目终止时间</w:t>
            </w:r>
          </w:p>
        </w:tc>
        <w:tc>
          <w:tcPr>
            <w:tcW w:w="128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项目概况</w:t>
            </w:r>
          </w:p>
        </w:tc>
        <w:tc>
          <w:tcPr>
            <w:tcW w:w="4249"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购买村干部五险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立项依据</w:t>
            </w:r>
          </w:p>
        </w:tc>
        <w:tc>
          <w:tcPr>
            <w:tcW w:w="4249"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渝财（2022）00001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项目当年绩效目标</w:t>
            </w:r>
          </w:p>
        </w:tc>
        <w:tc>
          <w:tcPr>
            <w:tcW w:w="4249"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购买村干部五险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7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7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补贴保险人数</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7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每月补贴次数</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7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全年补贴金额</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250000</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7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村干部工作积极性</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7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00" w:type="pct"/>
            <w:gridSpan w:val="8"/>
            <w:tcBorders>
              <w:top w:val="nil"/>
              <w:left w:val="nil"/>
              <w:bottom w:val="nil"/>
              <w:right w:val="nil"/>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5000" w:type="pct"/>
            <w:gridSpan w:val="8"/>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宋体" w:hAnsi="宋体" w:eastAsia="宋体" w:cs="宋体"/>
                <w:b/>
                <w:bCs/>
                <w:i w:val="0"/>
                <w:iCs w:val="0"/>
                <w:color w:val="000000"/>
                <w:sz w:val="30"/>
                <w:szCs w:val="30"/>
                <w:u w:val="none"/>
                <w:lang w:val="en-US"/>
              </w:rPr>
            </w:pPr>
            <w:r>
              <w:rPr>
                <w:rFonts w:eastAsia="方正小标宋_GBK"/>
                <w:kern w:val="0"/>
                <w:sz w:val="36"/>
                <w:szCs w:val="36"/>
              </w:rPr>
              <w:t>重庆市潼南区</w:t>
            </w:r>
            <w:r>
              <w:rPr>
                <w:rFonts w:hint="eastAsia" w:eastAsia="方正小标宋_GBK"/>
                <w:kern w:val="0"/>
                <w:sz w:val="36"/>
                <w:szCs w:val="36"/>
                <w:lang w:eastAsia="zh-CN"/>
              </w:rPr>
              <w:t>五桂镇</w:t>
            </w:r>
            <w:r>
              <w:rPr>
                <w:rFonts w:hint="eastAsia" w:eastAsia="方正小标宋_GBK"/>
                <w:kern w:val="0"/>
                <w:sz w:val="36"/>
                <w:szCs w:val="36"/>
                <w:lang w:val="en-US" w:eastAsia="zh-CN"/>
              </w:rPr>
              <w:t>2024年预算项目绩效目标表-4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00" w:type="pct"/>
            <w:gridSpan w:val="8"/>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249"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50015224T000004237837-五桂镇村级运转及服务群众经费（常年性项目）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3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813-潼南区五桂镇</w:t>
            </w:r>
          </w:p>
        </w:tc>
        <w:tc>
          <w:tcPr>
            <w:tcW w:w="16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实施单位</w:t>
            </w:r>
          </w:p>
        </w:tc>
        <w:tc>
          <w:tcPr>
            <w:tcW w:w="128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813002-潼南区五桂农业服务中心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资金总额（万元）</w:t>
            </w:r>
          </w:p>
        </w:tc>
        <w:tc>
          <w:tcPr>
            <w:tcW w:w="13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29.5</w:t>
            </w:r>
          </w:p>
        </w:tc>
        <w:tc>
          <w:tcPr>
            <w:tcW w:w="16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项目属性</w:t>
            </w:r>
          </w:p>
        </w:tc>
        <w:tc>
          <w:tcPr>
            <w:tcW w:w="128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项目起始时间</w:t>
            </w:r>
          </w:p>
        </w:tc>
        <w:tc>
          <w:tcPr>
            <w:tcW w:w="13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2024年</w:t>
            </w:r>
          </w:p>
        </w:tc>
        <w:tc>
          <w:tcPr>
            <w:tcW w:w="16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项目终止时间</w:t>
            </w:r>
          </w:p>
        </w:tc>
        <w:tc>
          <w:tcPr>
            <w:tcW w:w="128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项目概况</w:t>
            </w:r>
          </w:p>
        </w:tc>
        <w:tc>
          <w:tcPr>
            <w:tcW w:w="4249"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维持村级运转办公经费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立项依据</w:t>
            </w:r>
          </w:p>
        </w:tc>
        <w:tc>
          <w:tcPr>
            <w:tcW w:w="4249"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渝财（2022）00001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项目当年绩效目标</w:t>
            </w:r>
          </w:p>
        </w:tc>
        <w:tc>
          <w:tcPr>
            <w:tcW w:w="4249"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维持村级运转办公经费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7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7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村社数量</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7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服务群众工作质量</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7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发放金额</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295000</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7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保障农村工作正常运行率</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7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00" w:type="pct"/>
            <w:gridSpan w:val="8"/>
            <w:tcBorders>
              <w:top w:val="nil"/>
              <w:left w:val="nil"/>
              <w:bottom w:val="nil"/>
              <w:right w:val="nil"/>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7" w:hRule="atLeast"/>
        </w:trPr>
        <w:tc>
          <w:tcPr>
            <w:tcW w:w="5000" w:type="pct"/>
            <w:gridSpan w:val="8"/>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宋体" w:hAnsi="宋体" w:eastAsia="宋体" w:cs="宋体"/>
                <w:b/>
                <w:bCs/>
                <w:i w:val="0"/>
                <w:iCs w:val="0"/>
                <w:color w:val="000000"/>
                <w:sz w:val="30"/>
                <w:szCs w:val="30"/>
                <w:u w:val="none"/>
                <w:lang w:val="en-US"/>
              </w:rPr>
            </w:pPr>
            <w:r>
              <w:rPr>
                <w:rFonts w:eastAsia="方正小标宋_GBK"/>
                <w:kern w:val="0"/>
                <w:sz w:val="36"/>
                <w:szCs w:val="36"/>
              </w:rPr>
              <w:t>重庆市潼南区</w:t>
            </w:r>
            <w:r>
              <w:rPr>
                <w:rFonts w:hint="eastAsia" w:eastAsia="方正小标宋_GBK"/>
                <w:kern w:val="0"/>
                <w:sz w:val="36"/>
                <w:szCs w:val="36"/>
                <w:lang w:eastAsia="zh-CN"/>
              </w:rPr>
              <w:t>五桂镇</w:t>
            </w:r>
            <w:r>
              <w:rPr>
                <w:rFonts w:hint="eastAsia" w:eastAsia="方正小标宋_GBK"/>
                <w:kern w:val="0"/>
                <w:sz w:val="36"/>
                <w:szCs w:val="36"/>
                <w:lang w:val="en-US" w:eastAsia="zh-CN"/>
              </w:rPr>
              <w:t>2024年预算项目绩效目标表-5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00" w:type="pct"/>
            <w:gridSpan w:val="8"/>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249"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50015224T000004237870-五桂镇交通劝导员补助（常年性项目）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3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813-潼南区五桂镇</w:t>
            </w:r>
          </w:p>
        </w:tc>
        <w:tc>
          <w:tcPr>
            <w:tcW w:w="16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实施单位</w:t>
            </w:r>
          </w:p>
        </w:tc>
        <w:tc>
          <w:tcPr>
            <w:tcW w:w="128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813002-潼南区五桂农业服务中心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资金总额（万元）</w:t>
            </w:r>
          </w:p>
        </w:tc>
        <w:tc>
          <w:tcPr>
            <w:tcW w:w="13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2.64</w:t>
            </w:r>
          </w:p>
        </w:tc>
        <w:tc>
          <w:tcPr>
            <w:tcW w:w="16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项目属性</w:t>
            </w:r>
          </w:p>
        </w:tc>
        <w:tc>
          <w:tcPr>
            <w:tcW w:w="128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项目起始时间</w:t>
            </w:r>
          </w:p>
        </w:tc>
        <w:tc>
          <w:tcPr>
            <w:tcW w:w="13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2024年</w:t>
            </w:r>
          </w:p>
        </w:tc>
        <w:tc>
          <w:tcPr>
            <w:tcW w:w="16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项目终止时间</w:t>
            </w:r>
          </w:p>
        </w:tc>
        <w:tc>
          <w:tcPr>
            <w:tcW w:w="128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项目概况</w:t>
            </w:r>
          </w:p>
        </w:tc>
        <w:tc>
          <w:tcPr>
            <w:tcW w:w="4249"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按时足额发放交通劝导员和交通劝导站补助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立项依据</w:t>
            </w:r>
          </w:p>
        </w:tc>
        <w:tc>
          <w:tcPr>
            <w:tcW w:w="4249"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渝财（2022）00001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项目当年绩效目标</w:t>
            </w:r>
          </w:p>
        </w:tc>
        <w:tc>
          <w:tcPr>
            <w:tcW w:w="4249"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按时足额发放交通劝导员和交通劝导站补助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7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7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交通劝导员上岗率</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7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每月发放交通劝导员补贴次数</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7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发放金额</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26400</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7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接受交通劝导人数</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1200</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7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00" w:type="pct"/>
            <w:gridSpan w:val="8"/>
            <w:tcBorders>
              <w:top w:val="nil"/>
              <w:left w:val="nil"/>
              <w:bottom w:val="nil"/>
              <w:right w:val="nil"/>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7" w:hRule="atLeast"/>
        </w:trPr>
        <w:tc>
          <w:tcPr>
            <w:tcW w:w="5000" w:type="pct"/>
            <w:gridSpan w:val="8"/>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宋体" w:hAnsi="宋体" w:eastAsia="宋体" w:cs="宋体"/>
                <w:b/>
                <w:bCs/>
                <w:i w:val="0"/>
                <w:iCs w:val="0"/>
                <w:color w:val="000000"/>
                <w:sz w:val="30"/>
                <w:szCs w:val="30"/>
                <w:u w:val="none"/>
                <w:lang w:val="en-US"/>
              </w:rPr>
            </w:pPr>
            <w:r>
              <w:rPr>
                <w:rFonts w:eastAsia="方正小标宋_GBK"/>
                <w:kern w:val="0"/>
                <w:sz w:val="36"/>
                <w:szCs w:val="36"/>
              </w:rPr>
              <w:t>重庆市潼南区</w:t>
            </w:r>
            <w:r>
              <w:rPr>
                <w:rFonts w:hint="eastAsia" w:eastAsia="方正小标宋_GBK"/>
                <w:kern w:val="0"/>
                <w:sz w:val="36"/>
                <w:szCs w:val="36"/>
                <w:lang w:eastAsia="zh-CN"/>
              </w:rPr>
              <w:t>五桂镇</w:t>
            </w:r>
            <w:r>
              <w:rPr>
                <w:rFonts w:hint="eastAsia" w:eastAsia="方正小标宋_GBK"/>
                <w:kern w:val="0"/>
                <w:sz w:val="36"/>
                <w:szCs w:val="36"/>
                <w:lang w:val="en-US" w:eastAsia="zh-CN"/>
              </w:rPr>
              <w:t>2024年预算项目绩效目标表-6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00" w:type="pct"/>
            <w:gridSpan w:val="8"/>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249"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50015224T000004237888-五桂镇老党员补助（常年性项目）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3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813-潼南区五桂镇</w:t>
            </w:r>
          </w:p>
        </w:tc>
        <w:tc>
          <w:tcPr>
            <w:tcW w:w="16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实施单位</w:t>
            </w:r>
          </w:p>
        </w:tc>
        <w:tc>
          <w:tcPr>
            <w:tcW w:w="128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813002-潼南区五桂农业服务中心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资金总额（万元）</w:t>
            </w:r>
          </w:p>
        </w:tc>
        <w:tc>
          <w:tcPr>
            <w:tcW w:w="13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项目属性</w:t>
            </w:r>
          </w:p>
        </w:tc>
        <w:tc>
          <w:tcPr>
            <w:tcW w:w="128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项目起始时间</w:t>
            </w:r>
          </w:p>
        </w:tc>
        <w:tc>
          <w:tcPr>
            <w:tcW w:w="13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2024年</w:t>
            </w:r>
          </w:p>
        </w:tc>
        <w:tc>
          <w:tcPr>
            <w:tcW w:w="16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项目终止时间</w:t>
            </w:r>
          </w:p>
        </w:tc>
        <w:tc>
          <w:tcPr>
            <w:tcW w:w="128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项目概况</w:t>
            </w:r>
          </w:p>
        </w:tc>
        <w:tc>
          <w:tcPr>
            <w:tcW w:w="4249"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按时足额发放老党员补助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立项依据</w:t>
            </w:r>
          </w:p>
        </w:tc>
        <w:tc>
          <w:tcPr>
            <w:tcW w:w="4249"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渝财（2022）00001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项目当年绩效目标</w:t>
            </w:r>
          </w:p>
        </w:tc>
        <w:tc>
          <w:tcPr>
            <w:tcW w:w="4249"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按时足额发放老党员补助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7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7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发放人数</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7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每年发放老党员补助次数</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7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发放金额</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100000</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7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维护信访稳定，保障老党员生活</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7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老党员满意度</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00" w:type="pct"/>
            <w:gridSpan w:val="8"/>
            <w:tcBorders>
              <w:top w:val="nil"/>
              <w:left w:val="nil"/>
              <w:bottom w:val="nil"/>
              <w:right w:val="nil"/>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5000" w:type="pct"/>
            <w:gridSpan w:val="8"/>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宋体" w:hAnsi="宋体" w:eastAsia="宋体" w:cs="宋体"/>
                <w:b/>
                <w:bCs/>
                <w:i w:val="0"/>
                <w:iCs w:val="0"/>
                <w:color w:val="000000"/>
                <w:sz w:val="30"/>
                <w:szCs w:val="30"/>
                <w:u w:val="none"/>
                <w:lang w:val="en-US"/>
              </w:rPr>
            </w:pPr>
            <w:r>
              <w:rPr>
                <w:rFonts w:eastAsia="方正小标宋_GBK"/>
                <w:kern w:val="0"/>
                <w:sz w:val="36"/>
                <w:szCs w:val="36"/>
              </w:rPr>
              <w:t>重庆市潼南区</w:t>
            </w:r>
            <w:r>
              <w:rPr>
                <w:rFonts w:hint="eastAsia" w:eastAsia="方正小标宋_GBK"/>
                <w:kern w:val="0"/>
                <w:sz w:val="36"/>
                <w:szCs w:val="36"/>
                <w:lang w:eastAsia="zh-CN"/>
              </w:rPr>
              <w:t>五桂镇</w:t>
            </w:r>
            <w:r>
              <w:rPr>
                <w:rFonts w:hint="eastAsia" w:eastAsia="方正小标宋_GBK"/>
                <w:kern w:val="0"/>
                <w:sz w:val="36"/>
                <w:szCs w:val="36"/>
                <w:lang w:val="en-US" w:eastAsia="zh-CN"/>
              </w:rPr>
              <w:t>2024年预算项目绩效目标表-7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00" w:type="pct"/>
            <w:gridSpan w:val="8"/>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249"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50015224T000004237899-五桂镇离任村干补助（常年性项目）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3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813-潼南区五桂镇</w:t>
            </w:r>
          </w:p>
        </w:tc>
        <w:tc>
          <w:tcPr>
            <w:tcW w:w="16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实施单位</w:t>
            </w:r>
          </w:p>
        </w:tc>
        <w:tc>
          <w:tcPr>
            <w:tcW w:w="128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813002-潼南区五桂农业服务中心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资金总额（万元）</w:t>
            </w:r>
          </w:p>
        </w:tc>
        <w:tc>
          <w:tcPr>
            <w:tcW w:w="13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6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项目属性</w:t>
            </w:r>
          </w:p>
        </w:tc>
        <w:tc>
          <w:tcPr>
            <w:tcW w:w="128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项目起始时间</w:t>
            </w:r>
          </w:p>
        </w:tc>
        <w:tc>
          <w:tcPr>
            <w:tcW w:w="13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2024年</w:t>
            </w:r>
          </w:p>
        </w:tc>
        <w:tc>
          <w:tcPr>
            <w:tcW w:w="16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项目终止时间</w:t>
            </w:r>
          </w:p>
        </w:tc>
        <w:tc>
          <w:tcPr>
            <w:tcW w:w="128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项目概况</w:t>
            </w:r>
          </w:p>
        </w:tc>
        <w:tc>
          <w:tcPr>
            <w:tcW w:w="4249"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按时足额发放离任村干部补助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立项依据</w:t>
            </w:r>
          </w:p>
        </w:tc>
        <w:tc>
          <w:tcPr>
            <w:tcW w:w="4249"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渝财（2022）00001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项目当年绩效目标</w:t>
            </w:r>
          </w:p>
        </w:tc>
        <w:tc>
          <w:tcPr>
            <w:tcW w:w="4249"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按时足额发放离任村干部补助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7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7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每年发放次数</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7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发放金额</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100000</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7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效果指标</w:t>
            </w:r>
          </w:p>
        </w:tc>
        <w:tc>
          <w:tcPr>
            <w:tcW w:w="1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村社正常运转率</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7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村干部对工作支持度</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7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离任村干部满意度</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bl>
    <w:p>
      <w:pPr>
        <w:pStyle w:val="5"/>
        <w:keepNext w:val="0"/>
        <w:keepLines w:val="0"/>
        <w:pageBreakBefore w:val="0"/>
        <w:kinsoku/>
        <w:wordWrap/>
        <w:overflowPunct/>
        <w:topLinePunct w:val="0"/>
        <w:autoSpaceDN/>
        <w:bidi w:val="0"/>
        <w:adjustRightInd/>
        <w:spacing w:line="600" w:lineRule="exact"/>
      </w:pPr>
    </w:p>
    <w:sectPr>
      <w:pgSz w:w="16838" w:h="11906" w:orient="landscape"/>
      <w:pgMar w:top="1418" w:right="1418" w:bottom="1418" w:left="1418"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hakuyoxingshu7000"/>
    <w:panose1 w:val="02010609060101010101"/>
    <w:charset w:val="86"/>
    <w:family w:val="auto"/>
    <w:pitch w:val="default"/>
    <w:sig w:usb0="800002BF" w:usb1="38CF7CFA" w:usb2="00000016" w:usb3="00000000" w:csb0="00040001" w:csb1="00000000"/>
    <w:embedRegular r:id="rId1" w:fontKey="{B793ADDD-4FC1-43DF-932E-1294408CF5E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方正仿宋_GBK">
    <w:panose1 w:val="02000000000000000000"/>
    <w:charset w:val="86"/>
    <w:family w:val="script"/>
    <w:pitch w:val="default"/>
    <w:sig w:usb0="00000001" w:usb1="080E0000" w:usb2="00000000" w:usb3="00000000" w:csb0="00040000" w:csb1="00000000"/>
    <w:embedRegular r:id="rId2" w:fontKey="{8BA9C5D3-3A07-48AA-9816-B87C64E5FE1D}"/>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3" w:fontKey="{CF1710DF-5195-400C-AF78-5AA9B8CAFD01}"/>
  </w:font>
  <w:font w:name="仿宋_GB2312">
    <w:panose1 w:val="02010609030101010101"/>
    <w:charset w:val="86"/>
    <w:family w:val="modern"/>
    <w:pitch w:val="default"/>
    <w:sig w:usb0="00000001" w:usb1="080E0000" w:usb2="00000000" w:usb3="00000000" w:csb0="00040000" w:csb1="00000000"/>
    <w:embedRegular r:id="rId4" w:fontKey="{7EE4A994-5D51-4E66-A1A1-25E97118F0B8}"/>
  </w:font>
  <w:font w:name="方正黑体_GBK">
    <w:panose1 w:val="03000509000000000000"/>
    <w:charset w:val="86"/>
    <w:family w:val="script"/>
    <w:pitch w:val="default"/>
    <w:sig w:usb0="00000001" w:usb1="080E0000" w:usb2="00000000" w:usb3="00000000" w:csb0="00040000" w:csb1="00000000"/>
    <w:embedRegular r:id="rId5" w:fontKey="{C4B3133F-045E-40CE-91BE-5CA277F32892}"/>
  </w:font>
  <w:font w:name="方正楷体_GBK">
    <w:panose1 w:val="02000000000000000000"/>
    <w:charset w:val="86"/>
    <w:family w:val="script"/>
    <w:pitch w:val="default"/>
    <w:sig w:usb0="800002BF" w:usb1="38CF7CFA" w:usb2="00000016" w:usb3="00000000" w:csb0="00040000" w:csb1="00000000"/>
    <w:embedRegular r:id="rId6" w:fontKey="{0E54385A-4612-4C52-B10D-6B6B9F650F9F}"/>
  </w:font>
  <w:font w:name="hakuyoxingshu7000">
    <w:panose1 w:val="02000600000000000000"/>
    <w:charset w:val="86"/>
    <w:family w:val="auto"/>
    <w:pitch w:val="default"/>
    <w:sig w:usb0="FFFFFFFF" w:usb1="E9FFFFFF"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408</w:t>
    </w:r>
    <w:r>
      <w:rPr>
        <w:rStyle w:val="10"/>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t>411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4MDJiZDc2YzE4NzhkOTYxYzA1NTYzNTkzZmIyZjYifQ=="/>
    <w:docVar w:name="KSO_WPS_MARK_KEY" w:val="549f03ad-1e6e-4a8d-8c95-fefd3fb013e0"/>
  </w:docVars>
  <w:rsids>
    <w:rsidRoot w:val="3C93402F"/>
    <w:rsid w:val="000304B9"/>
    <w:rsid w:val="0003706B"/>
    <w:rsid w:val="00053759"/>
    <w:rsid w:val="00054392"/>
    <w:rsid w:val="000A4AA7"/>
    <w:rsid w:val="0010727F"/>
    <w:rsid w:val="001310F8"/>
    <w:rsid w:val="00191811"/>
    <w:rsid w:val="00214D21"/>
    <w:rsid w:val="0022405D"/>
    <w:rsid w:val="00286DAB"/>
    <w:rsid w:val="002969A9"/>
    <w:rsid w:val="002A40F6"/>
    <w:rsid w:val="002E06F8"/>
    <w:rsid w:val="0032691B"/>
    <w:rsid w:val="00341BCA"/>
    <w:rsid w:val="00343544"/>
    <w:rsid w:val="00343D3E"/>
    <w:rsid w:val="0035780D"/>
    <w:rsid w:val="003C41BF"/>
    <w:rsid w:val="003E0863"/>
    <w:rsid w:val="003F57F2"/>
    <w:rsid w:val="00414B68"/>
    <w:rsid w:val="004300CB"/>
    <w:rsid w:val="0044161A"/>
    <w:rsid w:val="004B1678"/>
    <w:rsid w:val="004C04BD"/>
    <w:rsid w:val="004C76C3"/>
    <w:rsid w:val="00517411"/>
    <w:rsid w:val="00616F23"/>
    <w:rsid w:val="0064386D"/>
    <w:rsid w:val="00645533"/>
    <w:rsid w:val="00675608"/>
    <w:rsid w:val="0068143B"/>
    <w:rsid w:val="00690309"/>
    <w:rsid w:val="006A1C3C"/>
    <w:rsid w:val="006B161D"/>
    <w:rsid w:val="006F2A96"/>
    <w:rsid w:val="0071520F"/>
    <w:rsid w:val="00722C1D"/>
    <w:rsid w:val="00781CBE"/>
    <w:rsid w:val="007A554C"/>
    <w:rsid w:val="007C6921"/>
    <w:rsid w:val="007E2700"/>
    <w:rsid w:val="008011A3"/>
    <w:rsid w:val="008218F0"/>
    <w:rsid w:val="008224F2"/>
    <w:rsid w:val="0083630C"/>
    <w:rsid w:val="008820C5"/>
    <w:rsid w:val="008878A5"/>
    <w:rsid w:val="008C2C83"/>
    <w:rsid w:val="008D3E31"/>
    <w:rsid w:val="008D7B5B"/>
    <w:rsid w:val="00970311"/>
    <w:rsid w:val="00980EE4"/>
    <w:rsid w:val="009C0815"/>
    <w:rsid w:val="009F24FE"/>
    <w:rsid w:val="009F256A"/>
    <w:rsid w:val="00A00605"/>
    <w:rsid w:val="00A272F2"/>
    <w:rsid w:val="00A91667"/>
    <w:rsid w:val="00AA06C3"/>
    <w:rsid w:val="00AA08EA"/>
    <w:rsid w:val="00AC3945"/>
    <w:rsid w:val="00AD0C52"/>
    <w:rsid w:val="00AD2978"/>
    <w:rsid w:val="00AD541D"/>
    <w:rsid w:val="00AE7D48"/>
    <w:rsid w:val="00B0766A"/>
    <w:rsid w:val="00B53E3F"/>
    <w:rsid w:val="00B60A06"/>
    <w:rsid w:val="00BE7F84"/>
    <w:rsid w:val="00C204FF"/>
    <w:rsid w:val="00C32FC7"/>
    <w:rsid w:val="00CD2F64"/>
    <w:rsid w:val="00CD3892"/>
    <w:rsid w:val="00CE6AD7"/>
    <w:rsid w:val="00D15820"/>
    <w:rsid w:val="00D61957"/>
    <w:rsid w:val="00D76E54"/>
    <w:rsid w:val="00D8531A"/>
    <w:rsid w:val="00D9365C"/>
    <w:rsid w:val="00DB1EFC"/>
    <w:rsid w:val="00DE3EE8"/>
    <w:rsid w:val="00E147C3"/>
    <w:rsid w:val="00E32EE1"/>
    <w:rsid w:val="00E32F17"/>
    <w:rsid w:val="00E43CF2"/>
    <w:rsid w:val="00E7401B"/>
    <w:rsid w:val="00ED075B"/>
    <w:rsid w:val="00EE3975"/>
    <w:rsid w:val="00EE4C1C"/>
    <w:rsid w:val="00F0356C"/>
    <w:rsid w:val="00F21EB6"/>
    <w:rsid w:val="00F43BEC"/>
    <w:rsid w:val="00F74F1E"/>
    <w:rsid w:val="00F8785D"/>
    <w:rsid w:val="00FC051D"/>
    <w:rsid w:val="00FE0906"/>
    <w:rsid w:val="010549E3"/>
    <w:rsid w:val="01274366"/>
    <w:rsid w:val="01455A48"/>
    <w:rsid w:val="015A016E"/>
    <w:rsid w:val="016417A4"/>
    <w:rsid w:val="02177A6B"/>
    <w:rsid w:val="02276CDE"/>
    <w:rsid w:val="02E60851"/>
    <w:rsid w:val="02F216FC"/>
    <w:rsid w:val="0318024C"/>
    <w:rsid w:val="033579B8"/>
    <w:rsid w:val="03FB4339"/>
    <w:rsid w:val="04227034"/>
    <w:rsid w:val="04371904"/>
    <w:rsid w:val="04622B4E"/>
    <w:rsid w:val="0487355B"/>
    <w:rsid w:val="051B68CD"/>
    <w:rsid w:val="053C0B8D"/>
    <w:rsid w:val="059D461C"/>
    <w:rsid w:val="05B34E63"/>
    <w:rsid w:val="05E00732"/>
    <w:rsid w:val="05E16ED2"/>
    <w:rsid w:val="05F733F5"/>
    <w:rsid w:val="06616243"/>
    <w:rsid w:val="06A72264"/>
    <w:rsid w:val="06C63D2E"/>
    <w:rsid w:val="06E64DB5"/>
    <w:rsid w:val="07D74CDF"/>
    <w:rsid w:val="07DF2BAA"/>
    <w:rsid w:val="0802440D"/>
    <w:rsid w:val="087459EC"/>
    <w:rsid w:val="089F1C5C"/>
    <w:rsid w:val="09066342"/>
    <w:rsid w:val="09717916"/>
    <w:rsid w:val="099C40FB"/>
    <w:rsid w:val="09CE41EC"/>
    <w:rsid w:val="0AE40C5E"/>
    <w:rsid w:val="0B624041"/>
    <w:rsid w:val="0B970E43"/>
    <w:rsid w:val="0BDB62C7"/>
    <w:rsid w:val="0CEC743A"/>
    <w:rsid w:val="0D1C68EC"/>
    <w:rsid w:val="0D566B03"/>
    <w:rsid w:val="0D8C7292"/>
    <w:rsid w:val="0DEE03B4"/>
    <w:rsid w:val="0E1C182B"/>
    <w:rsid w:val="0E3F7123"/>
    <w:rsid w:val="10455B23"/>
    <w:rsid w:val="10D97499"/>
    <w:rsid w:val="116019C8"/>
    <w:rsid w:val="11654E04"/>
    <w:rsid w:val="11991082"/>
    <w:rsid w:val="119D3C86"/>
    <w:rsid w:val="11B5604C"/>
    <w:rsid w:val="122C1D03"/>
    <w:rsid w:val="12344F34"/>
    <w:rsid w:val="123F4338"/>
    <w:rsid w:val="1270142A"/>
    <w:rsid w:val="12A1218B"/>
    <w:rsid w:val="12D1658C"/>
    <w:rsid w:val="12F80A67"/>
    <w:rsid w:val="1312127D"/>
    <w:rsid w:val="13367EB4"/>
    <w:rsid w:val="14946A93"/>
    <w:rsid w:val="14DB1FD4"/>
    <w:rsid w:val="151D77DE"/>
    <w:rsid w:val="15235D67"/>
    <w:rsid w:val="152449FC"/>
    <w:rsid w:val="154B54F4"/>
    <w:rsid w:val="15681628"/>
    <w:rsid w:val="15C27FC8"/>
    <w:rsid w:val="15D143D1"/>
    <w:rsid w:val="166E74A4"/>
    <w:rsid w:val="16A803DE"/>
    <w:rsid w:val="16B44623"/>
    <w:rsid w:val="16C86E70"/>
    <w:rsid w:val="16EB42BE"/>
    <w:rsid w:val="171137D4"/>
    <w:rsid w:val="18145165"/>
    <w:rsid w:val="18231D1A"/>
    <w:rsid w:val="18456187"/>
    <w:rsid w:val="187B6642"/>
    <w:rsid w:val="18A66004"/>
    <w:rsid w:val="19A75E26"/>
    <w:rsid w:val="19E005BF"/>
    <w:rsid w:val="1A051B2B"/>
    <w:rsid w:val="1AA62AE4"/>
    <w:rsid w:val="1B644B05"/>
    <w:rsid w:val="1BDB48A9"/>
    <w:rsid w:val="1C63380A"/>
    <w:rsid w:val="1C8046AD"/>
    <w:rsid w:val="1CCB4B70"/>
    <w:rsid w:val="1CE23AE0"/>
    <w:rsid w:val="1CF705F2"/>
    <w:rsid w:val="1D2D10AF"/>
    <w:rsid w:val="1D467DF1"/>
    <w:rsid w:val="1DEE2207"/>
    <w:rsid w:val="1DF328B5"/>
    <w:rsid w:val="1E6B327E"/>
    <w:rsid w:val="1E911169"/>
    <w:rsid w:val="1E9236CD"/>
    <w:rsid w:val="1ED50B96"/>
    <w:rsid w:val="1EED3BFB"/>
    <w:rsid w:val="1F833C2E"/>
    <w:rsid w:val="1FC303CA"/>
    <w:rsid w:val="206B7D6A"/>
    <w:rsid w:val="206C2914"/>
    <w:rsid w:val="208115C4"/>
    <w:rsid w:val="210B58E7"/>
    <w:rsid w:val="217F456C"/>
    <w:rsid w:val="21AA6177"/>
    <w:rsid w:val="21AF615A"/>
    <w:rsid w:val="21EA1D42"/>
    <w:rsid w:val="222557E0"/>
    <w:rsid w:val="22643293"/>
    <w:rsid w:val="22C85FA2"/>
    <w:rsid w:val="22F1223C"/>
    <w:rsid w:val="236043E2"/>
    <w:rsid w:val="23E746D1"/>
    <w:rsid w:val="23E90CBE"/>
    <w:rsid w:val="2419690F"/>
    <w:rsid w:val="24E22A16"/>
    <w:rsid w:val="24F02B7D"/>
    <w:rsid w:val="25311480"/>
    <w:rsid w:val="25450795"/>
    <w:rsid w:val="25AB6FE2"/>
    <w:rsid w:val="264674C0"/>
    <w:rsid w:val="265F2724"/>
    <w:rsid w:val="26C16617"/>
    <w:rsid w:val="27433B66"/>
    <w:rsid w:val="2795146C"/>
    <w:rsid w:val="279F519A"/>
    <w:rsid w:val="27A02EA3"/>
    <w:rsid w:val="282817BD"/>
    <w:rsid w:val="28595C3D"/>
    <w:rsid w:val="289245B8"/>
    <w:rsid w:val="28CC7C8E"/>
    <w:rsid w:val="28E51EAA"/>
    <w:rsid w:val="2A150A97"/>
    <w:rsid w:val="2AF072F5"/>
    <w:rsid w:val="2AF90B43"/>
    <w:rsid w:val="2B2A36FB"/>
    <w:rsid w:val="2B367AF8"/>
    <w:rsid w:val="2BA52521"/>
    <w:rsid w:val="2C194F20"/>
    <w:rsid w:val="2C4409B5"/>
    <w:rsid w:val="2C7C7152"/>
    <w:rsid w:val="2CA95B0F"/>
    <w:rsid w:val="2CE675AA"/>
    <w:rsid w:val="2DC36881"/>
    <w:rsid w:val="2E68444C"/>
    <w:rsid w:val="2E8E277C"/>
    <w:rsid w:val="2EB47660"/>
    <w:rsid w:val="2F924E08"/>
    <w:rsid w:val="301541ED"/>
    <w:rsid w:val="30221C48"/>
    <w:rsid w:val="30240B15"/>
    <w:rsid w:val="310321F0"/>
    <w:rsid w:val="311D122A"/>
    <w:rsid w:val="31451B93"/>
    <w:rsid w:val="31C93EE5"/>
    <w:rsid w:val="31C95ED4"/>
    <w:rsid w:val="3208244F"/>
    <w:rsid w:val="326C67A3"/>
    <w:rsid w:val="32D103B5"/>
    <w:rsid w:val="331464E2"/>
    <w:rsid w:val="334A189D"/>
    <w:rsid w:val="33DC0966"/>
    <w:rsid w:val="34215832"/>
    <w:rsid w:val="34634E5B"/>
    <w:rsid w:val="349518AA"/>
    <w:rsid w:val="349A611D"/>
    <w:rsid w:val="34C60079"/>
    <w:rsid w:val="34C73F94"/>
    <w:rsid w:val="36232870"/>
    <w:rsid w:val="363611DD"/>
    <w:rsid w:val="36AF255F"/>
    <w:rsid w:val="372904BF"/>
    <w:rsid w:val="37BD385B"/>
    <w:rsid w:val="37BE77C3"/>
    <w:rsid w:val="38760452"/>
    <w:rsid w:val="389D426B"/>
    <w:rsid w:val="39411436"/>
    <w:rsid w:val="396B5450"/>
    <w:rsid w:val="39D92970"/>
    <w:rsid w:val="39F52164"/>
    <w:rsid w:val="3BBE6635"/>
    <w:rsid w:val="3C753F8B"/>
    <w:rsid w:val="3C9211CB"/>
    <w:rsid w:val="3C93402F"/>
    <w:rsid w:val="3DB57AA1"/>
    <w:rsid w:val="3E001740"/>
    <w:rsid w:val="3E0C10AA"/>
    <w:rsid w:val="3E403BBA"/>
    <w:rsid w:val="3E493C5F"/>
    <w:rsid w:val="3E991BCE"/>
    <w:rsid w:val="3EC052AB"/>
    <w:rsid w:val="3ED66846"/>
    <w:rsid w:val="3EF95346"/>
    <w:rsid w:val="3FC04F7A"/>
    <w:rsid w:val="3FC6459D"/>
    <w:rsid w:val="3FF057F2"/>
    <w:rsid w:val="401B483B"/>
    <w:rsid w:val="402F2764"/>
    <w:rsid w:val="40372BB2"/>
    <w:rsid w:val="405113F8"/>
    <w:rsid w:val="40767602"/>
    <w:rsid w:val="4087105B"/>
    <w:rsid w:val="40CB1ED0"/>
    <w:rsid w:val="41362356"/>
    <w:rsid w:val="425E3CB1"/>
    <w:rsid w:val="426136E9"/>
    <w:rsid w:val="426F65D3"/>
    <w:rsid w:val="42813BA5"/>
    <w:rsid w:val="428611BC"/>
    <w:rsid w:val="429513FF"/>
    <w:rsid w:val="42B21FB1"/>
    <w:rsid w:val="434765EB"/>
    <w:rsid w:val="4374118B"/>
    <w:rsid w:val="439F6551"/>
    <w:rsid w:val="43F343DC"/>
    <w:rsid w:val="44681FAE"/>
    <w:rsid w:val="447753B7"/>
    <w:rsid w:val="44B64C4D"/>
    <w:rsid w:val="45194FAF"/>
    <w:rsid w:val="45446C5B"/>
    <w:rsid w:val="455E025D"/>
    <w:rsid w:val="4623548B"/>
    <w:rsid w:val="46EA05B5"/>
    <w:rsid w:val="46F87E54"/>
    <w:rsid w:val="47573126"/>
    <w:rsid w:val="48621D83"/>
    <w:rsid w:val="490378C0"/>
    <w:rsid w:val="49092B40"/>
    <w:rsid w:val="49516880"/>
    <w:rsid w:val="49530F1E"/>
    <w:rsid w:val="49B53780"/>
    <w:rsid w:val="4A334A7F"/>
    <w:rsid w:val="4AA220FE"/>
    <w:rsid w:val="4AEA028D"/>
    <w:rsid w:val="4B0B6CBE"/>
    <w:rsid w:val="4B0F6354"/>
    <w:rsid w:val="4B234E97"/>
    <w:rsid w:val="4C075BC2"/>
    <w:rsid w:val="4C2C61E0"/>
    <w:rsid w:val="4CED5945"/>
    <w:rsid w:val="4D0A0918"/>
    <w:rsid w:val="4D7C7C18"/>
    <w:rsid w:val="4DCF2FCB"/>
    <w:rsid w:val="4DD9086C"/>
    <w:rsid w:val="4EB237A8"/>
    <w:rsid w:val="4FC31E08"/>
    <w:rsid w:val="50131BB5"/>
    <w:rsid w:val="50AA1A17"/>
    <w:rsid w:val="50CB161B"/>
    <w:rsid w:val="50DA38A7"/>
    <w:rsid w:val="51C57A7C"/>
    <w:rsid w:val="524653C1"/>
    <w:rsid w:val="534F7E50"/>
    <w:rsid w:val="5372354D"/>
    <w:rsid w:val="53FF6B3F"/>
    <w:rsid w:val="54C40190"/>
    <w:rsid w:val="559A0529"/>
    <w:rsid w:val="559C7B27"/>
    <w:rsid w:val="562E7748"/>
    <w:rsid w:val="565617CD"/>
    <w:rsid w:val="56A92D3D"/>
    <w:rsid w:val="56C71C1E"/>
    <w:rsid w:val="56EA0B71"/>
    <w:rsid w:val="57480F49"/>
    <w:rsid w:val="57902AC5"/>
    <w:rsid w:val="58F6705C"/>
    <w:rsid w:val="59EB2FCB"/>
    <w:rsid w:val="59F111B9"/>
    <w:rsid w:val="5AB83669"/>
    <w:rsid w:val="5AC93C88"/>
    <w:rsid w:val="5B1435B0"/>
    <w:rsid w:val="5B376EC6"/>
    <w:rsid w:val="5BE6216F"/>
    <w:rsid w:val="5CA56A42"/>
    <w:rsid w:val="5D6326D7"/>
    <w:rsid w:val="5D7F232B"/>
    <w:rsid w:val="5DC036F4"/>
    <w:rsid w:val="5EED7223"/>
    <w:rsid w:val="5FC91EFA"/>
    <w:rsid w:val="5FDF3531"/>
    <w:rsid w:val="60662C46"/>
    <w:rsid w:val="613D2B21"/>
    <w:rsid w:val="61C22F65"/>
    <w:rsid w:val="620F321D"/>
    <w:rsid w:val="626E1829"/>
    <w:rsid w:val="62776161"/>
    <w:rsid w:val="62FB101D"/>
    <w:rsid w:val="63871BF1"/>
    <w:rsid w:val="63B07155"/>
    <w:rsid w:val="63B35731"/>
    <w:rsid w:val="63FF7D66"/>
    <w:rsid w:val="64320547"/>
    <w:rsid w:val="65701DAE"/>
    <w:rsid w:val="65AC068A"/>
    <w:rsid w:val="65E65E08"/>
    <w:rsid w:val="65FA3F4B"/>
    <w:rsid w:val="662243A2"/>
    <w:rsid w:val="6630546A"/>
    <w:rsid w:val="666A7523"/>
    <w:rsid w:val="676518D6"/>
    <w:rsid w:val="67B44A3F"/>
    <w:rsid w:val="682B5A6A"/>
    <w:rsid w:val="68866387"/>
    <w:rsid w:val="68A90F2B"/>
    <w:rsid w:val="68AA2B65"/>
    <w:rsid w:val="69125F45"/>
    <w:rsid w:val="69BD2E65"/>
    <w:rsid w:val="6A3C6480"/>
    <w:rsid w:val="6A434398"/>
    <w:rsid w:val="6A5615EC"/>
    <w:rsid w:val="6AA1789F"/>
    <w:rsid w:val="6B8307E0"/>
    <w:rsid w:val="6C1F71D5"/>
    <w:rsid w:val="6DAA54AF"/>
    <w:rsid w:val="6ECE1D5E"/>
    <w:rsid w:val="6F313FE5"/>
    <w:rsid w:val="6FC22F83"/>
    <w:rsid w:val="70236C8B"/>
    <w:rsid w:val="70576D06"/>
    <w:rsid w:val="70673B2B"/>
    <w:rsid w:val="706A0C87"/>
    <w:rsid w:val="707677C0"/>
    <w:rsid w:val="70AD7E26"/>
    <w:rsid w:val="70B32923"/>
    <w:rsid w:val="70BB7E5C"/>
    <w:rsid w:val="714726B7"/>
    <w:rsid w:val="721B2E1F"/>
    <w:rsid w:val="72453BE7"/>
    <w:rsid w:val="72484540"/>
    <w:rsid w:val="72703E94"/>
    <w:rsid w:val="73413276"/>
    <w:rsid w:val="73415F19"/>
    <w:rsid w:val="7355410F"/>
    <w:rsid w:val="742A49F3"/>
    <w:rsid w:val="744571C9"/>
    <w:rsid w:val="7458144D"/>
    <w:rsid w:val="74590FF5"/>
    <w:rsid w:val="74AB40B9"/>
    <w:rsid w:val="74AB522C"/>
    <w:rsid w:val="76252600"/>
    <w:rsid w:val="76C025DC"/>
    <w:rsid w:val="76DA78D0"/>
    <w:rsid w:val="76EC740F"/>
    <w:rsid w:val="777B6BED"/>
    <w:rsid w:val="77AA1F24"/>
    <w:rsid w:val="77B81E09"/>
    <w:rsid w:val="77F8480C"/>
    <w:rsid w:val="78791B91"/>
    <w:rsid w:val="78ED5ADF"/>
    <w:rsid w:val="78FC0C0E"/>
    <w:rsid w:val="796C4B43"/>
    <w:rsid w:val="7A2912C6"/>
    <w:rsid w:val="7A944324"/>
    <w:rsid w:val="7ACB247F"/>
    <w:rsid w:val="7AE25346"/>
    <w:rsid w:val="7AFD20FE"/>
    <w:rsid w:val="7B8A6E1D"/>
    <w:rsid w:val="7BEF6CB9"/>
    <w:rsid w:val="7C585A8B"/>
    <w:rsid w:val="7C75626E"/>
    <w:rsid w:val="7CC6609B"/>
    <w:rsid w:val="7D1B1FC5"/>
    <w:rsid w:val="7D6A0E74"/>
    <w:rsid w:val="7D782ED3"/>
    <w:rsid w:val="7D7C46F8"/>
    <w:rsid w:val="7E0557AD"/>
    <w:rsid w:val="7E2C493A"/>
    <w:rsid w:val="7E634CED"/>
    <w:rsid w:val="7E950081"/>
    <w:rsid w:val="7EA2470B"/>
    <w:rsid w:val="7EF60B64"/>
    <w:rsid w:val="7EF7251E"/>
    <w:rsid w:val="7FAD0D93"/>
    <w:rsid w:val="7FD30E2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1"/>
    <w:qFormat/>
    <w:uiPriority w:val="99"/>
    <w:pPr>
      <w:widowControl/>
      <w:spacing w:line="480" w:lineRule="exact"/>
    </w:pPr>
    <w:rPr>
      <w:rFonts w:ascii="宋体" w:hAnsi="宋体" w:cs="宋体"/>
      <w:kern w:val="0"/>
      <w:sz w:val="24"/>
      <w:szCs w:val="24"/>
    </w:rPr>
  </w:style>
  <w:style w:type="paragraph" w:styleId="3">
    <w:name w:val="Plain Text"/>
    <w:basedOn w:val="1"/>
    <w:link w:val="32"/>
    <w:qFormat/>
    <w:uiPriority w:val="99"/>
    <w:rPr>
      <w:rFonts w:ascii="宋体" w:hAnsi="Courier New" w:cs="宋体"/>
    </w:rPr>
  </w:style>
  <w:style w:type="paragraph" w:styleId="4">
    <w:name w:val="Balloon Text"/>
    <w:basedOn w:val="1"/>
    <w:link w:val="17"/>
    <w:autoRedefine/>
    <w:semiHidden/>
    <w:qFormat/>
    <w:uiPriority w:val="99"/>
    <w:rPr>
      <w:sz w:val="18"/>
      <w:szCs w:val="18"/>
    </w:rPr>
  </w:style>
  <w:style w:type="paragraph" w:styleId="5">
    <w:name w:val="footer"/>
    <w:basedOn w:val="1"/>
    <w:link w:val="12"/>
    <w:autoRedefine/>
    <w:qFormat/>
    <w:uiPriority w:val="99"/>
    <w:pPr>
      <w:tabs>
        <w:tab w:val="center" w:pos="4153"/>
        <w:tab w:val="right" w:pos="8306"/>
      </w:tabs>
      <w:snapToGrid w:val="0"/>
      <w:jc w:val="left"/>
    </w:pPr>
    <w:rPr>
      <w:sz w:val="18"/>
      <w:szCs w:val="18"/>
    </w:rPr>
  </w:style>
  <w:style w:type="paragraph" w:styleId="6">
    <w:name w:val="header"/>
    <w:basedOn w:val="1"/>
    <w:link w:val="14"/>
    <w:autoRedefine/>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character" w:styleId="10">
    <w:name w:val="page number"/>
    <w:basedOn w:val="9"/>
    <w:autoRedefine/>
    <w:qFormat/>
    <w:uiPriority w:val="99"/>
  </w:style>
  <w:style w:type="paragraph" w:customStyle="1" w:styleId="11">
    <w:name w:val="默认"/>
    <w:basedOn w:val="1"/>
    <w:autoRedefine/>
    <w:qFormat/>
    <w:uiPriority w:val="99"/>
    <w:pPr>
      <w:widowControl/>
      <w:jc w:val="left"/>
    </w:pPr>
    <w:rPr>
      <w:rFonts w:ascii="Helvetica" w:hAnsi="Helvetica" w:cs="Helvetica"/>
      <w:color w:val="000000"/>
      <w:kern w:val="0"/>
      <w:sz w:val="22"/>
      <w:szCs w:val="22"/>
    </w:rPr>
  </w:style>
  <w:style w:type="character" w:customStyle="1" w:styleId="12">
    <w:name w:val="页脚 Char"/>
    <w:link w:val="5"/>
    <w:autoRedefine/>
    <w:qFormat/>
    <w:locked/>
    <w:uiPriority w:val="99"/>
    <w:rPr>
      <w:kern w:val="2"/>
      <w:sz w:val="22"/>
      <w:szCs w:val="22"/>
    </w:rPr>
  </w:style>
  <w:style w:type="paragraph" w:customStyle="1" w:styleId="13">
    <w:name w:val="列出段落1"/>
    <w:basedOn w:val="1"/>
    <w:autoRedefine/>
    <w:qFormat/>
    <w:uiPriority w:val="99"/>
    <w:pPr>
      <w:ind w:firstLine="420" w:firstLineChars="200"/>
    </w:pPr>
  </w:style>
  <w:style w:type="character" w:customStyle="1" w:styleId="14">
    <w:name w:val="页眉 Char"/>
    <w:link w:val="6"/>
    <w:autoRedefine/>
    <w:qFormat/>
    <w:locked/>
    <w:uiPriority w:val="99"/>
    <w:rPr>
      <w:kern w:val="2"/>
      <w:sz w:val="18"/>
      <w:szCs w:val="18"/>
    </w:rPr>
  </w:style>
  <w:style w:type="character" w:customStyle="1" w:styleId="15">
    <w:name w:val="font11"/>
    <w:autoRedefine/>
    <w:qFormat/>
    <w:uiPriority w:val="99"/>
    <w:rPr>
      <w:rFonts w:ascii="方正仿宋_GBK" w:hAnsi="方正仿宋_GBK" w:eastAsia="方正仿宋_GBK" w:cs="方正仿宋_GBK"/>
      <w:color w:val="000000"/>
      <w:sz w:val="20"/>
      <w:szCs w:val="20"/>
      <w:u w:val="none"/>
    </w:rPr>
  </w:style>
  <w:style w:type="character" w:customStyle="1" w:styleId="16">
    <w:name w:val="font21"/>
    <w:autoRedefine/>
    <w:qFormat/>
    <w:uiPriority w:val="99"/>
    <w:rPr>
      <w:rFonts w:ascii="方正仿宋_GBK" w:hAnsi="方正仿宋_GBK" w:eastAsia="方正仿宋_GBK" w:cs="方正仿宋_GBK"/>
      <w:color w:val="000000"/>
      <w:sz w:val="24"/>
      <w:szCs w:val="24"/>
      <w:u w:val="none"/>
    </w:rPr>
  </w:style>
  <w:style w:type="character" w:customStyle="1" w:styleId="17">
    <w:name w:val="批注框文本 Char"/>
    <w:link w:val="4"/>
    <w:autoRedefine/>
    <w:qFormat/>
    <w:locked/>
    <w:uiPriority w:val="99"/>
    <w:rPr>
      <w:kern w:val="2"/>
      <w:sz w:val="18"/>
      <w:szCs w:val="18"/>
    </w:rPr>
  </w:style>
  <w:style w:type="paragraph" w:customStyle="1" w:styleId="18">
    <w:name w:val="_Style 3"/>
    <w:basedOn w:val="1"/>
    <w:autoRedefine/>
    <w:qFormat/>
    <w:uiPriority w:val="99"/>
    <w:pPr>
      <w:ind w:firstLine="420" w:firstLineChars="200"/>
    </w:pPr>
  </w:style>
  <w:style w:type="character" w:customStyle="1" w:styleId="19">
    <w:name w:val="15"/>
    <w:autoRedefine/>
    <w:qFormat/>
    <w:uiPriority w:val="99"/>
    <w:rPr>
      <w:rFonts w:ascii="方正仿宋_GBK" w:eastAsia="方正仿宋_GBK" w:cs="方正仿宋_GBK"/>
      <w:color w:val="000000"/>
      <w:sz w:val="20"/>
      <w:szCs w:val="20"/>
    </w:rPr>
  </w:style>
  <w:style w:type="character" w:customStyle="1" w:styleId="20">
    <w:name w:val="16"/>
    <w:autoRedefine/>
    <w:qFormat/>
    <w:uiPriority w:val="99"/>
    <w:rPr>
      <w:rFonts w:ascii="方正仿宋_GBK" w:eastAsia="方正仿宋_GBK" w:cs="方正仿宋_GBK"/>
      <w:color w:val="000000"/>
      <w:sz w:val="20"/>
      <w:szCs w:val="20"/>
    </w:rPr>
  </w:style>
  <w:style w:type="character" w:customStyle="1" w:styleId="21">
    <w:name w:val="正文文本 Char"/>
    <w:link w:val="2"/>
    <w:autoRedefine/>
    <w:semiHidden/>
    <w:qFormat/>
    <w:locked/>
    <w:uiPriority w:val="99"/>
    <w:rPr>
      <w:sz w:val="21"/>
      <w:szCs w:val="21"/>
    </w:rPr>
  </w:style>
  <w:style w:type="character" w:customStyle="1" w:styleId="22">
    <w:name w:val="10"/>
    <w:autoRedefine/>
    <w:qFormat/>
    <w:uiPriority w:val="99"/>
    <w:rPr>
      <w:rFonts w:ascii="Times New Roman" w:hAnsi="Times New Roman" w:cs="Times New Roman"/>
    </w:rPr>
  </w:style>
  <w:style w:type="character" w:customStyle="1" w:styleId="23">
    <w:name w:val="17"/>
    <w:autoRedefine/>
    <w:qFormat/>
    <w:uiPriority w:val="99"/>
    <w:rPr>
      <w:rFonts w:ascii="方正仿宋_GBK" w:eastAsia="方正仿宋_GBK" w:cs="方正仿宋_GBK"/>
      <w:color w:val="000000"/>
      <w:sz w:val="18"/>
      <w:szCs w:val="18"/>
    </w:rPr>
  </w:style>
  <w:style w:type="character" w:customStyle="1" w:styleId="24">
    <w:name w:val="18"/>
    <w:autoRedefine/>
    <w:qFormat/>
    <w:uiPriority w:val="99"/>
    <w:rPr>
      <w:rFonts w:ascii="方正仿宋_GBK" w:eastAsia="方正仿宋_GBK" w:cs="方正仿宋_GBK"/>
      <w:color w:val="000000"/>
      <w:sz w:val="24"/>
      <w:szCs w:val="24"/>
    </w:rPr>
  </w:style>
  <w:style w:type="paragraph" w:customStyle="1" w:styleId="25">
    <w:name w:val="Default"/>
    <w:basedOn w:val="1"/>
    <w:next w:val="1"/>
    <w:autoRedefine/>
    <w:qFormat/>
    <w:uiPriority w:val="99"/>
    <w:pPr>
      <w:autoSpaceDE w:val="0"/>
      <w:autoSpaceDN w:val="0"/>
      <w:adjustRightInd w:val="0"/>
      <w:jc w:val="left"/>
    </w:pPr>
    <w:rPr>
      <w:rFonts w:ascii="仿宋" w:hAnsi="仿宋" w:cs="仿宋"/>
      <w:color w:val="000000"/>
      <w:kern w:val="0"/>
      <w:sz w:val="24"/>
      <w:szCs w:val="24"/>
    </w:rPr>
  </w:style>
  <w:style w:type="character" w:customStyle="1" w:styleId="26">
    <w:name w:val="19"/>
    <w:autoRedefine/>
    <w:qFormat/>
    <w:uiPriority w:val="99"/>
    <w:rPr>
      <w:rFonts w:ascii="宋体" w:hAnsi="宋体" w:eastAsia="宋体" w:cs="宋体"/>
      <w:color w:val="000000"/>
      <w:sz w:val="20"/>
      <w:szCs w:val="20"/>
    </w:rPr>
  </w:style>
  <w:style w:type="character" w:customStyle="1" w:styleId="27">
    <w:name w:val="20"/>
    <w:qFormat/>
    <w:uiPriority w:val="99"/>
    <w:rPr>
      <w:rFonts w:ascii="宋体" w:hAnsi="宋体" w:eastAsia="宋体" w:cs="宋体"/>
      <w:color w:val="000000"/>
      <w:sz w:val="20"/>
      <w:szCs w:val="20"/>
    </w:rPr>
  </w:style>
  <w:style w:type="character" w:customStyle="1" w:styleId="28">
    <w:name w:val="21"/>
    <w:autoRedefine/>
    <w:qFormat/>
    <w:uiPriority w:val="99"/>
    <w:rPr>
      <w:rFonts w:ascii="宋体" w:hAnsi="宋体" w:eastAsia="宋体" w:cs="宋体"/>
      <w:color w:val="000000"/>
      <w:sz w:val="20"/>
      <w:szCs w:val="20"/>
    </w:rPr>
  </w:style>
  <w:style w:type="character" w:customStyle="1" w:styleId="29">
    <w:name w:val="22"/>
    <w:qFormat/>
    <w:uiPriority w:val="99"/>
    <w:rPr>
      <w:rFonts w:ascii="宋体" w:hAnsi="宋体" w:eastAsia="宋体" w:cs="宋体"/>
      <w:color w:val="000000"/>
      <w:sz w:val="20"/>
      <w:szCs w:val="20"/>
    </w:rPr>
  </w:style>
  <w:style w:type="character" w:customStyle="1" w:styleId="30">
    <w:name w:val="23"/>
    <w:qFormat/>
    <w:uiPriority w:val="99"/>
    <w:rPr>
      <w:rFonts w:ascii="宋体" w:hAnsi="宋体" w:eastAsia="宋体" w:cs="宋体"/>
      <w:color w:val="000000"/>
      <w:sz w:val="20"/>
      <w:szCs w:val="20"/>
    </w:rPr>
  </w:style>
  <w:style w:type="character" w:customStyle="1" w:styleId="31">
    <w:name w:val="24"/>
    <w:autoRedefine/>
    <w:qFormat/>
    <w:uiPriority w:val="99"/>
    <w:rPr>
      <w:rFonts w:ascii="宋体" w:hAnsi="宋体" w:eastAsia="宋体" w:cs="宋体"/>
      <w:color w:val="000000"/>
      <w:sz w:val="20"/>
      <w:szCs w:val="20"/>
    </w:rPr>
  </w:style>
  <w:style w:type="character" w:customStyle="1" w:styleId="32">
    <w:name w:val="纯文本 Char"/>
    <w:link w:val="3"/>
    <w:autoRedefine/>
    <w:semiHidden/>
    <w:qFormat/>
    <w:locked/>
    <w:uiPriority w:val="99"/>
    <w:rPr>
      <w:rFonts w:ascii="宋体" w:hAnsi="Courier New" w:cs="宋体"/>
      <w:sz w:val="21"/>
      <w:szCs w:val="21"/>
    </w:rPr>
  </w:style>
  <w:style w:type="paragraph" w:customStyle="1" w:styleId="33">
    <w:name w:val="列出段落11"/>
    <w:basedOn w:val="1"/>
    <w:autoRedefine/>
    <w:qFormat/>
    <w:uiPriority w:val="99"/>
    <w:pPr>
      <w:ind w:firstLine="420" w:firstLineChars="200"/>
    </w:pPr>
  </w:style>
  <w:style w:type="paragraph" w:styleId="34">
    <w:name w:val="List Paragraph"/>
    <w:basedOn w:val="1"/>
    <w:qFormat/>
    <w:uiPriority w:val="34"/>
    <w:pPr>
      <w:ind w:firstLine="420" w:firstLineChars="200"/>
    </w:pPr>
  </w:style>
  <w:style w:type="character" w:customStyle="1" w:styleId="35">
    <w:name w:val="font61"/>
    <w:basedOn w:val="9"/>
    <w:autoRedefine/>
    <w:qFormat/>
    <w:uiPriority w:val="0"/>
    <w:rPr>
      <w:rFonts w:hint="default" w:ascii="Times New Roman" w:hAnsi="Times New Roman" w:cs="Times New Roman"/>
      <w:color w:val="000000"/>
      <w:sz w:val="20"/>
      <w:szCs w:val="20"/>
      <w:u w:val="none"/>
    </w:rPr>
  </w:style>
  <w:style w:type="character" w:customStyle="1" w:styleId="36">
    <w:name w:val="font81"/>
    <w:basedOn w:val="9"/>
    <w:autoRedefine/>
    <w:qFormat/>
    <w:uiPriority w:val="0"/>
    <w:rPr>
      <w:rFonts w:hint="default" w:ascii="方正仿宋_GBK" w:hAnsi="方正仿宋_GBK" w:eastAsia="方正仿宋_GBK" w:cs="方正仿宋_GBK"/>
      <w:color w:val="000000"/>
      <w:sz w:val="20"/>
      <w:szCs w:val="20"/>
      <w:u w:val="none"/>
    </w:rPr>
  </w:style>
  <w:style w:type="character" w:customStyle="1" w:styleId="37">
    <w:name w:val="font101"/>
    <w:basedOn w:val="9"/>
    <w:autoRedefine/>
    <w:qFormat/>
    <w:uiPriority w:val="0"/>
    <w:rPr>
      <w:rFonts w:hint="default" w:ascii="方正仿宋_GBK" w:hAnsi="方正仿宋_GBK" w:eastAsia="方正仿宋_GBK" w:cs="方正仿宋_GBK"/>
      <w:color w:val="000000"/>
      <w:sz w:val="20"/>
      <w:szCs w:val="20"/>
      <w:u w:val="none"/>
    </w:rPr>
  </w:style>
  <w:style w:type="character" w:customStyle="1" w:styleId="38">
    <w:name w:val="font112"/>
    <w:basedOn w:val="9"/>
    <w:autoRedefine/>
    <w:qFormat/>
    <w:uiPriority w:val="0"/>
    <w:rPr>
      <w:rFonts w:hint="default" w:ascii="方正仿宋_GBK" w:hAnsi="方正仿宋_GBK" w:eastAsia="方正仿宋_GBK" w:cs="方正仿宋_GBK"/>
      <w:color w:val="000000"/>
      <w:sz w:val="20"/>
      <w:szCs w:val="20"/>
      <w:u w:val="none"/>
    </w:rPr>
  </w:style>
  <w:style w:type="character" w:customStyle="1" w:styleId="39">
    <w:name w:val="font91"/>
    <w:basedOn w:val="9"/>
    <w:autoRedefine/>
    <w:qFormat/>
    <w:uiPriority w:val="0"/>
    <w:rPr>
      <w:rFonts w:hint="default" w:ascii="方正仿宋_GBK" w:hAnsi="方正仿宋_GBK" w:eastAsia="方正仿宋_GBK" w:cs="方正仿宋_GBK"/>
      <w:color w:val="000000"/>
      <w:sz w:val="18"/>
      <w:szCs w:val="18"/>
      <w:u w:val="none"/>
    </w:rPr>
  </w:style>
  <w:style w:type="character" w:customStyle="1" w:styleId="40">
    <w:name w:val="font71"/>
    <w:basedOn w:val="9"/>
    <w:qFormat/>
    <w:uiPriority w:val="0"/>
    <w:rPr>
      <w:rFonts w:hint="default" w:ascii="方正仿宋_GBK" w:hAnsi="方正仿宋_GBK" w:eastAsia="方正仿宋_GBK" w:cs="方正仿宋_GBK"/>
      <w:color w:val="000000"/>
      <w:sz w:val="20"/>
      <w:szCs w:val="20"/>
      <w:u w:val="none"/>
    </w:rPr>
  </w:style>
  <w:style w:type="character" w:customStyle="1" w:styleId="41">
    <w:name w:val="font51"/>
    <w:basedOn w:val="9"/>
    <w:autoRedefine/>
    <w:qFormat/>
    <w:uiPriority w:val="0"/>
    <w:rPr>
      <w:rFonts w:hint="default"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AEB36-9AA6-46DF-A9C9-182CA4A7F46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5866</Words>
  <Characters>7734</Characters>
  <Lines>1493</Lines>
  <Paragraphs>420</Paragraphs>
  <TotalTime>0</TotalTime>
  <ScaleCrop>false</ScaleCrop>
  <LinksUpToDate>false</LinksUpToDate>
  <CharactersWithSpaces>7969</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2022-01-13T02:22:00Z</dcterms:created>
  <dc:creator>Administrator</dc:creator>
  <cp:lastModifiedBy>娣小毛</cp:lastModifiedBy>
  <dcterms:modified xsi:type="dcterms:W3CDTF">2024-03-25T07:00:58Z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924225636B014AEB804601339960C34B</vt:lpwstr>
  </property>
</Properties>
</file>