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027A4">
      <w:pPr>
        <w:keepNext w:val="0"/>
        <w:keepLines w:val="0"/>
        <w:pageBreakBefore w:val="0"/>
        <w:kinsoku/>
        <w:wordWrap/>
        <w:overflowPunct/>
        <w:topLinePunct w:val="0"/>
        <w:autoSpaceDE/>
        <w:autoSpaceDN/>
        <w:bidi w:val="0"/>
        <w:spacing w:line="540" w:lineRule="exact"/>
        <w:jc w:val="center"/>
        <w:textAlignment w:val="auto"/>
        <w:outlineLvl w:val="0"/>
        <w:rPr>
          <w:rFonts w:hint="default" w:ascii="Times New Roman" w:hAnsi="Times New Roman" w:eastAsia="方正小标宋_GBK" w:cs="Times New Roman"/>
          <w:spacing w:val="11"/>
          <w:sz w:val="44"/>
          <w:szCs w:val="44"/>
          <w:highlight w:val="none"/>
        </w:rPr>
      </w:pPr>
      <w:r>
        <w:rPr>
          <w:rFonts w:hint="eastAsia" w:ascii="Times New Roman" w:hAnsi="Times New Roman" w:eastAsia="方正小标宋_GBK" w:cs="Times New Roman"/>
          <w:spacing w:val="11"/>
          <w:sz w:val="44"/>
          <w:szCs w:val="44"/>
          <w:highlight w:val="none"/>
          <w:lang w:val="en-US" w:eastAsia="zh-CN"/>
        </w:rPr>
        <w:t>重庆市潼南区</w:t>
      </w:r>
      <w:r>
        <w:rPr>
          <w:rFonts w:hint="default" w:ascii="Times New Roman" w:hAnsi="Times New Roman" w:eastAsia="方正小标宋_GBK" w:cs="Times New Roman"/>
          <w:spacing w:val="11"/>
          <w:sz w:val="44"/>
          <w:szCs w:val="44"/>
          <w:highlight w:val="none"/>
        </w:rPr>
        <w:t>田家镇人民政府工作报告</w:t>
      </w:r>
    </w:p>
    <w:p w14:paraId="3B80C456">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Times New Roman" w:hAnsi="Times New Roman" w:eastAsia="方正楷体_GBK" w:cs="Times New Roman"/>
          <w:sz w:val="30"/>
          <w:szCs w:val="30"/>
          <w:lang w:val="en-US" w:eastAsia="zh-CN"/>
        </w:rPr>
      </w:pPr>
      <w:r>
        <w:rPr>
          <w:rFonts w:hint="eastAsia" w:ascii="Times New Roman" w:hAnsi="Times New Roman" w:eastAsia="方正楷体_GBK" w:cs="Times New Roman"/>
          <w:sz w:val="30"/>
          <w:szCs w:val="30"/>
          <w:lang w:val="en-US" w:eastAsia="zh-CN"/>
        </w:rPr>
        <w:t>——</w:t>
      </w:r>
      <w:r>
        <w:rPr>
          <w:rFonts w:hint="default" w:ascii="Times New Roman" w:hAnsi="Times New Roman" w:eastAsia="方正楷体_GBK" w:cs="Times New Roman"/>
          <w:sz w:val="30"/>
          <w:szCs w:val="30"/>
          <w:lang w:val="en-US" w:eastAsia="zh-CN"/>
        </w:rPr>
        <w:t>202</w:t>
      </w:r>
      <w:r>
        <w:rPr>
          <w:rFonts w:hint="eastAsia" w:ascii="Times New Roman" w:hAnsi="Times New Roman" w:eastAsia="方正楷体_GBK" w:cs="Times New Roman"/>
          <w:sz w:val="30"/>
          <w:szCs w:val="30"/>
          <w:lang w:val="en-US" w:eastAsia="zh-CN"/>
        </w:rPr>
        <w:t>5</w:t>
      </w:r>
      <w:r>
        <w:rPr>
          <w:rFonts w:hint="default" w:ascii="Times New Roman" w:hAnsi="Times New Roman" w:eastAsia="方正楷体_GBK" w:cs="Times New Roman"/>
          <w:sz w:val="30"/>
          <w:szCs w:val="30"/>
          <w:lang w:val="en-US" w:eastAsia="zh-CN"/>
        </w:rPr>
        <w:t>年</w:t>
      </w:r>
      <w:r>
        <w:rPr>
          <w:rFonts w:hint="eastAsia" w:ascii="Times New Roman" w:hAnsi="Times New Roman" w:eastAsia="方正楷体_GBK" w:cs="Times New Roman"/>
          <w:sz w:val="30"/>
          <w:szCs w:val="30"/>
          <w:lang w:val="en-US" w:eastAsia="zh-CN"/>
        </w:rPr>
        <w:t>2</w:t>
      </w:r>
      <w:r>
        <w:rPr>
          <w:rFonts w:hint="default" w:ascii="Times New Roman" w:hAnsi="Times New Roman" w:eastAsia="方正楷体_GBK" w:cs="Times New Roman"/>
          <w:sz w:val="30"/>
          <w:szCs w:val="30"/>
          <w:lang w:val="en-US" w:eastAsia="zh-CN"/>
        </w:rPr>
        <w:t>月</w:t>
      </w:r>
      <w:r>
        <w:rPr>
          <w:rFonts w:hint="eastAsia" w:ascii="Times New Roman" w:hAnsi="Times New Roman" w:eastAsia="方正楷体_GBK" w:cs="Times New Roman"/>
          <w:sz w:val="30"/>
          <w:szCs w:val="30"/>
          <w:lang w:val="en-US" w:eastAsia="zh-CN"/>
        </w:rPr>
        <w:t>10</w:t>
      </w:r>
      <w:r>
        <w:rPr>
          <w:rFonts w:hint="default" w:ascii="Times New Roman" w:hAnsi="Times New Roman" w:eastAsia="方正楷体_GBK" w:cs="Times New Roman"/>
          <w:sz w:val="30"/>
          <w:szCs w:val="30"/>
          <w:lang w:val="en-US" w:eastAsia="zh-CN"/>
        </w:rPr>
        <w:t>日</w:t>
      </w:r>
      <w:r>
        <w:rPr>
          <w:rFonts w:hint="eastAsia" w:ascii="Times New Roman" w:hAnsi="Times New Roman" w:eastAsia="方正楷体_GBK" w:cs="Times New Roman"/>
          <w:sz w:val="30"/>
          <w:szCs w:val="30"/>
          <w:lang w:val="en-US" w:eastAsia="zh-CN"/>
        </w:rPr>
        <w:t>在田家镇第三届人民代表大会第八次会议上</w:t>
      </w:r>
    </w:p>
    <w:p w14:paraId="43A70C0C">
      <w:pPr>
        <w:keepNext w:val="0"/>
        <w:keepLines w:val="0"/>
        <w:pageBreakBefore w:val="0"/>
        <w:widowControl w:val="0"/>
        <w:kinsoku/>
        <w:wordWrap/>
        <w:overflowPunct/>
        <w:topLinePunct w:val="0"/>
        <w:autoSpaceDE/>
        <w:autoSpaceDN/>
        <w:bidi w:val="0"/>
        <w:adjustRightInd w:val="0"/>
        <w:snapToGrid w:val="0"/>
        <w:spacing w:after="0" w:line="540" w:lineRule="exact"/>
        <w:jc w:val="center"/>
        <w:textAlignment w:val="auto"/>
        <w:rPr>
          <w:rFonts w:hint="eastAsia" w:ascii="Times New Roman" w:hAnsi="Times New Roman" w:eastAsia="方正楷体_GBK" w:cs="Times New Roman"/>
          <w:sz w:val="30"/>
          <w:szCs w:val="30"/>
          <w:lang w:val="en-US" w:eastAsia="zh-CN"/>
        </w:rPr>
      </w:pPr>
      <w:r>
        <w:rPr>
          <w:rFonts w:hint="eastAsia" w:ascii="Times New Roman" w:hAnsi="Times New Roman" w:eastAsia="方正楷体_GBK" w:cs="Times New Roman"/>
          <w:sz w:val="30"/>
          <w:szCs w:val="30"/>
          <w:lang w:val="en-US" w:eastAsia="zh-CN"/>
        </w:rPr>
        <w:t>重庆市潼南区田家镇人民政府镇长  罗晓勇</w:t>
      </w:r>
    </w:p>
    <w:p w14:paraId="4FE45D84">
      <w:pPr>
        <w:keepNext w:val="0"/>
        <w:keepLines w:val="0"/>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方正仿宋_GBK" w:cs="方正仿宋_GBK"/>
          <w:sz w:val="32"/>
          <w:szCs w:val="32"/>
        </w:rPr>
      </w:pPr>
    </w:p>
    <w:p w14:paraId="2BCCA333">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各位代表：</w:t>
      </w:r>
    </w:p>
    <w:p w14:paraId="649D935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现在，我代表镇人民政府向大会报告工作，请予审议。并请列席会议的同志提出意见。</w:t>
      </w:r>
    </w:p>
    <w:p w14:paraId="0C2ABA8A">
      <w:pPr>
        <w:keepNext w:val="0"/>
        <w:keepLines w:val="0"/>
        <w:pageBreakBefore w:val="0"/>
        <w:kinsoku/>
        <w:wordWrap/>
        <w:overflowPunct/>
        <w:topLinePunct w:val="0"/>
        <w:autoSpaceDE/>
        <w:autoSpaceDN/>
        <w:bidi w:val="0"/>
        <w:adjustRightInd/>
        <w:snapToGrid/>
        <w:spacing w:line="540" w:lineRule="exact"/>
        <w:jc w:val="center"/>
        <w:textAlignment w:val="auto"/>
        <w:rPr>
          <w:rFonts w:cs="Times New Roman"/>
          <w:sz w:val="32"/>
          <w:szCs w:val="32"/>
        </w:rPr>
      </w:pPr>
      <w:r>
        <w:rPr>
          <w:rFonts w:hint="eastAsia" w:ascii="Times New Roman" w:hAnsi="Times New Roman" w:eastAsia="方正黑体_GBK" w:cs="Times New Roman"/>
          <w:sz w:val="32"/>
          <w:szCs w:val="32"/>
          <w:lang w:val="en-US" w:eastAsia="zh-CN"/>
        </w:rPr>
        <w:t>一、</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4</w:t>
      </w:r>
      <w:r>
        <w:rPr>
          <w:rFonts w:ascii="Times New Roman" w:hAnsi="Times New Roman" w:eastAsia="方正黑体_GBK" w:cs="Times New Roman"/>
          <w:sz w:val="32"/>
          <w:szCs w:val="32"/>
        </w:rPr>
        <w:t>年工作回顾</w:t>
      </w:r>
    </w:p>
    <w:p w14:paraId="5E43079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2024年是，新中国成立75周年，是重庆发展最具里程碑的重要之年。</w:t>
      </w:r>
      <w:r>
        <w:rPr>
          <w:rFonts w:ascii="Times New Roman" w:hAnsi="Times New Roman" w:eastAsia="方正仿宋_GBK" w:cs="Times New Roman"/>
          <w:sz w:val="32"/>
          <w:szCs w:val="32"/>
        </w:rPr>
        <w:t>一年来，我们牢记嘱托、感恩奋进，坚持以习近平新时代中国特色社会主义思想为指导，</w:t>
      </w:r>
      <w:r>
        <w:rPr>
          <w:rFonts w:hint="eastAsia" w:ascii="Times New Roman" w:hAnsi="Times New Roman" w:eastAsia="方正仿宋_GBK" w:cs="Times New Roman"/>
          <w:sz w:val="32"/>
          <w:szCs w:val="32"/>
        </w:rPr>
        <w:t>深入</w:t>
      </w:r>
      <w:r>
        <w:rPr>
          <w:rFonts w:ascii="Times New Roman" w:hAnsi="Times New Roman" w:eastAsia="方正仿宋_GBK" w:cs="Times New Roman"/>
          <w:sz w:val="32"/>
          <w:szCs w:val="32"/>
        </w:rPr>
        <w:t>贯彻党的二十大和二十届二中、三中全会精神，</w:t>
      </w:r>
      <w:r>
        <w:rPr>
          <w:rFonts w:hint="eastAsia" w:ascii="Times New Roman" w:hAnsi="Times New Roman" w:eastAsia="方正仿宋_GBK" w:cs="Times New Roman"/>
          <w:sz w:val="32"/>
          <w:szCs w:val="32"/>
        </w:rPr>
        <w:t>深学笃行习近平总书记视察重庆重要讲话重要指示精神，全面落实市委市政府、区委区政府各项决策部署，</w:t>
      </w:r>
      <w:r>
        <w:rPr>
          <w:rFonts w:ascii="Times New Roman" w:hAnsi="Times New Roman" w:eastAsia="方正仿宋_GBK" w:cs="Times New Roman"/>
          <w:sz w:val="32"/>
          <w:szCs w:val="32"/>
        </w:rPr>
        <w:t>在</w:t>
      </w:r>
      <w:r>
        <w:rPr>
          <w:rFonts w:ascii="Times New Roman" w:hAnsi="Times New Roman" w:eastAsia="方正仿宋_GBK" w:cs="Times New Roman"/>
          <w:sz w:val="32"/>
          <w:szCs w:val="32"/>
        </w:rPr>
        <w:tab/>
      </w:r>
      <w:r>
        <w:rPr>
          <w:rFonts w:hint="eastAsia" w:ascii="Times New Roman" w:hAnsi="Times New Roman" w:eastAsia="方正仿宋_GBK" w:cs="Times New Roman"/>
          <w:sz w:val="32"/>
          <w:szCs w:val="32"/>
        </w:rPr>
        <w:t>镇党委的</w:t>
      </w:r>
      <w:r>
        <w:rPr>
          <w:rFonts w:ascii="Times New Roman" w:hAnsi="Times New Roman" w:eastAsia="方正仿宋_GBK" w:cs="Times New Roman"/>
          <w:sz w:val="32"/>
          <w:szCs w:val="32"/>
        </w:rPr>
        <w:t>领导下，在镇人大的监督支持下，</w:t>
      </w:r>
      <w:r>
        <w:rPr>
          <w:rFonts w:hint="eastAsia" w:ascii="Times New Roman" w:hAnsi="Times New Roman" w:eastAsia="方正仿宋_GBK" w:cs="方正仿宋_GBK"/>
          <w:sz w:val="32"/>
          <w:szCs w:val="32"/>
        </w:rPr>
        <w:t>坚持稳进增效、除险固安、改革突破、惠民强企工作导向，</w:t>
      </w:r>
      <w:r>
        <w:rPr>
          <w:rFonts w:ascii="Times New Roman" w:hAnsi="Times New Roman" w:eastAsia="方正仿宋_GBK" w:cs="Times New Roman"/>
          <w:sz w:val="32"/>
          <w:szCs w:val="32"/>
        </w:rPr>
        <w:t>聚焦潼南现代化建设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1132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体系架构，</w:t>
      </w:r>
      <w:bookmarkStart w:id="0" w:name="_Hlk189496405"/>
      <w:r>
        <w:rPr>
          <w:rFonts w:hint="eastAsia" w:ascii="Times New Roman" w:hAnsi="Times New Roman" w:eastAsia="方正仿宋_GBK" w:cs="Times New Roman"/>
          <w:sz w:val="32"/>
          <w:szCs w:val="32"/>
        </w:rPr>
        <w:t>统筹高质量发展、高品质生活、高效能治理</w:t>
      </w:r>
      <w:bookmarkEnd w:id="0"/>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全力以赴拼经济、抓项目、促发展，各项事业都取得了新进展新成效。</w:t>
      </w:r>
    </w:p>
    <w:p w14:paraId="4C87F6D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这一年，我们聚势谋远、拼搏实干，重点项目加速推进。</w:t>
      </w:r>
      <w:r>
        <w:rPr>
          <w:rFonts w:hint="eastAsia" w:ascii="Times New Roman" w:hAnsi="Times New Roman" w:eastAsia="方正仿宋_GBK" w:cs="Times New Roman"/>
          <w:sz w:val="32"/>
          <w:szCs w:val="32"/>
        </w:rPr>
        <w:t>完成东A区、东B区土地征地拆1500余亩、</w:t>
      </w:r>
      <w:bookmarkStart w:id="1" w:name="_Hlk189494715"/>
      <w:r>
        <w:rPr>
          <w:rFonts w:hint="eastAsia" w:ascii="Times New Roman" w:hAnsi="Times New Roman" w:eastAsia="方正仿宋_GBK" w:cs="Times New Roman"/>
          <w:sz w:val="32"/>
          <w:szCs w:val="32"/>
        </w:rPr>
        <w:t>棱镜能源、华沃德源、贝思远</w:t>
      </w:r>
      <w:bookmarkEnd w:id="1"/>
      <w:r>
        <w:rPr>
          <w:rFonts w:hint="eastAsia" w:ascii="Times New Roman" w:hAnsi="Times New Roman" w:eastAsia="方正仿宋_GBK" w:cs="Times New Roman"/>
          <w:sz w:val="32"/>
          <w:szCs w:val="32"/>
        </w:rPr>
        <w:t>、华电潼南一期、中国长安等一大批重大建设项目或顺利建成、或开工建设、或正式落地。签订土地和房屋征迁协议7批次210余户，序时完成化工园区搬迁各类征地</w:t>
      </w:r>
      <w:bookmarkStart w:id="2" w:name="_Hlk189495344"/>
      <w:r>
        <w:rPr>
          <w:rFonts w:hint="eastAsia" w:ascii="Times New Roman" w:hAnsi="Times New Roman" w:eastAsia="方正仿宋_GBK" w:cs="Times New Roman"/>
          <w:sz w:val="32"/>
          <w:szCs w:val="32"/>
        </w:rPr>
        <w:t>组卷</w:t>
      </w:r>
      <w:bookmarkEnd w:id="2"/>
      <w:r>
        <w:rPr>
          <w:rFonts w:hint="eastAsia" w:ascii="Times New Roman" w:hAnsi="Times New Roman" w:eastAsia="方正仿宋_GBK" w:cs="Times New Roman"/>
          <w:sz w:val="32"/>
          <w:szCs w:val="32"/>
        </w:rPr>
        <w:t>报批，为民丰、万利来等企业搬迁提供先决条件。以“满弓紧弦”的姿态奋力推动项目建设。重大项目提速快跑，高质量发展增添了新动能。</w:t>
      </w:r>
    </w:p>
    <w:p w14:paraId="17146F2B">
      <w:pPr>
        <w:keepNext w:val="0"/>
        <w:keepLines w:val="0"/>
        <w:pageBreakBefore w:val="0"/>
        <w:widowControl w:val="0"/>
        <w:kinsoku/>
        <w:wordWrap/>
        <w:overflowPunct/>
        <w:topLinePunct w:val="0"/>
        <w:autoSpaceDE/>
        <w:autoSpaceDN/>
        <w:bidi w:val="0"/>
        <w:adjustRightInd/>
        <w:snapToGrid/>
        <w:spacing w:after="0" w:line="540" w:lineRule="exact"/>
        <w:ind w:firstLine="640"/>
        <w:jc w:val="both"/>
        <w:textAlignment w:val="auto"/>
        <w:rPr>
          <w:rFonts w:ascii="Times New Roman" w:hAnsi="Times New Roman" w:eastAsia="方正仿宋_GBK" w:cs="Times New Roman"/>
          <w:color w:val="000000"/>
          <w:kern w:val="21"/>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这一年，我们迎难而上、勇于担当，大战大考沉着应对。</w:t>
      </w:r>
      <w:r>
        <w:rPr>
          <w:rFonts w:hint="eastAsia" w:ascii="Times New Roman" w:hAnsi="Times New Roman" w:eastAsia="方正仿宋_GBK" w:cs="Times New Roman"/>
          <w:kern w:val="2"/>
          <w:sz w:val="32"/>
          <w:szCs w:val="32"/>
          <w:lang w:val="en-US" w:eastAsia="zh-CN" w:bidi="ar-SA"/>
        </w:rPr>
        <w:t>用坚忍不拔的毅力和决心，</w:t>
      </w:r>
      <w:r>
        <w:rPr>
          <w:rFonts w:ascii="Times New Roman" w:hAnsi="Times New Roman" w:eastAsia="方正仿宋_GBK" w:cs="Times New Roman"/>
          <w:color w:val="000000"/>
          <w:kern w:val="0"/>
          <w:sz w:val="32"/>
          <w:szCs w:val="32"/>
          <w:lang w:val="en-US" w:eastAsia="zh-CN" w:bidi="ar-SA"/>
        </w:rPr>
        <w:t>以极限思维应对</w:t>
      </w:r>
      <w:r>
        <w:rPr>
          <w:rFonts w:ascii="Times New Roman" w:hAnsi="Times New Roman" w:eastAsia="方正仿宋_GBK" w:cs="Times New Roman"/>
          <w:color w:val="000000"/>
          <w:kern w:val="2"/>
          <w:sz w:val="32"/>
          <w:szCs w:val="32"/>
          <w:lang w:val="en-US" w:eastAsia="zh-CN" w:bidi="ar-SA"/>
        </w:rPr>
        <w:t>高温</w:t>
      </w:r>
      <w:r>
        <w:rPr>
          <w:rFonts w:hint="eastAsia" w:ascii="Times New Roman" w:hAnsi="Times New Roman" w:eastAsia="方正仿宋_GBK" w:cs="Times New Roman"/>
          <w:color w:val="000000"/>
          <w:kern w:val="2"/>
          <w:sz w:val="32"/>
          <w:szCs w:val="32"/>
          <w:lang w:val="en-US" w:eastAsia="zh-CN" w:bidi="ar-SA"/>
        </w:rPr>
        <w:t>干旱极端天气</w:t>
      </w:r>
      <w:r>
        <w:rPr>
          <w:rFonts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党员干部奋战</w:t>
      </w:r>
      <w:r>
        <w:rPr>
          <w:rFonts w:ascii="Times New Roman" w:hAnsi="Times New Roman" w:eastAsia="方正仿宋_GBK" w:cs="Times New Roman"/>
          <w:color w:val="000000"/>
          <w:kern w:val="2"/>
          <w:sz w:val="32"/>
          <w:szCs w:val="32"/>
          <w:lang w:val="en-US" w:eastAsia="zh-CN" w:bidi="ar-SA"/>
        </w:rPr>
        <w:t>一线</w:t>
      </w:r>
      <w:r>
        <w:rPr>
          <w:rFonts w:hint="eastAsia" w:ascii="Times New Roman" w:hAnsi="Times New Roman" w:eastAsia="方正仿宋_GBK" w:cs="Times New Roman"/>
          <w:color w:val="000000"/>
          <w:kern w:val="2"/>
          <w:sz w:val="32"/>
          <w:szCs w:val="32"/>
          <w:lang w:val="en-US" w:eastAsia="zh-CN" w:bidi="ar-SA"/>
        </w:rPr>
        <w:t>，合力攻坚，持续为辖区为饮水困难地区和群众送水103天，</w:t>
      </w:r>
      <w:r>
        <w:rPr>
          <w:rFonts w:hint="eastAsia" w:ascii="Times New Roman" w:hAnsi="Times New Roman" w:eastAsia="方正仿宋_GBK" w:cs="Times New Roman"/>
          <w:kern w:val="2"/>
          <w:sz w:val="32"/>
          <w:szCs w:val="32"/>
          <w:lang w:val="en-US" w:eastAsia="zh-CN" w:bidi="ar-SA"/>
        </w:rPr>
        <w:t>确保了农业生产和社会生活的平稳运行，真正做到了“大旱之年无大灾”。全面落实预警叫应双敲门，应急物资双备份，成功应对了强降雨和洪峰过境，</w:t>
      </w:r>
      <w:r>
        <w:rPr>
          <w:rFonts w:ascii="Times New Roman" w:hAnsi="Times New Roman" w:eastAsia="方正仿宋_GBK" w:cs="Times New Roman"/>
          <w:color w:val="000000"/>
          <w:kern w:val="0"/>
          <w:sz w:val="32"/>
          <w:szCs w:val="32"/>
          <w:lang w:val="en-US" w:eastAsia="zh-CN" w:bidi="ar-SA"/>
        </w:rPr>
        <w:t>坚守</w:t>
      </w:r>
      <w:r>
        <w:rPr>
          <w:rFonts w:hint="eastAsia" w:ascii="Times New Roman" w:hAnsi="Times New Roman" w:eastAsia="方正仿宋_GBK" w:cs="Times New Roman"/>
          <w:color w:val="000000"/>
          <w:kern w:val="0"/>
          <w:sz w:val="32"/>
          <w:szCs w:val="32"/>
          <w:lang w:val="en-US" w:eastAsia="zh-CN" w:bidi="ar-SA"/>
        </w:rPr>
        <w:t>了“</w:t>
      </w:r>
      <w:r>
        <w:rPr>
          <w:rFonts w:ascii="Times New Roman" w:hAnsi="Times New Roman" w:eastAsia="方正仿宋_GBK" w:cs="Times New Roman"/>
          <w:color w:val="000000"/>
          <w:kern w:val="0"/>
          <w:sz w:val="32"/>
          <w:szCs w:val="32"/>
          <w:lang w:val="en-US" w:eastAsia="zh-CN" w:bidi="ar-SA"/>
        </w:rPr>
        <w:t>为民初心</w:t>
      </w:r>
      <w:r>
        <w:rPr>
          <w:rFonts w:hint="eastAsia" w:ascii="Times New Roman" w:hAnsi="Times New Roman" w:eastAsia="方正仿宋_GBK" w:cs="Times New Roman"/>
          <w:color w:val="000000"/>
          <w:kern w:val="0"/>
          <w:sz w:val="32"/>
          <w:szCs w:val="32"/>
          <w:lang w:val="en-US" w:eastAsia="zh-CN" w:bidi="ar-SA"/>
        </w:rPr>
        <w:t>”，答</w:t>
      </w:r>
      <w:r>
        <w:rPr>
          <w:rFonts w:ascii="Times New Roman" w:hAnsi="Times New Roman" w:eastAsia="方正仿宋_GBK" w:cs="Times New Roman"/>
          <w:color w:val="000000"/>
          <w:kern w:val="0"/>
          <w:sz w:val="32"/>
          <w:szCs w:val="32"/>
          <w:lang w:val="en-US" w:eastAsia="zh-CN" w:bidi="ar-SA"/>
        </w:rPr>
        <w:t>好</w:t>
      </w:r>
      <w:r>
        <w:rPr>
          <w:rFonts w:hint="eastAsia" w:ascii="Times New Roman" w:hAnsi="Times New Roman" w:eastAsia="方正仿宋_GBK" w:cs="Times New Roman"/>
          <w:color w:val="000000"/>
          <w:kern w:val="0"/>
          <w:sz w:val="32"/>
          <w:szCs w:val="32"/>
          <w:lang w:val="en-US" w:eastAsia="zh-CN" w:bidi="ar-SA"/>
        </w:rPr>
        <w:t>了“</w:t>
      </w:r>
      <w:r>
        <w:rPr>
          <w:rFonts w:ascii="Times New Roman" w:hAnsi="Times New Roman" w:eastAsia="方正仿宋_GBK" w:cs="Times New Roman"/>
          <w:color w:val="000000"/>
          <w:kern w:val="0"/>
          <w:sz w:val="32"/>
          <w:szCs w:val="32"/>
          <w:lang w:val="en-US" w:eastAsia="zh-CN" w:bidi="ar-SA"/>
        </w:rPr>
        <w:t>民生答卷</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w:t>
      </w:r>
    </w:p>
    <w:p w14:paraId="05F983C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这一年，我们居安思危、坚守底线，社会大局安全稳定。</w:t>
      </w:r>
      <w:r>
        <w:rPr>
          <w:rFonts w:hint="eastAsia" w:ascii="Times New Roman" w:hAnsi="Times New Roman" w:eastAsia="方正仿宋_GBK" w:cs="Times New Roman"/>
          <w:sz w:val="32"/>
          <w:szCs w:val="32"/>
        </w:rPr>
        <w:t>我们秉持“公开透明、快速响应、积极沟通、有效引导”的原则，加强舆情监测和引导，关注社会舆论和动态，及时回应社会关切，及时有效处置各类重大突发事件，确保了重大事件负面舆情扩散，维护了社会稳定和政府形象，人民安宁成色更足更亮。</w:t>
      </w:r>
    </w:p>
    <w:p w14:paraId="5041949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sz w:val="32"/>
          <w:szCs w:val="32"/>
        </w:rPr>
        <w:t>一年来，重点做了以下工作</w:t>
      </w:r>
      <w:r>
        <w:rPr>
          <w:rFonts w:hint="eastAsia" w:ascii="Times New Roman" w:hAnsi="Times New Roman" w:eastAsia="方正仿宋_GBK" w:cs="Times New Roman"/>
          <w:sz w:val="32"/>
          <w:szCs w:val="32"/>
          <w:lang w:eastAsia="zh-CN"/>
        </w:rPr>
        <w:t>：</w:t>
      </w:r>
    </w:p>
    <w:p w14:paraId="7EEDD4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（一）坚持工业立镇，项目建设攻坚突破</w:t>
      </w:r>
    </w:p>
    <w:p w14:paraId="1DF1799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全力保障企业用地需求。持续推进征地拆迁，</w:t>
      </w:r>
      <w:r>
        <w:rPr>
          <w:rFonts w:hint="eastAsia" w:ascii="Times New Roman" w:hAnsi="Times New Roman" w:eastAsia="方正仿宋_GBK" w:cs="Times New Roman"/>
          <w:sz w:val="32"/>
          <w:szCs w:val="32"/>
        </w:rPr>
        <w:t>完成东A区棱镜能源、华沃德源、贝思远、波克迪等企业以及T5、T6、J3、J4等道路建设用地410余亩土地供给，保障了东B区华电地块及纵一路建设用地1093亩的土地需求，稳妥推进新产业大道、太田路等遗留问题处置，征地批文已顺利获批。完成新发布6宗预征级地公告计2735亩前期房屋清点及附属设施核实工作，并有序完成土地征收协议和90%以上的房屋协议签订，达到征地报批地组卷要求，征地拆迁正有序推进。</w:t>
      </w:r>
    </w:p>
    <w:p w14:paraId="483B07D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有力助推电力</w:t>
      </w:r>
      <w:bookmarkStart w:id="3" w:name="_Hlk189495493"/>
      <w:r>
        <w:rPr>
          <w:rFonts w:hint="eastAsia" w:ascii="Times New Roman" w:hAnsi="Times New Roman" w:eastAsia="方正仿宋_GBK" w:cs="Times New Roman"/>
          <w:b/>
          <w:bCs/>
          <w:sz w:val="32"/>
          <w:szCs w:val="32"/>
        </w:rPr>
        <w:t>廊道</w:t>
      </w:r>
      <w:bookmarkEnd w:id="3"/>
      <w:r>
        <w:rPr>
          <w:rFonts w:hint="eastAsia" w:ascii="Times New Roman" w:hAnsi="Times New Roman" w:eastAsia="方正仿宋_GBK" w:cs="Times New Roman"/>
          <w:b/>
          <w:bCs/>
          <w:sz w:val="32"/>
          <w:szCs w:val="32"/>
        </w:rPr>
        <w:t>建设</w:t>
      </w:r>
      <w:r>
        <w:rPr>
          <w:rFonts w:hint="eastAsia" w:ascii="Times New Roman" w:hAnsi="Times New Roman" w:eastAsia="方正仿宋_GBK" w:cs="Times New Roman"/>
          <w:sz w:val="32"/>
          <w:szCs w:val="32"/>
        </w:rPr>
        <w:t>。协调解决电力廊道建设占地和沿线影响的各类矛盾，</w:t>
      </w:r>
      <w:r>
        <w:rPr>
          <w:rFonts w:hint="eastAsia" w:ascii="Times New Roman" w:hAnsi="Times New Roman" w:eastAsia="方正仿宋_GBK" w:cs="Times New Roman"/>
          <w:b w:val="0"/>
          <w:bCs w:val="0"/>
          <w:sz w:val="32"/>
          <w:szCs w:val="32"/>
        </w:rPr>
        <w:t>拆迁电力廊道影响房屋16幢，建成</w:t>
      </w:r>
      <w:r>
        <w:rPr>
          <w:rFonts w:hint="eastAsia" w:ascii="Times New Roman" w:hAnsi="Times New Roman" w:eastAsia="方正仿宋_GBK" w:cs="Times New Roman"/>
          <w:sz w:val="32"/>
          <w:szCs w:val="32"/>
        </w:rPr>
        <w:t>潼南至田家小桥、高何变电站、金上至湖北800</w:t>
      </w:r>
      <w:bookmarkStart w:id="4" w:name="_Hlk189495567"/>
      <w:r>
        <w:rPr>
          <w:rFonts w:hint="eastAsia" w:ascii="Times New Roman" w:hAnsi="Times New Roman" w:eastAsia="方正仿宋_GBK" w:cs="Times New Roman"/>
          <w:sz w:val="32"/>
          <w:szCs w:val="32"/>
        </w:rPr>
        <w:t>千伏</w:t>
      </w:r>
      <w:bookmarkEnd w:id="4"/>
      <w:r>
        <w:rPr>
          <w:rFonts w:hint="eastAsia" w:ascii="Times New Roman" w:hAnsi="Times New Roman" w:eastAsia="方正仿宋_GBK" w:cs="Times New Roman"/>
          <w:sz w:val="32"/>
          <w:szCs w:val="32"/>
        </w:rPr>
        <w:t>安特高压输电线等电力铁塔35座，完成桥开线（小桥至佛镇）10千伏电力线路建设，破解了东A区企业用电</w:t>
      </w:r>
      <w:r>
        <w:rPr>
          <w:rFonts w:hint="eastAsia" w:ascii="Times New Roman" w:hAnsi="Times New Roman" w:eastAsia="方正仿宋_GBK" w:cs="仿宋_GB2312"/>
          <w:sz w:val="32"/>
          <w:szCs w:val="32"/>
        </w:rPr>
        <w:t>瓶颈，满足了东B区企业入场建设电力需求。</w:t>
      </w:r>
    </w:p>
    <w:p w14:paraId="04FBFBB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完善园区生活配套服务。</w:t>
      </w:r>
      <w:r>
        <w:rPr>
          <w:rFonts w:hint="eastAsia" w:ascii="Times New Roman" w:hAnsi="Times New Roman" w:eastAsia="方正仿宋_GBK" w:cs="Times New Roman"/>
          <w:sz w:val="32"/>
          <w:szCs w:val="32"/>
        </w:rPr>
        <w:t>以园区内职工生活便利化为目标，以生活配套设施建设为重点，加强镇园协同联动，推动园区毗邻村居以村集体经济形式为园区服务，小桥、垭口、罗汉、佛镇等分别建成田家人物业、东建美食街、垃圾清运、园区房屋拆迁等强村实体经济。</w:t>
      </w:r>
    </w:p>
    <w:p w14:paraId="51F4A7A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bCs/>
          <w:sz w:val="32"/>
          <w:szCs w:val="32"/>
        </w:rPr>
      </w:pPr>
      <w:r>
        <w:rPr>
          <w:rFonts w:hint="eastAsia" w:ascii="方正楷体_GBK" w:hAnsi="方正楷体_GBK" w:eastAsia="方正楷体_GBK" w:cs="方正楷体_GBK"/>
          <w:sz w:val="32"/>
          <w:szCs w:val="32"/>
        </w:rPr>
        <w:t>（二）坚持镇园联动，乡村振兴焕发活力</w:t>
      </w:r>
    </w:p>
    <w:p w14:paraId="798412A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“一镇一园”纵深发展。</w:t>
      </w:r>
      <w:r>
        <w:rPr>
          <w:rFonts w:hint="eastAsia" w:ascii="Times New Roman" w:hAnsi="Times New Roman" w:eastAsia="方正仿宋_GBK" w:cs="Times New Roman"/>
          <w:sz w:val="32"/>
          <w:szCs w:val="32"/>
        </w:rPr>
        <w:t>巩固整合粮油、经果种植优势，有序推进撂荒地复耕复种和土地流转，精心打造以小石社区为核心的集现代化、规模化、精品化于一体的粮油种植园800余亩，实现了粮油作物优质高产，并辐射带动周边区域近2000余亩土地参与到规模养殖、优质水果、优质水产等多元化农业发展中。</w:t>
      </w:r>
      <w:r>
        <w:rPr>
          <w:rFonts w:ascii="Times New Roman" w:hAnsi="Times New Roman" w:eastAsia="方正仿宋_GBK" w:cs="Times New Roman"/>
          <w:sz w:val="32"/>
          <w:szCs w:val="32"/>
        </w:rPr>
        <w:t>全</w:t>
      </w:r>
      <w:r>
        <w:rPr>
          <w:rFonts w:hint="eastAsia" w:ascii="Times New Roman" w:hAnsi="Times New Roman" w:eastAsia="方正仿宋_GBK" w:cs="Times New Roman"/>
          <w:sz w:val="32"/>
          <w:szCs w:val="32"/>
        </w:rPr>
        <w:t>镇</w:t>
      </w:r>
      <w:r>
        <w:rPr>
          <w:rFonts w:ascii="Times New Roman" w:hAnsi="Times New Roman" w:eastAsia="方正仿宋_GBK" w:cs="Times New Roman"/>
          <w:sz w:val="32"/>
          <w:szCs w:val="32"/>
        </w:rPr>
        <w:t>粮食、蔬菜播种面积分别完成</w:t>
      </w:r>
      <w:r>
        <w:rPr>
          <w:rFonts w:hint="eastAsia" w:ascii="Times New Roman" w:hAnsi="Times New Roman" w:eastAsia="方正仿宋_GBK" w:cs="Times New Roman"/>
          <w:sz w:val="32"/>
          <w:szCs w:val="32"/>
        </w:rPr>
        <w:t>3.78</w:t>
      </w:r>
      <w:r>
        <w:rPr>
          <w:rFonts w:ascii="Times New Roman" w:hAnsi="Times New Roman" w:eastAsia="方正仿宋_GBK" w:cs="Times New Roman"/>
          <w:sz w:val="32"/>
          <w:szCs w:val="32"/>
        </w:rPr>
        <w:t>万亩、2.</w:t>
      </w:r>
      <w:r>
        <w:rPr>
          <w:rFonts w:hint="eastAsia" w:ascii="Times New Roman" w:hAnsi="Times New Roman" w:eastAsia="方正仿宋_GBK" w:cs="Times New Roman"/>
          <w:sz w:val="32"/>
          <w:szCs w:val="32"/>
        </w:rPr>
        <w:t>97</w:t>
      </w:r>
      <w:r>
        <w:rPr>
          <w:rFonts w:ascii="Times New Roman" w:hAnsi="Times New Roman" w:eastAsia="方正仿宋_GBK" w:cs="Times New Roman"/>
          <w:sz w:val="32"/>
          <w:szCs w:val="32"/>
        </w:rPr>
        <w:t>万亩，粮油产量、蔬菜产量分别达到</w:t>
      </w:r>
      <w:r>
        <w:rPr>
          <w:rFonts w:hint="eastAsia" w:ascii="Times New Roman" w:hAnsi="Times New Roman" w:eastAsia="方正仿宋_GBK" w:cs="Times New Roman"/>
          <w:sz w:val="32"/>
          <w:szCs w:val="32"/>
        </w:rPr>
        <w:t>1.59万</w:t>
      </w:r>
      <w:r>
        <w:rPr>
          <w:rFonts w:ascii="Times New Roman" w:hAnsi="Times New Roman" w:eastAsia="方正仿宋_GBK" w:cs="Times New Roman"/>
          <w:sz w:val="32"/>
          <w:szCs w:val="32"/>
        </w:rPr>
        <w:t>吨、4.</w:t>
      </w:r>
      <w:r>
        <w:rPr>
          <w:rFonts w:hint="eastAsia" w:ascii="Times New Roman" w:hAnsi="Times New Roman" w:eastAsia="方正仿宋_GBK" w:cs="Times New Roman"/>
          <w:sz w:val="32"/>
          <w:szCs w:val="32"/>
        </w:rPr>
        <w:t>88万</w:t>
      </w:r>
      <w:r>
        <w:rPr>
          <w:rFonts w:ascii="Times New Roman" w:hAnsi="Times New Roman" w:eastAsia="方正仿宋_GBK" w:cs="Times New Roman"/>
          <w:sz w:val="32"/>
          <w:szCs w:val="32"/>
        </w:rPr>
        <w:t>吨。全年生猪出栏</w:t>
      </w:r>
      <w:r>
        <w:rPr>
          <w:rFonts w:hint="eastAsia" w:ascii="Times New Roman" w:hAnsi="Times New Roman" w:eastAsia="方正仿宋_GBK" w:cs="Times New Roman"/>
          <w:sz w:val="32"/>
          <w:szCs w:val="32"/>
        </w:rPr>
        <w:t>4.92</w:t>
      </w:r>
      <w:r>
        <w:rPr>
          <w:rFonts w:ascii="Times New Roman" w:hAnsi="Times New Roman" w:eastAsia="方正仿宋_GBK" w:cs="Times New Roman"/>
          <w:sz w:val="32"/>
          <w:szCs w:val="32"/>
        </w:rPr>
        <w:t>万头，蛋鸡存栏量</w:t>
      </w:r>
      <w:r>
        <w:rPr>
          <w:rFonts w:hint="eastAsia" w:ascii="Times New Roman" w:hAnsi="Times New Roman" w:eastAsia="方正仿宋_GBK" w:cs="Times New Roman"/>
          <w:sz w:val="32"/>
          <w:szCs w:val="32"/>
        </w:rPr>
        <w:t>30</w:t>
      </w:r>
      <w:r>
        <w:rPr>
          <w:rFonts w:ascii="Times New Roman" w:hAnsi="Times New Roman" w:eastAsia="方正仿宋_GBK" w:cs="Times New Roman"/>
          <w:sz w:val="32"/>
          <w:szCs w:val="32"/>
        </w:rPr>
        <w:t>万只，淡水养殖和小龙虾产量分别达到</w:t>
      </w:r>
      <w:r>
        <w:rPr>
          <w:rFonts w:hint="eastAsia" w:ascii="Times New Roman" w:hAnsi="Times New Roman" w:eastAsia="方正仿宋_GBK" w:cs="Times New Roman"/>
          <w:sz w:val="32"/>
          <w:szCs w:val="32"/>
        </w:rPr>
        <w:t>1460</w:t>
      </w:r>
      <w:r>
        <w:rPr>
          <w:rFonts w:ascii="Times New Roman" w:hAnsi="Times New Roman" w:eastAsia="方正仿宋_GBK" w:cs="Times New Roman"/>
          <w:sz w:val="32"/>
          <w:szCs w:val="32"/>
        </w:rPr>
        <w:t>吨、</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吨。</w:t>
      </w:r>
    </w:p>
    <w:p w14:paraId="0526913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仿宋_GB2312"/>
          <w:sz w:val="32"/>
          <w:szCs w:val="32"/>
        </w:rPr>
      </w:pPr>
      <w:r>
        <w:rPr>
          <w:rFonts w:hint="eastAsia" w:ascii="Times New Roman" w:hAnsi="Times New Roman" w:eastAsia="方正仿宋_GBK" w:cs="Times New Roman"/>
          <w:b/>
          <w:bCs/>
          <w:sz w:val="32"/>
          <w:szCs w:val="32"/>
        </w:rPr>
        <w:t>集体增收多点开花。</w:t>
      </w:r>
      <w:r>
        <w:rPr>
          <w:rFonts w:hint="eastAsia" w:ascii="Times New Roman" w:hAnsi="Times New Roman" w:eastAsia="方正仿宋_GBK" w:cs="仿宋_GB2312"/>
          <w:sz w:val="32"/>
          <w:szCs w:val="32"/>
        </w:rPr>
        <w:t>我们</w:t>
      </w:r>
      <w:r>
        <w:rPr>
          <w:rFonts w:hint="eastAsia" w:ascii="Times New Roman" w:hAnsi="Times New Roman" w:eastAsia="方正仿宋_GBK" w:cs="仿宋_GB2312"/>
          <w:color w:val="000000"/>
          <w:kern w:val="0"/>
          <w:sz w:val="32"/>
          <w:szCs w:val="32"/>
        </w:rPr>
        <w:t>依托园区创新</w:t>
      </w:r>
      <w:r>
        <w:rPr>
          <w:rFonts w:hint="eastAsia" w:ascii="Times New Roman" w:hAnsi="Times New Roman" w:eastAsia="方正仿宋_GBK" w:cs="仿宋_GB2312"/>
          <w:sz w:val="32"/>
          <w:szCs w:val="32"/>
        </w:rPr>
        <w:t>集体经济模式，小桥、垭口、罗汉和佛镇等村居分别依托清扫保洁、东建美食街、垃圾清运、房屋拆迁等方面做强做大集体经济。其余各村居根据自身资源禀赋和条件，因地制宜发展特色产业和实体经济，今年村集体经济收入平均达到63.7万元。</w:t>
      </w:r>
    </w:p>
    <w:p w14:paraId="31D1458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仿宋_GB2312"/>
          <w:b/>
          <w:bCs/>
          <w:sz w:val="32"/>
          <w:szCs w:val="32"/>
        </w:rPr>
        <w:t>乡村环境持续改善。</w:t>
      </w:r>
      <w:r>
        <w:rPr>
          <w:rFonts w:hint="eastAsia" w:ascii="Times New Roman" w:hAnsi="Times New Roman" w:eastAsia="方正仿宋_GBK" w:cs="仿宋_GB2312"/>
          <w:sz w:val="32"/>
          <w:szCs w:val="32"/>
        </w:rPr>
        <w:t>全面开展“积分制”、“清单制”，健全完善农村人居环境乡村治理，推进垃圾分类行动，农村生活垃圾、污水治理率达到90%、55%以上。</w:t>
      </w:r>
      <w:r>
        <w:rPr>
          <w:rFonts w:ascii="Times New Roman" w:hAnsi="Times New Roman" w:eastAsia="方正仿宋_GBK" w:cs="Times New Roman"/>
          <w:sz w:val="32"/>
          <w:szCs w:val="32"/>
        </w:rPr>
        <w:t>强化耕地用途管控，完成耕地恢复补足</w:t>
      </w:r>
      <w:r>
        <w:rPr>
          <w:rFonts w:hint="eastAsia" w:ascii="Times New Roman" w:hAnsi="Times New Roman" w:eastAsia="方正仿宋_GBK" w:cs="Times New Roman"/>
          <w:sz w:val="32"/>
          <w:szCs w:val="32"/>
        </w:rPr>
        <w:t>154.2</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、耕地流出</w:t>
      </w:r>
      <w:r>
        <w:rPr>
          <w:rFonts w:ascii="Times New Roman" w:hAnsi="Times New Roman" w:eastAsia="方正仿宋_GBK" w:cs="Times New Roman"/>
          <w:sz w:val="32"/>
          <w:szCs w:val="32"/>
        </w:rPr>
        <w:t>非农化非粮化</w:t>
      </w:r>
      <w:r>
        <w:rPr>
          <w:rFonts w:hint="eastAsia" w:ascii="Times New Roman" w:hAnsi="Times New Roman" w:eastAsia="方正仿宋_GBK" w:cs="Times New Roman"/>
          <w:sz w:val="32"/>
          <w:szCs w:val="32"/>
        </w:rPr>
        <w:t>图斑整改85个221</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整改“一本账”违法图斑9个</w:t>
      </w:r>
      <w:r>
        <w:rPr>
          <w:rFonts w:ascii="Times New Roman" w:hAnsi="Times New Roman" w:eastAsia="方正仿宋_GBK" w:cs="Times New Roman"/>
          <w:sz w:val="32"/>
          <w:szCs w:val="32"/>
        </w:rPr>
        <w:t>，有效地防止耕地流出。全面落实林长制、河长制，加强森林草原防灭火工作，镇、村两级河长完成巡河</w:t>
      </w:r>
      <w:r>
        <w:rPr>
          <w:rFonts w:hint="eastAsia" w:ascii="Times New Roman" w:hAnsi="Times New Roman" w:eastAsia="方正仿宋_GBK" w:cs="Times New Roman"/>
          <w:sz w:val="32"/>
          <w:szCs w:val="32"/>
        </w:rPr>
        <w:t>3019</w:t>
      </w:r>
      <w:r>
        <w:rPr>
          <w:rFonts w:ascii="Times New Roman" w:hAnsi="Times New Roman" w:eastAsia="方正仿宋_GBK" w:cs="Times New Roman"/>
          <w:sz w:val="32"/>
          <w:szCs w:val="32"/>
        </w:rPr>
        <w:t>次，完成区级和本级巡河发现问题整改</w:t>
      </w:r>
      <w:r>
        <w:rPr>
          <w:rFonts w:hint="eastAsia" w:ascii="Times New Roman" w:hAnsi="Times New Roman" w:eastAsia="方正仿宋_GBK" w:cs="Times New Roman"/>
          <w:sz w:val="32"/>
          <w:szCs w:val="32"/>
        </w:rPr>
        <w:t>45</w:t>
      </w:r>
      <w:r>
        <w:rPr>
          <w:rFonts w:ascii="Times New Roman" w:hAnsi="Times New Roman" w:eastAsia="方正仿宋_GBK" w:cs="Times New Roman"/>
          <w:sz w:val="32"/>
          <w:szCs w:val="32"/>
        </w:rPr>
        <w:t>个。加强农业农村面源污染治理，完成并销号区级反馈环保问题整改</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处</w:t>
      </w:r>
      <w:r>
        <w:rPr>
          <w:rFonts w:hint="eastAsia" w:ascii="Times New Roman" w:hAnsi="Times New Roman" w:eastAsia="方正仿宋_GBK" w:cs="Times New Roman"/>
          <w:sz w:val="32"/>
          <w:szCs w:val="32"/>
        </w:rPr>
        <w:t>。</w:t>
      </w:r>
    </w:p>
    <w:p w14:paraId="44662AC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坚持以民为本，民生福祉量质齐升</w:t>
      </w:r>
    </w:p>
    <w:p w14:paraId="3FF8CFA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仿宋_GB2312"/>
          <w:b/>
          <w:bCs/>
          <w:sz w:val="32"/>
          <w:szCs w:val="32"/>
        </w:rPr>
        <w:t>脱贫成果坚实稳固。</w:t>
      </w:r>
      <w:r>
        <w:rPr>
          <w:rFonts w:ascii="Times New Roman" w:hAnsi="Times New Roman" w:eastAsia="方正仿宋_GBK" w:cs="Times New Roman"/>
          <w:sz w:val="32"/>
          <w:szCs w:val="32"/>
        </w:rPr>
        <w:t>组织实施三大行动，</w:t>
      </w:r>
      <w:r>
        <w:rPr>
          <w:rFonts w:hint="eastAsia" w:ascii="方正仿宋_GBK" w:hAnsi="方正仿宋_GBK" w:eastAsia="方正仿宋_GBK" w:cs="方正仿宋_GBK"/>
          <w:sz w:val="32"/>
          <w:szCs w:val="32"/>
        </w:rPr>
        <w:t>持续巩固“两不愁三保障”成</w:t>
      </w:r>
      <w:r>
        <w:rPr>
          <w:rFonts w:ascii="Times New Roman" w:hAnsi="Times New Roman" w:eastAsia="方正仿宋_GBK" w:cs="Times New Roman"/>
          <w:sz w:val="32"/>
          <w:szCs w:val="32"/>
        </w:rPr>
        <w:t>果，常态化开展防返贫动态监测，全年新增监测对象5户13人，落实帮扶干部5人，全镇监测对象中，已消除风险26户68人，未消除风险16户37人。全年发放交通补贴562人7.29万元，</w:t>
      </w:r>
      <w:r>
        <w:rPr>
          <w:rFonts w:hint="eastAsia" w:ascii="Times New Roman" w:hAnsi="Times New Roman" w:eastAsia="方正仿宋_GBK" w:cs="Times New Roman"/>
          <w:sz w:val="32"/>
          <w:szCs w:val="32"/>
        </w:rPr>
        <w:t>申报农业产业“改补为奖”资金67.33万元，</w:t>
      </w:r>
      <w:r>
        <w:rPr>
          <w:rFonts w:ascii="Times New Roman" w:hAnsi="Times New Roman" w:eastAsia="方正仿宋_GBK" w:cs="Times New Roman"/>
          <w:sz w:val="32"/>
          <w:szCs w:val="32"/>
        </w:rPr>
        <w:t>脱贫人口务工人数较上年增加71人。</w:t>
      </w:r>
    </w:p>
    <w:p w14:paraId="152C69F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仿宋_GB2312"/>
          <w:b/>
          <w:bCs/>
          <w:sz w:val="32"/>
          <w:szCs w:val="32"/>
          <w:lang w:val="en-US" w:eastAsia="zh-CN"/>
        </w:rPr>
        <w:t>社会保障坚实有力</w:t>
      </w:r>
      <w:r>
        <w:rPr>
          <w:rFonts w:hint="eastAsia" w:ascii="Times New Roman" w:hAnsi="Times New Roman" w:eastAsia="方正仿宋_GBK" w:cs="仿宋_GB2312"/>
          <w:b/>
          <w:bCs/>
          <w:sz w:val="32"/>
          <w:szCs w:val="32"/>
        </w:rPr>
        <w:t>。</w:t>
      </w:r>
      <w:r>
        <w:rPr>
          <w:rFonts w:hint="eastAsia" w:ascii="Times New Roman" w:hAnsi="Times New Roman" w:eastAsia="方正仿宋_GBK" w:cs="仿宋_GB2312"/>
          <w:sz w:val="32"/>
          <w:szCs w:val="32"/>
        </w:rPr>
        <w:t>加大民生保障方面的投入力度，不断完善政策体系，确保各项民生政策落到实处。2024年发放低保金608人352.9万元，发放涉农补</w:t>
      </w:r>
      <w:r>
        <w:rPr>
          <w:rFonts w:hint="eastAsia" w:ascii="Times New Roman" w:hAnsi="Times New Roman" w:eastAsia="方正仿宋_GBK" w:cs="Times New Roman"/>
          <w:sz w:val="32"/>
          <w:szCs w:val="32"/>
        </w:rPr>
        <w:t>助资金305.81万元，发放残疾人两补贴6352人次、资金53.6万元，实施镇区两级临时救助130次、资金40.6万元，推进C、D级危房改造7户、补贴资金19万元，城乡居民医保参保率保持在95%以上。</w:t>
      </w:r>
    </w:p>
    <w:p w14:paraId="35CB135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公共服务</w:t>
      </w:r>
      <w:r>
        <w:rPr>
          <w:rFonts w:hint="eastAsia" w:ascii="Times New Roman" w:hAnsi="Times New Roman" w:eastAsia="方正仿宋_GBK" w:cs="Times New Roman"/>
          <w:b/>
          <w:bCs/>
          <w:sz w:val="32"/>
          <w:szCs w:val="32"/>
          <w:lang w:val="en-US" w:eastAsia="zh-CN"/>
        </w:rPr>
        <w:t>不断优化</w:t>
      </w:r>
      <w:r>
        <w:rPr>
          <w:rFonts w:ascii="Times New Roman" w:hAnsi="Times New Roman" w:eastAsia="方正仿宋_GBK" w:cs="Times New Roman"/>
          <w:b/>
          <w:bCs/>
          <w:sz w:val="32"/>
          <w:szCs w:val="32"/>
        </w:rPr>
        <w:t>。</w:t>
      </w:r>
      <w:r>
        <w:rPr>
          <w:rFonts w:hint="eastAsia" w:ascii="Times New Roman" w:hAnsi="Times New Roman" w:eastAsia="方正仿宋_GBK" w:cs="仿宋_GB2312"/>
          <w:sz w:val="32"/>
          <w:szCs w:val="32"/>
        </w:rPr>
        <w:t>示范建设基层人社公共服务标准，完成镇街公共服务集成进厅，让办事群众进一个门办完所有事，渝快办网上网下同步办理</w:t>
      </w:r>
      <w:r>
        <w:rPr>
          <w:rFonts w:hint="eastAsia" w:ascii="Times New Roman" w:hAnsi="Times New Roman" w:cs="仿宋_GB2312"/>
          <w:sz w:val="32"/>
          <w:szCs w:val="32"/>
        </w:rPr>
        <w:t>。</w:t>
      </w:r>
      <w:r>
        <w:rPr>
          <w:rFonts w:hint="eastAsia" w:ascii="Times New Roman" w:hAnsi="Times New Roman" w:eastAsia="方正仿宋_GBK" w:cs="仿宋_GB2312"/>
          <w:sz w:val="32"/>
          <w:szCs w:val="32"/>
        </w:rPr>
        <w:t>探索“169便民服务零跑路”公共服务模式，通过优化服务流程、加强部门协同，引导群众办理民生事项少跑或不跑路，代表重庆市接受人社部领导检查验收并获得好评，广东、四川等省市及周边区县多次到镇学习交流。</w:t>
      </w:r>
    </w:p>
    <w:p w14:paraId="4D916C9C">
      <w:pPr>
        <w:keepNext w:val="0"/>
        <w:keepLines w:val="0"/>
        <w:pageBreakBefore w:val="0"/>
        <w:kinsoku/>
        <w:wordWrap/>
        <w:overflowPunct/>
        <w:topLinePunct w:val="0"/>
        <w:autoSpaceDE/>
        <w:autoSpaceDN/>
        <w:bidi w:val="0"/>
        <w:adjustRightInd/>
        <w:snapToGrid/>
        <w:spacing w:line="540" w:lineRule="exact"/>
        <w:ind w:firstLine="648"/>
        <w:contextualSpacing/>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（四）坚持平安筑基，社会大局稳定有序</w:t>
      </w:r>
    </w:p>
    <w:p w14:paraId="063EB42A">
      <w:pPr>
        <w:keepNext w:val="0"/>
        <w:keepLines w:val="0"/>
        <w:pageBreakBefore w:val="0"/>
        <w:kinsoku/>
        <w:wordWrap/>
        <w:overflowPunct/>
        <w:topLinePunct w:val="0"/>
        <w:autoSpaceDE/>
        <w:autoSpaceDN/>
        <w:bidi w:val="0"/>
        <w:adjustRightInd/>
        <w:snapToGrid/>
        <w:spacing w:line="540" w:lineRule="exact"/>
        <w:ind w:firstLine="648"/>
        <w:contextualSpacing/>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安全生产</w:t>
      </w:r>
      <w:r>
        <w:rPr>
          <w:rFonts w:hint="eastAsia" w:ascii="Times New Roman" w:hAnsi="Times New Roman" w:eastAsia="方正仿宋_GBK" w:cs="Times New Roman"/>
          <w:b/>
          <w:bCs/>
          <w:sz w:val="32"/>
          <w:szCs w:val="32"/>
          <w:lang w:val="en-US" w:eastAsia="zh-CN"/>
        </w:rPr>
        <w:t>总体平稳</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深化大排查大整治行动，抓好交通、燃气、工贸、危化、消防等行业安全生产，坚决防止发生较大及以上生产安全事故。统筹整合资源力量，推动镇平安法治办公室建成大应急队伍1支、村（居）委建成最小应急单元12个。建立“邻里包户双敲门”“居民物资双备份”等应急物资储备制度，完善应急预案，熟悉应急演练，全面提升应急处置能力和防灾减灾抗灾能力。</w:t>
      </w:r>
    </w:p>
    <w:p w14:paraId="414173B4">
      <w:pPr>
        <w:keepNext w:val="0"/>
        <w:keepLines w:val="0"/>
        <w:pageBreakBefore w:val="0"/>
        <w:kinsoku/>
        <w:wordWrap/>
        <w:overflowPunct/>
        <w:topLinePunct w:val="0"/>
        <w:autoSpaceDE/>
        <w:autoSpaceDN/>
        <w:bidi w:val="0"/>
        <w:adjustRightInd/>
        <w:snapToGrid/>
        <w:spacing w:line="540" w:lineRule="exact"/>
        <w:ind w:firstLine="648"/>
        <w:contextualSpacing/>
        <w:textAlignment w:val="auto"/>
        <w:rPr>
          <w:rFonts w:hint="eastAsia" w:ascii="方正仿宋_GBK" w:hAnsi="方正仿宋_GBK" w:eastAsia="方正仿宋_GBK" w:cs="方正仿宋_GBK"/>
          <w:spacing w:val="-6"/>
          <w:sz w:val="32"/>
          <w:szCs w:val="32"/>
          <w:lang w:bidi="ar"/>
        </w:rPr>
      </w:pPr>
      <w:r>
        <w:rPr>
          <w:rFonts w:hint="eastAsia" w:ascii="Times New Roman" w:hAnsi="Times New Roman" w:eastAsia="方正仿宋_GBK" w:cs="Times New Roman"/>
          <w:b/>
          <w:bCs/>
          <w:sz w:val="32"/>
          <w:szCs w:val="32"/>
        </w:rPr>
        <w:t>基层智治赋能增效。</w:t>
      </w:r>
      <w:r>
        <w:rPr>
          <w:rFonts w:hint="eastAsia" w:ascii="方正仿宋_GBK" w:hAnsi="方正仿宋_GBK" w:eastAsia="方正仿宋_GBK" w:cs="方正仿宋_GBK"/>
          <w:bCs/>
          <w:color w:val="000000"/>
          <w:spacing w:val="-4"/>
          <w:sz w:val="32"/>
          <w:szCs w:val="32"/>
          <w:lang w:bidi="ar"/>
        </w:rPr>
        <w:t>迭代升级</w:t>
      </w:r>
      <w:r>
        <w:rPr>
          <w:rFonts w:ascii="Times New Roman" w:hAnsi="Times New Roman" w:eastAsia="方正仿宋_GBK" w:cs="Times New Roman"/>
          <w:spacing w:val="-6"/>
          <w:sz w:val="32"/>
          <w:szCs w:val="32"/>
          <w:lang w:bidi="ar"/>
        </w:rPr>
        <w:t>L</w:t>
      </w:r>
      <w:r>
        <w:rPr>
          <w:rFonts w:hint="eastAsia" w:ascii="Times New Roman" w:hAnsi="Times New Roman" w:eastAsia="方正仿宋_GBK" w:cs="Times New Roman"/>
          <w:spacing w:val="-6"/>
          <w:sz w:val="32"/>
          <w:szCs w:val="32"/>
          <w:lang w:bidi="ar"/>
        </w:rPr>
        <w:t>2</w:t>
      </w:r>
      <w:r>
        <w:rPr>
          <w:rFonts w:hint="eastAsia" w:ascii="方正仿宋_GBK" w:hAnsi="方正仿宋_GBK" w:eastAsia="方正仿宋_GBK" w:cs="方正仿宋_GBK"/>
          <w:bCs/>
          <w:color w:val="000000"/>
          <w:spacing w:val="-4"/>
          <w:sz w:val="32"/>
          <w:szCs w:val="32"/>
          <w:lang w:bidi="ar"/>
        </w:rPr>
        <w:t>级三维实景地图</w:t>
      </w:r>
      <w:r>
        <w:rPr>
          <w:rFonts w:ascii="方正仿宋_GBK" w:hAnsi="方正仿宋_GBK" w:eastAsia="方正仿宋_GBK" w:cs="方正仿宋_GBK"/>
          <w:bCs/>
          <w:color w:val="000000"/>
          <w:spacing w:val="-4"/>
          <w:sz w:val="32"/>
          <w:szCs w:val="32"/>
          <w:lang w:bidi="ar"/>
        </w:rPr>
        <w:t>，标注风灾点</w:t>
      </w:r>
      <w:r>
        <w:rPr>
          <w:rFonts w:ascii="Times New Roman" w:hAnsi="Times New Roman" w:eastAsia="方正仿宋_GBK" w:cs="Times New Roman"/>
          <w:spacing w:val="-6"/>
          <w:sz w:val="32"/>
          <w:szCs w:val="32"/>
          <w:lang w:bidi="ar"/>
        </w:rPr>
        <w:t>102</w:t>
      </w:r>
      <w:r>
        <w:rPr>
          <w:rFonts w:ascii="方正仿宋_GBK" w:hAnsi="方正仿宋_GBK" w:eastAsia="方正仿宋_GBK" w:cs="方正仿宋_GBK"/>
          <w:bCs/>
          <w:color w:val="000000"/>
          <w:spacing w:val="-4"/>
          <w:sz w:val="32"/>
          <w:szCs w:val="32"/>
          <w:lang w:bidi="ar"/>
        </w:rPr>
        <w:t>处，归集编目</w:t>
      </w:r>
      <w:r>
        <w:rPr>
          <w:rFonts w:ascii="方正仿宋_GBK" w:hAnsi="方正仿宋_GBK" w:eastAsia="方正仿宋_GBK" w:cs="方正仿宋_GBK"/>
          <w:spacing w:val="-6"/>
          <w:sz w:val="32"/>
          <w:szCs w:val="32"/>
          <w:lang w:bidi="ar"/>
        </w:rPr>
        <w:t>感知设备</w:t>
      </w:r>
      <w:r>
        <w:rPr>
          <w:rFonts w:ascii="Times New Roman" w:hAnsi="Times New Roman" w:eastAsia="方正仿宋_GBK" w:cs="Times New Roman"/>
          <w:spacing w:val="-6"/>
          <w:sz w:val="32"/>
          <w:szCs w:val="32"/>
          <w:lang w:bidi="ar"/>
        </w:rPr>
        <w:t>774</w:t>
      </w:r>
      <w:r>
        <w:rPr>
          <w:rFonts w:ascii="方正仿宋_GBK" w:hAnsi="方正仿宋_GBK" w:eastAsia="方正仿宋_GBK" w:cs="方正仿宋_GBK"/>
          <w:spacing w:val="-6"/>
          <w:sz w:val="32"/>
          <w:szCs w:val="32"/>
          <w:lang w:bidi="ar"/>
        </w:rPr>
        <w:t>个，</w:t>
      </w:r>
      <w:r>
        <w:rPr>
          <w:rFonts w:ascii="方正仿宋_GBK" w:hAnsi="方正仿宋_GBK" w:eastAsia="方正仿宋_GBK" w:cs="方正仿宋_GBK"/>
          <w:bCs/>
          <w:color w:val="000000"/>
          <w:spacing w:val="-4"/>
          <w:sz w:val="32"/>
          <w:szCs w:val="32"/>
          <w:lang w:bidi="ar"/>
        </w:rPr>
        <w:t>完成数字预案配置</w:t>
      </w:r>
      <w:r>
        <w:rPr>
          <w:rFonts w:ascii="Times New Roman" w:hAnsi="Times New Roman" w:eastAsia="方正仿宋_GBK" w:cs="Times New Roman"/>
          <w:bCs/>
          <w:color w:val="000000"/>
          <w:spacing w:val="-4"/>
          <w:sz w:val="32"/>
          <w:szCs w:val="32"/>
          <w:lang w:bidi="ar"/>
        </w:rPr>
        <w:t>4</w:t>
      </w:r>
      <w:r>
        <w:rPr>
          <w:rFonts w:ascii="方正仿宋_GBK" w:hAnsi="方正仿宋_GBK" w:eastAsia="方正仿宋_GBK" w:cs="方正仿宋_GBK"/>
          <w:bCs/>
          <w:color w:val="000000"/>
          <w:spacing w:val="-4"/>
          <w:sz w:val="32"/>
          <w:szCs w:val="32"/>
          <w:lang w:bidi="ar"/>
        </w:rPr>
        <w:t>个，为战时指挥决策提供数字支撑。全面梳理重点任务，</w:t>
      </w:r>
      <w:r>
        <w:rPr>
          <w:rFonts w:ascii="方正仿宋_GBK" w:hAnsi="方正仿宋_GBK" w:eastAsia="方正仿宋_GBK" w:cs="方正仿宋_GBK"/>
          <w:spacing w:val="-6"/>
          <w:sz w:val="32"/>
          <w:szCs w:val="32"/>
          <w:lang w:bidi="ar"/>
        </w:rPr>
        <w:t>细化量化</w:t>
      </w:r>
      <w:r>
        <w:rPr>
          <w:rFonts w:ascii="Times New Roman" w:hAnsi="Times New Roman" w:eastAsia="方正仿宋_GBK" w:cs="Times New Roman"/>
          <w:spacing w:val="-6"/>
          <w:sz w:val="32"/>
          <w:szCs w:val="32"/>
          <w:lang w:bidi="ar"/>
        </w:rPr>
        <w:t>55</w:t>
      </w:r>
      <w:r>
        <w:rPr>
          <w:rFonts w:ascii="方正仿宋_GBK" w:hAnsi="方正仿宋_GBK" w:eastAsia="方正仿宋_GBK" w:cs="方正仿宋_GBK"/>
          <w:spacing w:val="-6"/>
          <w:sz w:val="32"/>
          <w:szCs w:val="32"/>
          <w:lang w:bidi="ar"/>
        </w:rPr>
        <w:t>项</w:t>
      </w:r>
      <w:r>
        <w:rPr>
          <w:rFonts w:ascii="Times New Roman" w:hAnsi="Times New Roman" w:eastAsia="方正仿宋_GBK" w:cs="Times New Roman"/>
          <w:spacing w:val="-6"/>
          <w:sz w:val="32"/>
          <w:szCs w:val="32"/>
          <w:lang w:bidi="ar"/>
        </w:rPr>
        <w:t>KPI</w:t>
      </w:r>
      <w:r>
        <w:rPr>
          <w:rFonts w:ascii="方正仿宋_GBK" w:hAnsi="方正仿宋_GBK" w:eastAsia="方正仿宋_GBK" w:cs="方正仿宋_GBK"/>
          <w:spacing w:val="-6"/>
          <w:sz w:val="32"/>
          <w:szCs w:val="32"/>
          <w:lang w:bidi="ar"/>
        </w:rPr>
        <w:t>指标</w:t>
      </w:r>
      <w:r>
        <w:rPr>
          <w:rFonts w:hint="eastAsia" w:ascii="方正仿宋_GBK" w:hAnsi="方正仿宋_GBK" w:eastAsia="方正仿宋_GBK" w:cs="方正仿宋_GBK"/>
          <w:spacing w:val="-6"/>
          <w:sz w:val="32"/>
          <w:szCs w:val="32"/>
          <w:lang w:bidi="ar"/>
        </w:rPr>
        <w:t>，</w:t>
      </w:r>
      <w:r>
        <w:rPr>
          <w:rFonts w:ascii="方正仿宋_GBK" w:hAnsi="方正仿宋_GBK" w:eastAsia="方正仿宋_GBK" w:cs="方正仿宋_GBK"/>
          <w:spacing w:val="-6"/>
          <w:sz w:val="32"/>
          <w:szCs w:val="32"/>
          <w:lang w:bidi="ar"/>
        </w:rPr>
        <w:t>累计完成网格事件和下派事件</w:t>
      </w:r>
      <w:r>
        <w:rPr>
          <w:rFonts w:ascii="Times New Roman" w:hAnsi="Times New Roman" w:eastAsia="方正仿宋_GBK" w:cs="Times New Roman"/>
          <w:spacing w:val="-6"/>
          <w:sz w:val="32"/>
          <w:szCs w:val="32"/>
          <w:lang w:bidi="ar"/>
        </w:rPr>
        <w:t>12454</w:t>
      </w:r>
      <w:r>
        <w:rPr>
          <w:rFonts w:ascii="方正仿宋_GBK" w:hAnsi="方正仿宋_GBK" w:eastAsia="方正仿宋_GBK" w:cs="方正仿宋_GBK"/>
          <w:spacing w:val="-6"/>
          <w:sz w:val="32"/>
          <w:szCs w:val="32"/>
          <w:lang w:bidi="ar"/>
        </w:rPr>
        <w:t>件次，运行网格任务和重点人员工作任务</w:t>
      </w:r>
      <w:r>
        <w:rPr>
          <w:rFonts w:ascii="Times New Roman" w:hAnsi="Times New Roman" w:eastAsia="方正仿宋_GBK" w:cs="Times New Roman"/>
          <w:spacing w:val="-6"/>
          <w:sz w:val="32"/>
          <w:szCs w:val="32"/>
          <w:lang w:bidi="ar"/>
        </w:rPr>
        <w:t>29</w:t>
      </w:r>
      <w:r>
        <w:rPr>
          <w:rFonts w:ascii="方正仿宋_GBK" w:hAnsi="方正仿宋_GBK" w:eastAsia="方正仿宋_GBK" w:cs="方正仿宋_GBK"/>
          <w:spacing w:val="-6"/>
          <w:sz w:val="32"/>
          <w:szCs w:val="32"/>
          <w:lang w:bidi="ar"/>
        </w:rPr>
        <w:t>项，实现各项工作清单管理、闭环落实。</w:t>
      </w:r>
    </w:p>
    <w:p w14:paraId="5F006B0C">
      <w:pPr>
        <w:keepNext w:val="0"/>
        <w:keepLines w:val="0"/>
        <w:pageBreakBefore w:val="0"/>
        <w:kinsoku/>
        <w:wordWrap/>
        <w:overflowPunct/>
        <w:topLinePunct w:val="0"/>
        <w:autoSpaceDE/>
        <w:autoSpaceDN/>
        <w:bidi w:val="0"/>
        <w:adjustRightInd/>
        <w:snapToGrid/>
        <w:spacing w:line="540" w:lineRule="exact"/>
        <w:ind w:firstLine="648"/>
        <w:contextualSpacing/>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社会</w:t>
      </w:r>
      <w:r>
        <w:rPr>
          <w:rFonts w:hint="eastAsia" w:ascii="Times New Roman" w:hAnsi="Times New Roman" w:eastAsia="方正仿宋_GBK" w:cs="Times New Roman"/>
          <w:b/>
          <w:bCs/>
          <w:sz w:val="32"/>
          <w:szCs w:val="32"/>
          <w:lang w:val="en-US" w:eastAsia="zh-CN"/>
        </w:rPr>
        <w:t>治理持续深化</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坚持党建统领、源头治理、预防为主，完善群防群治机制，落实重点人员和特殊群体管控，加大巡逻防控力度，强化矛盾纠纷调处，织密平安建设“防护网”。劝返境外涉诈人员1人，部推缅北涉诈人员动态清零；化解矛盾纠纷270余件，民转刑事件零发生；开展精神障碍患者滚动摸排调查，严防恶性伤人事件，群众安全感不断提升。</w:t>
      </w:r>
    </w:p>
    <w:p w14:paraId="2E17850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过去的一年，坚持将政治建设摆在首位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始终带头讲政治、抓政治，坚持不懈用习近平新时代中国特色社会主义思想凝心铸魂，引导全镇党员干部坚决拥护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两个确立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，坚决做到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两个维护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。完成区委第四轮巡察村社反馈问题整改</w:t>
      </w:r>
      <w:r>
        <w:rPr>
          <w:rFonts w:hint="eastAsia" w:ascii="Times New Roman" w:hAnsi="Times New Roman" w:eastAsia="方正仿宋_GBK" w:cs="Times New Roman"/>
          <w:sz w:val="32"/>
          <w:szCs w:val="32"/>
        </w:rPr>
        <w:t>，群众身边不正之风和腐败问题</w:t>
      </w:r>
      <w:r>
        <w:rPr>
          <w:rFonts w:ascii="Times New Roman" w:hAnsi="Times New Roman" w:eastAsia="方正仿宋_GBK" w:cs="Times New Roman"/>
          <w:sz w:val="32"/>
          <w:szCs w:val="32"/>
        </w:rPr>
        <w:t>集中整治15条问题</w:t>
      </w:r>
      <w:r>
        <w:rPr>
          <w:rFonts w:hint="eastAsia" w:ascii="Times New Roman" w:hAnsi="Times New Roman" w:eastAsia="方正仿宋_GBK" w:cs="Times New Roman"/>
          <w:sz w:val="32"/>
          <w:szCs w:val="32"/>
        </w:rPr>
        <w:t>全部</w:t>
      </w:r>
      <w:r>
        <w:rPr>
          <w:rFonts w:ascii="Times New Roman" w:hAnsi="Times New Roman" w:eastAsia="方正仿宋_GBK" w:cs="Times New Roman"/>
          <w:sz w:val="32"/>
          <w:szCs w:val="32"/>
        </w:rPr>
        <w:t>销号，推动佛镇、垭口等6个村居清廉村居建设达标。全面加强法治政府建设，坚持把法治建设与经济建设同谋划、同部署、同推进、同落实，常态化开展效能督查，深化廉政风险防控，严格重点领域和关键岗位监管督导，规范各项规章制度，从严执行政府带头过紧日子要求，进一步压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三公</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经费和一般性支出，加强政府项目资金监管，着力从源头上预防腐败。2024年度实施重大民生实事项目共计8项，</w:t>
      </w:r>
      <w:r>
        <w:rPr>
          <w:rFonts w:hint="eastAsia" w:ascii="Times New Roman" w:hAnsi="Times New Roman" w:eastAsia="方正仿宋_GBK" w:cs="Times New Roman"/>
          <w:sz w:val="32"/>
          <w:szCs w:val="32"/>
        </w:rPr>
        <w:t>涉及</w:t>
      </w:r>
      <w:r>
        <w:rPr>
          <w:rFonts w:ascii="Times New Roman" w:hAnsi="Times New Roman" w:eastAsia="方正仿宋_GBK" w:cs="Times New Roman"/>
          <w:sz w:val="32"/>
          <w:szCs w:val="32"/>
        </w:rPr>
        <w:t>农村危房改造、电力改造、河道清漂、公厕改造、水污染治理、乡村振兴生产道路硬化、改造升级农村道路、农村妇女“两癌”筛查均已全部完成</w:t>
      </w:r>
      <w:r>
        <w:rPr>
          <w:rFonts w:hint="eastAsia" w:ascii="Times New Roman" w:hAnsi="Times New Roman" w:eastAsia="方正仿宋_GBK" w:cs="Times New Roman"/>
          <w:sz w:val="32"/>
          <w:szCs w:val="32"/>
        </w:rPr>
        <w:t>。</w:t>
      </w:r>
    </w:p>
    <w:p w14:paraId="5758077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过去的一年，武装、意识形态、统战、统计、档案、保密等工作取得新成效，工会、妇女、儿童、青年、老龄、慈善、残疾人等事业实现新发展。各村居坚定信心、守正创新，埋头苦干、勇毅前行，为促进全镇经济社会发展注入了强劲动力。</w:t>
      </w:r>
    </w:p>
    <w:p w14:paraId="6722F52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各位代表，岁月不居，天道酬勤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过去的一年，我们已经踏上了</w:t>
      </w:r>
      <w:r>
        <w:rPr>
          <w:rFonts w:hint="eastAsia" w:ascii="Times New Roman" w:hAnsi="Times New Roman" w:eastAsia="方正仿宋_GBK" w:cs="Times New Roman"/>
          <w:sz w:val="32"/>
          <w:szCs w:val="32"/>
        </w:rPr>
        <w:t>田家镇</w:t>
      </w:r>
      <w:r>
        <w:rPr>
          <w:rFonts w:ascii="Times New Roman" w:hAnsi="Times New Roman" w:eastAsia="方正仿宋_GBK" w:cs="Times New Roman"/>
          <w:sz w:val="32"/>
          <w:szCs w:val="32"/>
        </w:rPr>
        <w:t>高质量发展的新征程，这些成绩的取得，是习近平新时代中国特色社会主义思想科学指引的结果，是认真贯彻落实中央、</w:t>
      </w:r>
      <w:r>
        <w:rPr>
          <w:rFonts w:hint="eastAsia" w:ascii="Times New Roman" w:hAnsi="Times New Roman" w:eastAsia="方正仿宋_GBK" w:cs="Times New Roman"/>
          <w:sz w:val="32"/>
          <w:szCs w:val="32"/>
        </w:rPr>
        <w:t>市委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委决策部署的结果，是镇党委坚强领导的结果，是镇人大鼎力支持的结果，是全镇干部群众团结一心、克难攻坚的结果，是社会各界共同参与的结果。在此，我代表镇人民政府，向所有关心、支持、帮助</w:t>
      </w:r>
      <w:r>
        <w:rPr>
          <w:rFonts w:hint="eastAsia" w:ascii="Times New Roman" w:hAnsi="Times New Roman" w:eastAsia="方正仿宋_GBK" w:cs="Times New Roman"/>
          <w:sz w:val="32"/>
          <w:szCs w:val="32"/>
        </w:rPr>
        <w:t>田家</w:t>
      </w:r>
      <w:r>
        <w:rPr>
          <w:rFonts w:ascii="Times New Roman" w:hAnsi="Times New Roman" w:eastAsia="方正仿宋_GBK" w:cs="Times New Roman"/>
          <w:sz w:val="32"/>
          <w:szCs w:val="32"/>
        </w:rPr>
        <w:t>发展的各界人士，表示衷心的感谢并致以崇高的敬意！</w:t>
      </w:r>
    </w:p>
    <w:p w14:paraId="43230D3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思危方能居安，知忧才能克难。在肯定成绩的同时，我们也清醒地看到，全镇经济社会发展还存在不少困难和短板</w:t>
      </w:r>
      <w:r>
        <w:rPr>
          <w:rFonts w:hint="eastAsia" w:ascii="Times New Roman" w:hAnsi="Times New Roman" w:eastAsia="方正仿宋_GBK" w:cs="Times New Roman"/>
          <w:sz w:val="32"/>
          <w:szCs w:val="32"/>
        </w:rPr>
        <w:t>：</w:t>
      </w:r>
    </w:p>
    <w:p w14:paraId="32BDE399">
      <w:pPr>
        <w:keepNext w:val="0"/>
        <w:keepLines w:val="0"/>
        <w:pageBreakBefore w:val="0"/>
        <w:kinsoku/>
        <w:wordWrap/>
        <w:overflowPunct/>
        <w:topLinePunct w:val="0"/>
        <w:autoSpaceDE/>
        <w:autoSpaceDN/>
        <w:bidi w:val="0"/>
        <w:adjustRightInd/>
        <w:snapToGrid/>
        <w:spacing w:line="540" w:lineRule="exact"/>
        <w:textAlignment w:val="auto"/>
        <w:rPr>
          <w:rFonts w:cs="Times New Roman"/>
          <w:sz w:val="32"/>
          <w:szCs w:val="32"/>
        </w:rPr>
      </w:pPr>
      <w:r>
        <w:rPr>
          <w:rFonts w:hint="eastAsia" w:ascii="Times New Roman" w:hAnsi="Times New Roman" w:eastAsia="方正仿宋_GBK" w:cs="Times New Roman"/>
          <w:b/>
          <w:bCs/>
          <w:sz w:val="32"/>
          <w:szCs w:val="32"/>
        </w:rPr>
        <w:t>一是发展思路与举措创新不够充分。</w:t>
      </w:r>
      <w:r>
        <w:rPr>
          <w:rFonts w:hint="eastAsia" w:ascii="Times New Roman" w:hAnsi="Times New Roman" w:eastAsia="方正仿宋_GBK" w:cs="Times New Roman"/>
          <w:sz w:val="32"/>
          <w:szCs w:val="32"/>
        </w:rPr>
        <w:t>如何推进发展新质生产力，以园聚链、引链、强链方面思路还不够宽、决心还不够大、举措还不够多。</w:t>
      </w:r>
      <w:r>
        <w:rPr>
          <w:rFonts w:hint="eastAsia" w:ascii="Times New Roman" w:hAnsi="Times New Roman" w:eastAsia="方正仿宋_GBK" w:cs="Times New Roman"/>
          <w:b/>
          <w:bCs/>
          <w:sz w:val="32"/>
          <w:szCs w:val="32"/>
        </w:rPr>
        <w:t>二是</w:t>
      </w:r>
      <w:r>
        <w:rPr>
          <w:rFonts w:ascii="Times New Roman" w:hAnsi="Times New Roman" w:eastAsia="方正仿宋_GBK" w:cs="Times New Roman"/>
          <w:b/>
          <w:bCs/>
          <w:sz w:val="32"/>
          <w:szCs w:val="32"/>
        </w:rPr>
        <w:t>乡村振兴发展存在短板。</w:t>
      </w:r>
      <w:r>
        <w:rPr>
          <w:rFonts w:ascii="Times New Roman" w:hAnsi="Times New Roman" w:eastAsia="方正仿宋_GBK" w:cs="Times New Roman"/>
          <w:sz w:val="32"/>
          <w:szCs w:val="32"/>
        </w:rPr>
        <w:t>我镇乡村振兴处于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追赶期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，村集体经济总量还不够大，</w:t>
      </w:r>
      <w:r>
        <w:rPr>
          <w:rFonts w:hint="eastAsia" w:ascii="Times New Roman" w:hAnsi="Times New Roman" w:eastAsia="方正仿宋_GBK" w:cs="Times New Roman"/>
          <w:sz w:val="32"/>
          <w:szCs w:val="32"/>
        </w:rPr>
        <w:t>现有产业发展规模小、质量不高</w:t>
      </w:r>
      <w:r>
        <w:rPr>
          <w:rFonts w:ascii="Times New Roman" w:hAnsi="Times New Roman" w:eastAsia="方正仿宋_GBK" w:cs="Times New Roman"/>
          <w:sz w:val="32"/>
          <w:szCs w:val="32"/>
        </w:rPr>
        <w:t>，制约了村集体经济的发展空间。</w:t>
      </w:r>
      <w:r>
        <w:rPr>
          <w:rFonts w:ascii="Times New Roman" w:hAnsi="Times New Roman" w:eastAsia="方正仿宋_GBK" w:cs="Times New Roman"/>
          <w:b/>
          <w:bCs/>
          <w:sz w:val="32"/>
          <w:szCs w:val="32"/>
        </w:rPr>
        <w:t>三是新形势下基层治理能力有待加强。</w:t>
      </w:r>
      <w:r>
        <w:rPr>
          <w:rFonts w:ascii="Times New Roman" w:hAnsi="Times New Roman" w:eastAsia="方正仿宋_GBK" w:cs="Times New Roman"/>
          <w:sz w:val="32"/>
          <w:szCs w:val="32"/>
        </w:rPr>
        <w:t>部分镇村干部缺乏发展意识和敢于斗争、善于斗争意识，各项工作推进慢、干部主观能动性不强的局面还未得到</w:t>
      </w:r>
      <w:r>
        <w:rPr>
          <w:rFonts w:hint="eastAsia" w:ascii="Times New Roman" w:hAnsi="Times New Roman" w:eastAsia="方正仿宋_GBK" w:cs="Times New Roman"/>
          <w:sz w:val="32"/>
          <w:szCs w:val="32"/>
        </w:rPr>
        <w:t>彻底</w:t>
      </w:r>
      <w:r>
        <w:rPr>
          <w:rFonts w:ascii="Times New Roman" w:hAnsi="Times New Roman" w:eastAsia="方正仿宋_GBK" w:cs="Times New Roman"/>
          <w:sz w:val="32"/>
          <w:szCs w:val="32"/>
        </w:rPr>
        <w:t>扭转。</w:t>
      </w:r>
    </w:p>
    <w:p w14:paraId="39D13368">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黑体_GBK" w:cs="Times New Roman"/>
          <w:sz w:val="32"/>
          <w:szCs w:val="32"/>
        </w:rPr>
      </w:pPr>
      <w:bookmarkStart w:id="10" w:name="_GoBack"/>
      <w:r>
        <w:rPr>
          <w:rFonts w:hint="eastAsia"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5</w:t>
      </w:r>
      <w:r>
        <w:rPr>
          <w:rFonts w:ascii="Times New Roman" w:hAnsi="Times New Roman" w:eastAsia="方正黑体_GBK" w:cs="Times New Roman"/>
          <w:sz w:val="32"/>
          <w:szCs w:val="32"/>
        </w:rPr>
        <w:t>年工作安排</w:t>
      </w:r>
    </w:p>
    <w:bookmarkEnd w:id="10"/>
    <w:p w14:paraId="29ADF9EB">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今年是收官“十四五”、谋划“十五五”之年，是潼南现代化建设纵深推进、加速赶超的关键之年，更是田家镇系统谋划打造全区工业发展“主战场”，全力推进化工园区搬迁的攻坚之年，做好今年的政府工作，更是任务艰巨、责任重大。</w:t>
      </w:r>
    </w:p>
    <w:p w14:paraId="0E39C5E8">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cs="方正仿宋_GBK"/>
          <w:b/>
          <w:bCs/>
          <w:color w:val="auto"/>
          <w:sz w:val="32"/>
          <w:szCs w:val="32"/>
        </w:rPr>
      </w:pPr>
      <w:r>
        <w:rPr>
          <w:rFonts w:hint="eastAsia" w:ascii="Times New Roman" w:hAnsi="Times New Roman" w:eastAsia="方正仿宋_GBK" w:cs="方正仿宋_GBK"/>
          <w:sz w:val="32"/>
          <w:szCs w:val="32"/>
        </w:rPr>
        <w:t>今年政府工作的指导思想是：坚持以习近平新时代中国特色社会主义思想为指导，全面贯彻党的二十大和二十届二中、三中全会精神，认真学习贯彻习近平总书记视察重庆重要讲话重要指示精神和中央经济工作会议精神，深入落实市委六届五次、六次全会和市委经济工作会议部署，</w:t>
      </w:r>
      <w:r>
        <w:rPr>
          <w:rFonts w:ascii="Times New Roman" w:hAnsi="Times New Roman" w:eastAsia="方正仿宋_GBK" w:cs="Times New Roman"/>
          <w:sz w:val="32"/>
          <w:szCs w:val="32"/>
        </w:rPr>
        <w:t>按照区委十四届</w:t>
      </w:r>
      <w:r>
        <w:rPr>
          <w:rFonts w:hint="eastAsia" w:ascii="Times New Roman" w:hAnsi="Times New Roman" w:eastAsia="方正仿宋_GBK" w:cs="Times New Roman"/>
          <w:sz w:val="32"/>
          <w:szCs w:val="32"/>
        </w:rPr>
        <w:t>八次、九</w:t>
      </w:r>
      <w:r>
        <w:rPr>
          <w:rFonts w:ascii="Times New Roman" w:hAnsi="Times New Roman" w:eastAsia="方正仿宋_GBK" w:cs="Times New Roman"/>
          <w:sz w:val="32"/>
          <w:szCs w:val="32"/>
        </w:rPr>
        <w:t>次全会和区委经济工作会议安排</w:t>
      </w:r>
      <w:r>
        <w:rPr>
          <w:rFonts w:hint="eastAsia" w:ascii="Times New Roman" w:hAnsi="Times New Roman" w:eastAsia="方正仿宋_GBK" w:cs="方正仿宋_GBK"/>
          <w:sz w:val="32"/>
          <w:szCs w:val="32"/>
        </w:rPr>
        <w:t>，</w:t>
      </w:r>
      <w:bookmarkStart w:id="5" w:name="_Hlk189492452"/>
      <w:r>
        <w:rPr>
          <w:rFonts w:hint="eastAsia" w:ascii="Times New Roman" w:hAnsi="Times New Roman" w:eastAsia="方正仿宋_GBK" w:cs="方正仿宋_GBK"/>
          <w:sz w:val="32"/>
          <w:szCs w:val="32"/>
        </w:rPr>
        <w:t>坚持“稳进增效、改革创新、除险固安、强企富民”工作导向</w:t>
      </w:r>
      <w:bookmarkEnd w:id="5"/>
      <w:r>
        <w:rPr>
          <w:rFonts w:hint="eastAsia" w:ascii="Times New Roman" w:hAnsi="Times New Roman" w:eastAsia="方正仿宋_GBK" w:cs="方正仿宋_GBK"/>
          <w:sz w:val="32"/>
          <w:szCs w:val="32"/>
        </w:rPr>
        <w:t>，紧扣潼南现代化建设“1132”体系架构，坚持“产业园区配套型”镇域发展模式，系统谋划打造全区工业发展“主战场”工作定位，</w:t>
      </w:r>
      <w:r>
        <w:rPr>
          <w:rFonts w:hint="eastAsia" w:ascii="Times New Roman" w:hAnsi="Times New Roman" w:eastAsia="方正仿宋_GBK" w:cs="Times New Roman"/>
          <w:sz w:val="32"/>
          <w:szCs w:val="32"/>
        </w:rPr>
        <w:t>统筹推进高质量发展、高品质生活、高效能治理，全面融入涪江奔腾制造强区首位战略，全面推进乡村振兴促城乡融合，全面加强社会治理促和谐稳定，</w:t>
      </w:r>
      <w:r>
        <w:rPr>
          <w:rFonts w:hint="eastAsia" w:ascii="Times New Roman" w:hAnsi="Times New Roman" w:eastAsia="方正仿宋_GBK" w:cs="方正仿宋_GBK"/>
          <w:sz w:val="32"/>
          <w:szCs w:val="32"/>
        </w:rPr>
        <w:t>着力建设工农并进的和美田家、平安田家，以一域服务全局，在奋力谱写中国式现代化重庆篇章潼南新使命新担当的宏大场景中</w:t>
      </w:r>
      <w:r>
        <w:rPr>
          <w:rFonts w:ascii="仿宋_GB2312" w:hAnsi="宋体" w:eastAsia="仿宋_GB2312" w:cs="仿宋_GB2312"/>
          <w:kern w:val="0"/>
          <w:sz w:val="32"/>
          <w:szCs w:val="32"/>
          <w:lang w:bidi="ar"/>
        </w:rPr>
        <w:t>迈出</w:t>
      </w:r>
      <w:r>
        <w:rPr>
          <w:rFonts w:hint="eastAsia" w:ascii="仿宋_GB2312" w:hAnsi="宋体" w:eastAsia="仿宋_GB2312" w:cs="仿宋_GB2312"/>
          <w:kern w:val="0"/>
          <w:sz w:val="32"/>
          <w:szCs w:val="32"/>
          <w:lang w:bidi="ar"/>
        </w:rPr>
        <w:t>田家</w:t>
      </w:r>
      <w:r>
        <w:rPr>
          <w:rFonts w:ascii="仿宋_GB2312" w:hAnsi="宋体" w:eastAsia="仿宋_GB2312" w:cs="仿宋_GB2312"/>
          <w:kern w:val="0"/>
          <w:sz w:val="32"/>
          <w:szCs w:val="32"/>
          <w:lang w:bidi="ar"/>
        </w:rPr>
        <w:t>新步伐、跑出</w:t>
      </w:r>
      <w:r>
        <w:rPr>
          <w:rFonts w:hint="eastAsia" w:ascii="仿宋_GB2312" w:hAnsi="宋体" w:eastAsia="仿宋_GB2312" w:cs="仿宋_GB2312"/>
          <w:kern w:val="0"/>
          <w:sz w:val="32"/>
          <w:szCs w:val="32"/>
          <w:lang w:bidi="ar"/>
        </w:rPr>
        <w:t>田家</w:t>
      </w:r>
      <w:r>
        <w:rPr>
          <w:rFonts w:ascii="仿宋_GB2312" w:hAnsi="宋体" w:eastAsia="仿宋_GB2312" w:cs="仿宋_GB2312"/>
          <w:kern w:val="0"/>
          <w:sz w:val="32"/>
          <w:szCs w:val="32"/>
          <w:lang w:bidi="ar"/>
        </w:rPr>
        <w:t>加速度。</w:t>
      </w:r>
      <w:r>
        <w:rPr>
          <w:rFonts w:hint="eastAsia" w:ascii="仿宋_GB2312" w:hAnsi="宋体" w:eastAsia="仿宋_GB2312" w:cs="仿宋_GB2312"/>
          <w:b/>
          <w:bCs/>
          <w:color w:val="auto"/>
          <w:kern w:val="0"/>
          <w:sz w:val="32"/>
          <w:szCs w:val="32"/>
          <w:lang w:bidi="ar"/>
        </w:rPr>
        <w:t>力争今年</w:t>
      </w:r>
      <w:r>
        <w:rPr>
          <w:rFonts w:hint="eastAsia" w:ascii="Times New Roman" w:hAnsi="Times New Roman" w:eastAsia="方正仿宋_GBK" w:cs="方正仿宋_GBK"/>
          <w:b/>
          <w:bCs/>
          <w:color w:val="auto"/>
          <w:sz w:val="32"/>
          <w:szCs w:val="32"/>
        </w:rPr>
        <w:t>财税收入增长</w:t>
      </w:r>
      <w:r>
        <w:rPr>
          <w:rFonts w:hint="eastAsia" w:ascii="Times New Roman" w:hAnsi="Times New Roman" w:eastAsia="方正仿宋_GBK" w:cs="Times New Roman"/>
          <w:b/>
          <w:bCs/>
          <w:color w:val="auto"/>
          <w:sz w:val="32"/>
          <w:szCs w:val="32"/>
        </w:rPr>
        <w:t>10%以上</w:t>
      </w:r>
      <w:r>
        <w:rPr>
          <w:rFonts w:hint="eastAsia" w:ascii="Times New Roman" w:hAnsi="Times New Roman" w:eastAsia="方正仿宋_GBK" w:cs="方正仿宋_GBK"/>
          <w:b/>
          <w:bCs/>
          <w:color w:val="auto"/>
          <w:sz w:val="32"/>
          <w:szCs w:val="32"/>
        </w:rPr>
        <w:t>，全体居民人均可支配收入增长</w:t>
      </w:r>
      <w:r>
        <w:rPr>
          <w:rFonts w:hint="eastAsia" w:ascii="Times New Roman" w:hAnsi="Times New Roman" w:eastAsia="方正仿宋_GBK" w:cs="Times New Roman"/>
          <w:b/>
          <w:bCs/>
          <w:color w:val="auto"/>
          <w:sz w:val="32"/>
          <w:szCs w:val="32"/>
          <w:lang w:val="en-US" w:eastAsia="zh-CN"/>
        </w:rPr>
        <w:t>5.5</w:t>
      </w:r>
      <w:r>
        <w:rPr>
          <w:rFonts w:hint="eastAsia" w:ascii="Times New Roman" w:hAnsi="Times New Roman" w:eastAsia="方正仿宋_GBK" w:cs="Times New Roman"/>
          <w:b/>
          <w:bCs/>
          <w:color w:val="auto"/>
          <w:sz w:val="32"/>
          <w:szCs w:val="32"/>
        </w:rPr>
        <w:t>%</w:t>
      </w:r>
      <w:r>
        <w:rPr>
          <w:rFonts w:hint="eastAsia" w:ascii="Times New Roman" w:hAnsi="Times New Roman" w:eastAsia="方正仿宋_GBK" w:cs="Times New Roman"/>
          <w:b/>
          <w:bCs/>
          <w:color w:val="auto"/>
          <w:sz w:val="32"/>
          <w:szCs w:val="32"/>
          <w:lang w:val="en-US" w:eastAsia="zh-CN"/>
        </w:rPr>
        <w:t>以</w:t>
      </w:r>
      <w:r>
        <w:rPr>
          <w:rFonts w:hint="eastAsia" w:ascii="Times New Roman" w:hAnsi="Times New Roman" w:eastAsia="方正仿宋_GBK" w:cs="Times New Roman"/>
          <w:b/>
          <w:bCs/>
          <w:color w:val="auto"/>
          <w:sz w:val="32"/>
          <w:szCs w:val="32"/>
        </w:rPr>
        <w:t>上</w:t>
      </w:r>
      <w:r>
        <w:rPr>
          <w:rFonts w:hint="eastAsia" w:ascii="Times New Roman" w:hAnsi="Times New Roman" w:eastAsia="方正仿宋_GBK" w:cs="方正仿宋_GBK"/>
          <w:b/>
          <w:bCs/>
          <w:color w:val="auto"/>
          <w:sz w:val="32"/>
          <w:szCs w:val="32"/>
        </w:rPr>
        <w:t>。</w:t>
      </w:r>
    </w:p>
    <w:p w14:paraId="596A0DA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rPr>
        <w:t>我们将重点做好以下五个方面工作：</w:t>
      </w:r>
    </w:p>
    <w:p w14:paraId="5499A3B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（一）聚集项目活力，辐射带动强引擎，增强经济发展后劲</w:t>
      </w:r>
    </w:p>
    <w:p w14:paraId="252B8A17">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继续承接“一号工程”。</w:t>
      </w:r>
      <w:r>
        <w:rPr>
          <w:rFonts w:hint="eastAsia" w:ascii="Times New Roman" w:hAnsi="Times New Roman" w:eastAsia="方正仿宋_GBK" w:cs="方正仿宋_GBK"/>
          <w:sz w:val="32"/>
          <w:szCs w:val="32"/>
        </w:rPr>
        <w:t>潼南区推动成渝双城经济圈建设20</w:t>
      </w:r>
      <w:r>
        <w:rPr>
          <w:rFonts w:ascii="Times New Roman" w:hAnsi="Times New Roman" w:eastAsia="方正仿宋_GBK" w:cs="方正仿宋_GBK"/>
          <w:sz w:val="32"/>
          <w:szCs w:val="32"/>
        </w:rPr>
        <w:t>件</w:t>
      </w:r>
      <w:r>
        <w:rPr>
          <w:rFonts w:hint="eastAsia" w:ascii="Times New Roman" w:hAnsi="Times New Roman" w:eastAsia="方正仿宋_GBK" w:cs="方正仿宋_GBK"/>
          <w:sz w:val="32"/>
          <w:szCs w:val="32"/>
        </w:rPr>
        <w:t>标志性事项清单持续推进，我们重点要限时啃下化工企业环保搬迁用地和渝遂高速扩能征拆两块硬骨头，同时要为渝西水资源配置、华电燃机一期工程、化工新材料产业集群迭代升级等重大项目提供好土地、人力资源、配套服务等要素供给，真正让重大项目、重大平台在田家落得下、可支撑，以实干实绩多维度全方位服从服务于全市“一号工程”。</w:t>
      </w:r>
    </w:p>
    <w:p w14:paraId="125D549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val="en-US" w:eastAsia="zh-CN"/>
        </w:rPr>
        <w:t>积极</w:t>
      </w:r>
      <w:r>
        <w:rPr>
          <w:rFonts w:hint="eastAsia" w:ascii="Times New Roman" w:hAnsi="Times New Roman" w:eastAsia="方正仿宋_GBK" w:cs="方正仿宋_GBK"/>
          <w:b/>
          <w:bCs/>
          <w:sz w:val="32"/>
          <w:szCs w:val="32"/>
        </w:rPr>
        <w:t>融入</w:t>
      </w:r>
      <w:bookmarkStart w:id="6" w:name="_Hlk160605587"/>
      <w:r>
        <w:rPr>
          <w:rFonts w:hint="eastAsia" w:ascii="Times New Roman" w:hAnsi="Times New Roman" w:eastAsia="方正仿宋_GBK" w:cs="方正仿宋_GBK"/>
          <w:b/>
          <w:bCs/>
          <w:sz w:val="32"/>
          <w:szCs w:val="32"/>
        </w:rPr>
        <w:t>“涪江奔腾”</w:t>
      </w:r>
      <w:bookmarkEnd w:id="6"/>
      <w:r>
        <w:rPr>
          <w:rFonts w:hint="eastAsia" w:ascii="Times New Roman" w:hAnsi="Times New Roman" w:eastAsia="方正仿宋_GBK" w:cs="方正仿宋_GBK"/>
          <w:b/>
          <w:bCs/>
          <w:sz w:val="32"/>
          <w:szCs w:val="32"/>
        </w:rPr>
        <w:t>。</w:t>
      </w:r>
      <w:r>
        <w:rPr>
          <w:rFonts w:hint="eastAsia" w:ascii="Times New Roman" w:hAnsi="Times New Roman" w:eastAsia="方正仿宋_GBK" w:cs="方正仿宋_GBK"/>
          <w:sz w:val="32"/>
          <w:szCs w:val="32"/>
        </w:rPr>
        <w:t>今年是实施</w:t>
      </w:r>
      <w:bookmarkStart w:id="7" w:name="_Hlk160607081"/>
      <w:r>
        <w:rPr>
          <w:rFonts w:hint="eastAsia" w:ascii="Times New Roman" w:hAnsi="Times New Roman" w:eastAsia="方正仿宋_GBK" w:cs="方正仿宋_GBK"/>
          <w:sz w:val="32"/>
          <w:szCs w:val="32"/>
        </w:rPr>
        <w:t>“涪江奔腾”建设“制造强区”</w:t>
      </w:r>
      <w:bookmarkEnd w:id="7"/>
      <w:r>
        <w:rPr>
          <w:rFonts w:hint="eastAsia" w:ascii="Times New Roman" w:hAnsi="Times New Roman" w:eastAsia="方正仿宋_GBK" w:cs="方正仿宋_GBK"/>
          <w:sz w:val="32"/>
          <w:szCs w:val="32"/>
        </w:rPr>
        <w:t>首位战略的第二年，也是全力建设化工新区的攻坚之年。全镇除继续肩负高新区东区征地拆迁工作任务外，将大规模推进化工园区搬迁征地拆迁工作。全镇上下要</w:t>
      </w:r>
      <w:bookmarkStart w:id="8" w:name="_Hlk127908171"/>
      <w:r>
        <w:rPr>
          <w:rFonts w:hint="eastAsia" w:ascii="Times New Roman" w:hAnsi="Times New Roman" w:eastAsia="方正仿宋_GBK" w:cs="方正仿宋_GBK"/>
          <w:sz w:val="32"/>
          <w:szCs w:val="32"/>
        </w:rPr>
        <w:t>树立“发展一盘棋”思维，营造全力推进征地拆迁的浓厚氛围。</w:t>
      </w:r>
      <w:bookmarkEnd w:id="8"/>
      <w:r>
        <w:rPr>
          <w:rFonts w:hint="eastAsia" w:ascii="Times New Roman" w:hAnsi="Times New Roman" w:eastAsia="方正仿宋_GBK" w:cs="方正仿宋_GBK"/>
          <w:sz w:val="32"/>
          <w:szCs w:val="32"/>
        </w:rPr>
        <w:t>要积极妥善处置不和谐因素，对苗头性事项，做到早预防、早发现、早处理，做到文明拆迁、依法拆迁、和谐拆迁，努力确保圆满完成区委、区政府交给我们的征拆任务，杜绝因征地拆迁而影响项目建设的进度事情发生，为“涪江奔腾”实施和“制造强区”建设展现田家担当。</w:t>
      </w:r>
    </w:p>
    <w:p w14:paraId="2182321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cs="Times New Roman"/>
          <w:sz w:val="32"/>
          <w:szCs w:val="32"/>
        </w:rPr>
      </w:pPr>
      <w:r>
        <w:rPr>
          <w:rFonts w:hint="eastAsia" w:ascii="Times New Roman" w:hAnsi="Times New Roman" w:eastAsia="方正仿宋_GBK" w:cs="方正仿宋_GBK"/>
          <w:b/>
          <w:bCs/>
          <w:sz w:val="32"/>
          <w:szCs w:val="32"/>
        </w:rPr>
        <w:t>大力提升配套服务。</w:t>
      </w:r>
      <w:r>
        <w:rPr>
          <w:rFonts w:hint="eastAsia" w:ascii="Times New Roman" w:hAnsi="Times New Roman" w:eastAsia="方正仿宋_GBK" w:cs="方正仿宋_GBK"/>
          <w:sz w:val="32"/>
          <w:szCs w:val="32"/>
        </w:rPr>
        <w:t>加大对上争取力度，进一步完善场镇基础设施、丰富市场业态。</w:t>
      </w:r>
      <w:r>
        <w:rPr>
          <w:rFonts w:hint="eastAsia" w:ascii="方正仿宋_GBK" w:hAnsi="方正仿宋_GBK" w:eastAsia="方正仿宋_GBK" w:cs="方正仿宋_GBK"/>
          <w:sz w:val="32"/>
          <w:szCs w:val="32"/>
        </w:rPr>
        <w:t>深挖农业、文旅资源，拓展日用品供应、公共食堂、定制化农业等业态，全力做好</w:t>
      </w:r>
      <w:r>
        <w:rPr>
          <w:rFonts w:hint="eastAsia" w:ascii="Times New Roman" w:hAnsi="Times New Roman" w:eastAsia="方正仿宋_GBK" w:cs="方正仿宋_GBK"/>
          <w:sz w:val="32"/>
          <w:szCs w:val="32"/>
        </w:rPr>
        <w:t>园区配套服务。提升田家人物业、罗汉村集体经济和东建美食街等主体的服务能力和水平</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推进“涪江春雨”计划，全力做好“三服务”工作，动态解决园区企业发展过程中涉及的劳动保障、人员招聘、劳资纠纷、环保安全等实际困难，营造良好法治营商环境。</w:t>
      </w:r>
    </w:p>
    <w:p w14:paraId="1AC7858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（二）聚力巩固提升，千方百计抓增收，全面推进乡村振兴</w:t>
      </w:r>
    </w:p>
    <w:p w14:paraId="735A4D3A">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方正仿宋_GBK"/>
          <w:b/>
          <w:bCs/>
          <w:color w:val="auto"/>
          <w:sz w:val="32"/>
          <w:szCs w:val="32"/>
          <w:lang w:val="en-US" w:eastAsia="zh-CN" w:bidi="ar-SA"/>
        </w:rPr>
        <w:t>夯实产业发展基础。</w:t>
      </w:r>
      <w:r>
        <w:rPr>
          <w:rFonts w:hint="eastAsia" w:ascii="Times New Roman" w:hAnsi="Times New Roman" w:eastAsia="方正仿宋_GBK" w:cs="方正仿宋_GBK"/>
          <w:color w:val="auto"/>
          <w:sz w:val="32"/>
          <w:szCs w:val="32"/>
          <w:lang w:val="en-US" w:eastAsia="zh-CN" w:bidi="ar-SA"/>
        </w:rPr>
        <w:t>持续加大耕地保护和耕地利用力度，严格管控耕地用途管制，扎实做好耕地恢复补足工作，加强耕地“非农化”“非粮化”处置，牢牢守住耕地保护红线，确保全镇粮油和蔬菜播种面积保有量，全面完成粮食蔬菜生产任务。深入挖掘和展现田家特色美食，推广“一镇一宴”全羊宴，助力“郊游潼南”新地标。聚焦“一镇一院”建设，迭代升级浩然居，打造一个集餐饮、休闲、娱乐于一体的综合性乡村旅游目的地。盘活闲置资产，推行共享经济，推进农村三变改革，通过租赁厂房、土地等方式，努力壮大村集体经济，2025年村集体经济收入平均达到65万元以上。</w:t>
      </w:r>
    </w:p>
    <w:p w14:paraId="6A51AB5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巩固脱贫攻坚成果。</w:t>
      </w:r>
      <w:r>
        <w:rPr>
          <w:rFonts w:hint="eastAsia" w:ascii="Times New Roman" w:hAnsi="Times New Roman" w:eastAsia="方正仿宋_GBK" w:cs="方正仿宋_GBK"/>
          <w:sz w:val="32"/>
          <w:szCs w:val="32"/>
        </w:rPr>
        <w:t>紧盯“三落实一巩固”，抓好国家、市级、区级巩固衔接反馈问题整改。要常态化开展大排查大整治大提升行动，动态消除“两不愁三保障”及住房、饮水等突出问题。要健全防返贫动态监测机制，及时将突发困难户、整户低保等特殊群体纳入监测范围，明确帮扶责任人和帮扶措施，及时消除监测对象返贫致贫风险。要加大对就学、医保参保、就业等各项政策的落实兑现力度，坚决守住不发生规模性返贫致贫底线。要加大走访慰问频次，提升群众对巩固拓展脱贫攻坚成果的满意度，为推进巩固拓展脱贫攻坚成果向乡村全面振兴转段奠定基础。</w:t>
      </w:r>
    </w:p>
    <w:p w14:paraId="5A264F5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建好巴渝和美乡村。</w:t>
      </w:r>
      <w:r>
        <w:rPr>
          <w:rFonts w:hint="eastAsia" w:ascii="Times New Roman" w:hAnsi="Times New Roman" w:eastAsia="方正仿宋_GBK" w:cs="方正仿宋_GBK"/>
          <w:sz w:val="32"/>
          <w:szCs w:val="32"/>
        </w:rPr>
        <w:t>学习推广运用“千万工程”经验，按照全区“十镇百村千院”示范创建工程部署，今年完成巴渝和美乡村达标村5个、示范院落16个以上。持续开展“积分制”、“清单制”，健全完善农村人居环境乡村治理，扎实开展垃圾分类先锋创建活动，农村生活垃圾、污水治理率达到90%、55%以上。全面推进河长制、林长制，加大巡河巡林力度，及时发现各类问题，确保闭环整改率达到100%。加大农药、农膜包装及废旧物回收，加强养殖尾水和农村黑臭水体治理，全面管控农村面源污染治理，坚决打赢蓝天碧水保卫战。</w:t>
      </w:r>
    </w:p>
    <w:p w14:paraId="0ABF962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（三）着眼民生福祉，用心用情解民忧，加大民生保障力度</w:t>
      </w:r>
    </w:p>
    <w:p w14:paraId="72F10BB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提高民生保障水平。</w:t>
      </w:r>
      <w:r>
        <w:rPr>
          <w:rFonts w:hint="eastAsia" w:ascii="Times New Roman" w:hAnsi="Times New Roman" w:eastAsia="方正仿宋_GBK" w:cs="方正仿宋_GBK"/>
          <w:sz w:val="32"/>
          <w:szCs w:val="32"/>
        </w:rPr>
        <w:t>精准抓好困难群众救助，进一步完善最低生活保障制度，全面落实低保、特困、孤儿、优抚、救济等民生保障，关心关爱残疾人生活。千方百计促进高校毕业生、农民工等重点群体就业，提升稳定就业质量和总量。持续扩大医疗保险、养老保险覆盖面。全力</w:t>
      </w:r>
      <w:r>
        <w:rPr>
          <w:rFonts w:ascii="方正仿宋_GBK" w:hAnsi="方正仿宋_GBK" w:eastAsia="方正仿宋_GBK" w:cs="方正仿宋_GBK"/>
          <w:sz w:val="32"/>
          <w:szCs w:val="32"/>
          <w:shd w:val="clear" w:color="auto" w:fill="FFFFFF"/>
        </w:rPr>
        <w:t>支持工会、妇联、共青团和关心下一代等工作。</w:t>
      </w:r>
    </w:p>
    <w:p w14:paraId="245A933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sz w:val="32"/>
          <w:szCs w:val="32"/>
          <w:shd w:val="clear" w:color="auto" w:fill="FFFFFF"/>
        </w:rPr>
      </w:pPr>
      <w:r>
        <w:rPr>
          <w:rFonts w:hint="eastAsia" w:ascii="方正仿宋_GBK" w:hAnsi="方正仿宋_GBK" w:eastAsia="方正仿宋_GBK" w:cs="方正仿宋_GBK"/>
          <w:b/>
          <w:bCs/>
          <w:sz w:val="32"/>
          <w:szCs w:val="32"/>
        </w:rPr>
        <w:t>增进公共服务广度。</w:t>
      </w:r>
      <w:r>
        <w:rPr>
          <w:rFonts w:hint="eastAsia" w:ascii="Times New Roman" w:hAnsi="Times New Roman" w:eastAsia="方正仿宋_GBK" w:cs="方正仿宋_GBK"/>
          <w:sz w:val="32"/>
          <w:szCs w:val="32"/>
        </w:rPr>
        <w:t>加强医疗卫生体系建设，推动医疗卫生事业提标升级。加大教育事业投入，优化办学条件，落实“双减”政策，加大控辍保学力度，推进教育事业优质高效发展。持续做好卫生镇、卫生村创建。发挥综合文化站、新时代文明实践站所功能，提升农家书屋、文化广场等场所公共文化服务水平。积极应对人口老龄化挑战，持续开展老有所学、老有所乐等暖民心行动。推进农贸市场、市民文化休闲广场等场所改造提升。</w:t>
      </w:r>
    </w:p>
    <w:p w14:paraId="41CE800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rPr>
        <w:t>）着力维护和谐，从严从实防风险，提高社会治理水平</w:t>
      </w:r>
    </w:p>
    <w:p w14:paraId="2A120DE5">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ascii="Times New Roman" w:hAnsi="Times New Roman" w:eastAsia="方正仿宋_GBK" w:cs="方正仿宋_GBK"/>
          <w:color w:val="auto"/>
          <w:sz w:val="32"/>
          <w:szCs w:val="32"/>
          <w:lang w:val="en-US" w:eastAsia="zh-CN" w:bidi="ar-SA"/>
        </w:rPr>
      </w:pPr>
      <w:bookmarkStart w:id="9" w:name="_Hlk160649037"/>
      <w:r>
        <w:rPr>
          <w:rFonts w:hint="eastAsia" w:ascii="Times New Roman" w:hAnsi="Times New Roman" w:eastAsia="方正仿宋_GBK" w:cs="方正仿宋_GBK"/>
          <w:b/>
          <w:bCs/>
          <w:color w:val="auto"/>
          <w:sz w:val="32"/>
          <w:szCs w:val="32"/>
          <w:lang w:val="en-US" w:eastAsia="zh-CN" w:bidi="ar-SA"/>
        </w:rPr>
        <w:t>赋能基层智治。</w:t>
      </w:r>
      <w:bookmarkEnd w:id="9"/>
      <w:r>
        <w:rPr>
          <w:rFonts w:ascii="Helvetica" w:hAnsi="Helvetica" w:eastAsia="方正仿宋_GBK" w:cs="Times New Roman"/>
          <w:color w:val="auto"/>
          <w:kern w:val="2"/>
          <w:sz w:val="32"/>
          <w:szCs w:val="32"/>
          <w:lang w:val="en-US" w:eastAsia="zh-CN" w:bidi="ar-SA"/>
        </w:rPr>
        <w:t>强化纵向贯通</w:t>
      </w:r>
      <w:r>
        <w:rPr>
          <w:rFonts w:hint="eastAsia" w:ascii="Helvetica" w:hAnsi="Helvetica" w:eastAsia="宋体" w:cs="Times New Roman"/>
          <w:color w:val="auto"/>
          <w:kern w:val="2"/>
          <w:sz w:val="32"/>
          <w:szCs w:val="32"/>
          <w:lang w:val="en-US" w:eastAsia="zh-CN" w:bidi="ar-SA"/>
        </w:rPr>
        <w:t>，</w:t>
      </w:r>
      <w:r>
        <w:rPr>
          <w:rFonts w:hint="eastAsia" w:ascii="Helvetica" w:hAnsi="Helvetica" w:eastAsia="方正仿宋_GBK" w:cs="Times New Roman"/>
          <w:color w:val="auto"/>
          <w:kern w:val="2"/>
          <w:sz w:val="32"/>
          <w:szCs w:val="32"/>
          <w:lang w:val="en-US" w:eastAsia="zh-CN" w:bidi="ar-SA"/>
        </w:rPr>
        <w:t>发挥指挥中心“中枢神经”作用</w:t>
      </w:r>
      <w:r>
        <w:rPr>
          <w:rFonts w:ascii="Helvetica" w:hAnsi="Helvetica" w:eastAsia="方正仿宋_GBK" w:cs="Times New Roman"/>
          <w:color w:val="auto"/>
          <w:kern w:val="2"/>
          <w:sz w:val="32"/>
          <w:szCs w:val="32"/>
          <w:lang w:val="en-US" w:eastAsia="zh-CN" w:bidi="ar-SA"/>
        </w:rPr>
        <w:t>，</w:t>
      </w:r>
      <w:r>
        <w:rPr>
          <w:rFonts w:hint="eastAsia" w:ascii="Times New Roman" w:hAnsi="Times New Roman" w:eastAsia="方正仿宋_GBK" w:cs="方正仿宋_GBK"/>
          <w:color w:val="auto"/>
          <w:sz w:val="32"/>
          <w:szCs w:val="32"/>
          <w:lang w:val="en-US" w:eastAsia="zh-CN" w:bidi="ar-SA"/>
        </w:rPr>
        <w:t>接入智能AI算法，完善智治大脑建设，提升1</w:t>
      </w:r>
      <w:r>
        <w:rPr>
          <w:rFonts w:ascii="Times New Roman" w:hAnsi="Times New Roman" w:eastAsia="方正仿宋_GBK" w:cs="方正仿宋_GBK"/>
          <w:color w:val="auto"/>
          <w:sz w:val="32"/>
          <w:szCs w:val="32"/>
          <w:lang w:val="en-US" w:eastAsia="zh-CN" w:bidi="ar-SA"/>
        </w:rPr>
        <w:t>41</w:t>
      </w:r>
      <w:r>
        <w:rPr>
          <w:rFonts w:hint="eastAsia" w:ascii="Times New Roman" w:hAnsi="Times New Roman" w:eastAsia="方正仿宋_GBK" w:cs="方正仿宋_GBK"/>
          <w:color w:val="auto"/>
          <w:sz w:val="32"/>
          <w:szCs w:val="32"/>
          <w:lang w:val="en-US" w:eastAsia="zh-CN" w:bidi="ar-SA"/>
        </w:rPr>
        <w:t>基层智治实战实效。</w:t>
      </w:r>
      <w:r>
        <w:rPr>
          <w:rFonts w:ascii="Helvetica" w:hAnsi="Helvetica" w:eastAsia="方正仿宋_GBK" w:cs="Times New Roman"/>
          <w:color w:val="auto"/>
          <w:kern w:val="2"/>
          <w:sz w:val="32"/>
          <w:szCs w:val="32"/>
          <w:lang w:val="en-US" w:eastAsia="zh-CN" w:bidi="ar-SA"/>
        </w:rPr>
        <w:t>畅通网格微循环，</w:t>
      </w:r>
      <w:r>
        <w:rPr>
          <w:rFonts w:hint="eastAsia" w:ascii="Times New Roman" w:hAnsi="Times New Roman" w:eastAsia="方正仿宋_GBK" w:cs="方正仿宋_GBK"/>
          <w:color w:val="auto"/>
          <w:sz w:val="32"/>
          <w:szCs w:val="32"/>
          <w:lang w:val="en-US" w:eastAsia="zh-CN" w:bidi="ar-SA"/>
        </w:rPr>
        <w:t>提高网格员数字化能力，发挥其“探头”作用，加强对特殊群体和重点人员的服务管控，</w:t>
      </w:r>
      <w:r>
        <w:rPr>
          <w:rFonts w:ascii="Times New Roman" w:hAnsi="Times New Roman" w:eastAsia="方正仿宋_GBK" w:cs="Helvetica"/>
          <w:caps/>
          <w:color w:val="000000"/>
          <w:sz w:val="32"/>
          <w:szCs w:val="32"/>
          <w:lang w:val="en-US" w:eastAsia="zh-CN" w:bidi="ar-SA"/>
        </w:rPr>
        <w:t>加快解决</w:t>
      </w:r>
      <w:r>
        <w:rPr>
          <w:rFonts w:hint="eastAsia" w:ascii="Times New Roman" w:hAnsi="Times New Roman" w:eastAsia="方正仿宋_GBK" w:cs="Helvetica"/>
          <w:caps/>
          <w:color w:val="000000"/>
          <w:sz w:val="32"/>
          <w:szCs w:val="32"/>
          <w:lang w:val="en-US" w:eastAsia="zh-CN" w:bidi="ar-SA"/>
        </w:rPr>
        <w:t>征地拆迁领域</w:t>
      </w:r>
      <w:r>
        <w:rPr>
          <w:rFonts w:ascii="Times New Roman" w:hAnsi="Times New Roman" w:eastAsia="方正仿宋_GBK" w:cs="Helvetica"/>
          <w:caps/>
          <w:color w:val="000000"/>
          <w:sz w:val="32"/>
          <w:szCs w:val="32"/>
          <w:lang w:val="en-US" w:eastAsia="zh-CN" w:bidi="ar-SA"/>
        </w:rPr>
        <w:t>遗留问题</w:t>
      </w:r>
      <w:r>
        <w:rPr>
          <w:rFonts w:hint="eastAsia" w:ascii="Times New Roman" w:hAnsi="Times New Roman" w:eastAsia="方正仿宋_GBK" w:cs="Helvetica"/>
          <w:caps/>
          <w:color w:val="000000"/>
          <w:sz w:val="32"/>
          <w:szCs w:val="32"/>
          <w:lang w:val="en-US" w:eastAsia="zh-CN" w:bidi="ar-SA"/>
        </w:rPr>
        <w:t>，做好信访人员和群体的化解稳控，守住到市进京零的底线。</w:t>
      </w:r>
      <w:r>
        <w:rPr>
          <w:rFonts w:hint="eastAsia" w:ascii="Helvetica" w:hAnsi="Helvetica" w:eastAsia="方正仿宋_GBK" w:cs="Times New Roman"/>
          <w:color w:val="auto"/>
          <w:kern w:val="2"/>
          <w:sz w:val="32"/>
          <w:szCs w:val="32"/>
          <w:lang w:val="en-US" w:eastAsia="zh-CN" w:bidi="ar-SA"/>
        </w:rPr>
        <w:t>增强</w:t>
      </w:r>
      <w:r>
        <w:rPr>
          <w:rFonts w:ascii="Helvetica" w:hAnsi="Helvetica" w:eastAsia="方正仿宋_GBK" w:cs="Times New Roman"/>
          <w:color w:val="auto"/>
          <w:kern w:val="2"/>
          <w:sz w:val="32"/>
          <w:szCs w:val="32"/>
          <w:lang w:val="en-US" w:eastAsia="zh-CN" w:bidi="ar-SA"/>
        </w:rPr>
        <w:t>智能支撑，不断织密</w:t>
      </w:r>
      <w:r>
        <w:rPr>
          <w:rFonts w:hint="eastAsia" w:ascii="Helvetica" w:hAnsi="Helvetica" w:eastAsia="方正仿宋_GBK" w:cs="Times New Roman"/>
          <w:color w:val="auto"/>
          <w:kern w:val="2"/>
          <w:sz w:val="32"/>
          <w:szCs w:val="32"/>
          <w:lang w:val="en-US" w:eastAsia="zh-CN" w:bidi="ar-SA"/>
        </w:rPr>
        <w:t>“</w:t>
      </w:r>
      <w:r>
        <w:rPr>
          <w:rFonts w:ascii="Helvetica" w:hAnsi="Helvetica" w:eastAsia="方正仿宋_GBK" w:cs="Times New Roman"/>
          <w:color w:val="auto"/>
          <w:kern w:val="2"/>
          <w:sz w:val="32"/>
          <w:szCs w:val="32"/>
          <w:lang w:val="en-US" w:eastAsia="zh-CN" w:bidi="ar-SA"/>
        </w:rPr>
        <w:t>感知网络</w:t>
      </w:r>
      <w:r>
        <w:rPr>
          <w:rFonts w:hint="eastAsia" w:ascii="Helvetica" w:hAnsi="Helvetica" w:eastAsia="方正仿宋_GBK" w:cs="Times New Roman"/>
          <w:color w:val="auto"/>
          <w:kern w:val="2"/>
          <w:sz w:val="32"/>
          <w:szCs w:val="32"/>
          <w:lang w:val="en-US" w:eastAsia="zh-CN" w:bidi="ar-SA"/>
        </w:rPr>
        <w:t>”</w:t>
      </w:r>
      <w:r>
        <w:rPr>
          <w:rFonts w:ascii="Helvetica" w:hAnsi="Helvetica" w:eastAsia="方正仿宋_GBK" w:cs="Times New Roman"/>
          <w:color w:val="auto"/>
          <w:kern w:val="2"/>
          <w:sz w:val="32"/>
          <w:szCs w:val="32"/>
          <w:lang w:val="en-US" w:eastAsia="zh-CN" w:bidi="ar-SA"/>
        </w:rPr>
        <w:t>，持续破解</w:t>
      </w:r>
      <w:r>
        <w:rPr>
          <w:rFonts w:hint="eastAsia" w:ascii="Helvetica" w:hAnsi="Helvetica" w:eastAsia="方正仿宋_GBK" w:cs="Times New Roman"/>
          <w:color w:val="auto"/>
          <w:kern w:val="2"/>
          <w:sz w:val="32"/>
          <w:szCs w:val="32"/>
          <w:lang w:val="en-US" w:eastAsia="zh-CN" w:bidi="ar-SA"/>
        </w:rPr>
        <w:t>“</w:t>
      </w:r>
      <w:r>
        <w:rPr>
          <w:rFonts w:ascii="Helvetica" w:hAnsi="Helvetica" w:eastAsia="方正仿宋_GBK" w:cs="Times New Roman"/>
          <w:color w:val="auto"/>
          <w:kern w:val="2"/>
          <w:sz w:val="32"/>
          <w:szCs w:val="32"/>
          <w:lang w:val="en-US" w:eastAsia="zh-CN" w:bidi="ar-SA"/>
        </w:rPr>
        <w:t>数据烟囱</w:t>
      </w:r>
      <w:r>
        <w:rPr>
          <w:rFonts w:hint="eastAsia" w:ascii="Helvetica" w:hAnsi="Helvetica" w:eastAsia="方正仿宋_GBK" w:cs="Times New Roman"/>
          <w:color w:val="auto"/>
          <w:kern w:val="2"/>
          <w:sz w:val="32"/>
          <w:szCs w:val="32"/>
          <w:lang w:val="en-US" w:eastAsia="zh-CN" w:bidi="ar-SA"/>
        </w:rPr>
        <w:t>”</w:t>
      </w:r>
      <w:r>
        <w:rPr>
          <w:rFonts w:ascii="Helvetica" w:hAnsi="Helvetica" w:eastAsia="方正仿宋_GBK" w:cs="Times New Roman"/>
          <w:color w:val="auto"/>
          <w:kern w:val="2"/>
          <w:sz w:val="32"/>
          <w:szCs w:val="32"/>
          <w:lang w:val="en-US" w:eastAsia="zh-CN" w:bidi="ar-SA"/>
        </w:rPr>
        <w:t>，以数据流打通业务流、决策流、执行流，更好推动高质量发展、创造高品质生活、实现高效能治理。</w:t>
      </w:r>
    </w:p>
    <w:p w14:paraId="11ABC80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Times New Roman" w:eastAsia="方正仿宋_GBK" w:cs="方正仿宋_GBK"/>
          <w:sz w:val="32"/>
          <w:szCs w:val="32"/>
        </w:rPr>
      </w:pPr>
      <w:r>
        <w:rPr>
          <w:rFonts w:hint="eastAsia" w:ascii="仿宋_GB2312" w:hAnsi="Times New Roman" w:eastAsia="方正仿宋_GBK" w:cs="方正仿宋_GBK"/>
          <w:b/>
          <w:bCs/>
          <w:sz w:val="32"/>
          <w:szCs w:val="32"/>
        </w:rPr>
        <w:t>牢固安全屏障。</w:t>
      </w:r>
      <w:r>
        <w:rPr>
          <w:rFonts w:hint="eastAsia" w:ascii="仿宋_GB2312" w:hAnsi="Times New Roman" w:eastAsia="方正仿宋_GBK" w:cs="方正仿宋_GBK"/>
          <w:sz w:val="32"/>
          <w:szCs w:val="32"/>
        </w:rPr>
        <w:t>坚定不移贯彻总体国家安全观，压紧压实镇村网格三级管理责任，深入开展道路交通、燃气、建筑施工、危化品、食品药品等重点行业领域风险隐患排查整治，坚决防止发生较大及以上生产安全事故。加强应急队伍建设村、社区完成最小应急单元建设，组建不少于5人的应急队伍，整合镇平安法治板块工作人员，组建大应急队伍，完善应急预案，熟悉应急演练。继续落实“邻里包户双敲门”“居民物资双备份”等应急物资储备制度，全面提升应急处置能力和防灾减灾抗灾能力。</w:t>
      </w:r>
    </w:p>
    <w:p w14:paraId="0624C8F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楷体_GBK" w:hAnsi="方正楷体_GBK" w:eastAsia="方正楷体_GBK" w:cs="方正楷体_GBK"/>
          <w:kern w:val="0"/>
          <w:sz w:val="32"/>
          <w:szCs w:val="32"/>
          <w:shd w:val="clear" w:color="auto" w:fill="FFFFFF"/>
        </w:rPr>
      </w:pPr>
      <w:r>
        <w:rPr>
          <w:rFonts w:hint="eastAsia" w:ascii="Times New Roman" w:hAnsi="Times New Roman" w:eastAsia="方正仿宋_GBK" w:cs="方正仿宋_GBK"/>
          <w:b/>
          <w:bCs/>
          <w:sz w:val="32"/>
          <w:szCs w:val="32"/>
        </w:rPr>
        <w:t>强化社会面管控。</w:t>
      </w:r>
      <w:r>
        <w:rPr>
          <w:rFonts w:hint="eastAsia" w:ascii="仿宋_GB2312" w:hAnsi="Times New Roman" w:eastAsia="方正仿宋_GBK" w:cs="方正仿宋_GBK"/>
          <w:sz w:val="32"/>
          <w:szCs w:val="32"/>
        </w:rPr>
        <w:t>坚持和发展新时代“枫桥经验”，以打造地方特色调解品牌为牵引，推进“田里人家”征地拆迁领域纠纷调解体系建设，完善矛盾纠纷预防化解机制，最大限度将矛盾纠纷预防在前端，化解在“家门口”。</w:t>
      </w:r>
      <w:r>
        <w:rPr>
          <w:rFonts w:hint="eastAsia" w:ascii="Times New Roman" w:hAnsi="Times New Roman" w:eastAsia="方正仿宋_GBK" w:cs="方正仿宋_GBK"/>
          <w:sz w:val="32"/>
          <w:szCs w:val="32"/>
        </w:rPr>
        <w:t>深入推进全面反诈，控制电信诈骗发案数量、发案金额，扎实开展涉诈重点人员“控新减存”行动。继续完善“雪亮工程”监控系统，实现主干道、卡哨点、重点场所视频全覆盖。强化严重精神障碍患者、社会面吸毒人员、刑满释放人员等特殊人群服务管理，防止肇事肇祸案件。推动扫黑除恶斗争长效常治，建设更高水平和谐田家。</w:t>
      </w:r>
    </w:p>
    <w:p w14:paraId="4C3DCC0C">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kern w:val="0"/>
          <w:sz w:val="32"/>
          <w:szCs w:val="32"/>
          <w:shd w:val="clear" w:color="auto" w:fill="FFFFFF"/>
        </w:rPr>
      </w:pPr>
      <w:r>
        <w:rPr>
          <w:rFonts w:ascii="方正楷体_GBK" w:hAnsi="方正楷体_GBK" w:eastAsia="方正楷体_GBK" w:cs="方正楷体_GBK"/>
          <w:kern w:val="0"/>
          <w:sz w:val="32"/>
          <w:szCs w:val="32"/>
          <w:shd w:val="clear" w:color="auto" w:fill="FFFFFF"/>
        </w:rPr>
        <w:t>（五）着重抓好作风，真抓实干提效能，强化政府自身建设</w:t>
      </w:r>
    </w:p>
    <w:p w14:paraId="79C9C3E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坚持忠诚履职担当。</w:t>
      </w:r>
      <w:r>
        <w:rPr>
          <w:rFonts w:hint="eastAsia" w:ascii="Times New Roman" w:hAnsi="Times New Roman" w:eastAsia="方正仿宋_GBK" w:cs="方正仿宋_GBK"/>
          <w:sz w:val="32"/>
          <w:szCs w:val="32"/>
        </w:rPr>
        <w:t>坚定捍卫“两个确立”，坚决做到“两个维护”，把党的全面领导贯穿政府工作各领域、全过程。不断提高政治判断力、政治领悟力、政治执行力，不折不扣落实习近平总书记重要指示精神和党中央大政方针，坚定不移落实上级和镇党委的工作部署，自觉接受人大和社会各界监督，不断推动政府工作取得新的更大成就，以实际行动彰显忠诚本色，为党和人民事业作出新的更大贡献。</w:t>
      </w:r>
    </w:p>
    <w:p w14:paraId="4C6E0D3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加强法治政府建设。</w:t>
      </w:r>
      <w:r>
        <w:rPr>
          <w:rFonts w:hint="eastAsia" w:ascii="Times New Roman" w:hAnsi="Times New Roman" w:eastAsia="方正仿宋_GBK" w:cs="方正仿宋_GBK"/>
          <w:sz w:val="32"/>
          <w:szCs w:val="32"/>
        </w:rPr>
        <w:t>深入践行习近平法治思想，大力推进法治政府建设工作，让厉行法治成为政府工作的自觉。严格落实民主集中制和“三重一大”末位表态制度，持续规范重大行政决策程序，不断提升行政决策公信力和执行力。坚持严格规范公正文明执法，深化包容审慎柔性执法，让行政执法有法度、有温度。</w:t>
      </w:r>
    </w:p>
    <w:p w14:paraId="34FE317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筑牢廉洁自律防线。</w:t>
      </w:r>
      <w:r>
        <w:rPr>
          <w:rFonts w:hint="eastAsia" w:ascii="Times New Roman" w:hAnsi="Times New Roman" w:eastAsia="方正仿宋_GBK" w:cs="方正仿宋_GBK"/>
          <w:sz w:val="32"/>
          <w:szCs w:val="32"/>
        </w:rPr>
        <w:t>严格落实中央八项规定及其实施细则精神，持之以恒推进政府系统党风廉政建设。持续压减“三公”经费，把更多财力用到保民生、补短板、促发展上，用政府的“紧日子”换老百姓的“好日子”。持续抓好作风建设，让廉洁用权、干净干事、甘于奉献在政府系统蔚然成风。</w:t>
      </w:r>
    </w:p>
    <w:p w14:paraId="16BCF32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cs="Times New Roman"/>
          <w:sz w:val="32"/>
          <w:szCs w:val="32"/>
        </w:rPr>
      </w:pPr>
      <w:r>
        <w:rPr>
          <w:rFonts w:hint="eastAsia" w:ascii="Times New Roman" w:hAnsi="Times New Roman" w:eastAsia="方正仿宋_GBK" w:cs="方正仿宋_GBK"/>
          <w:sz w:val="32"/>
          <w:szCs w:val="32"/>
        </w:rPr>
        <w:t>各位代表、同志们！百舸争流千帆竞，借海扬帆奋者先。让我们更加紧密团结在以习近平同志为核心的党中央周围，在区委、区政府和镇党委的坚强领导下，迎难而上，开拓进取，奋力把田家打造成潼南工业强镇，以新时代新征程新作为，奋发图强，奋勇争先，奋力开创各项事业新局面，为谱写新时代田家高质量发展新篇章不懈奋斗！</w:t>
      </w:r>
    </w:p>
    <w:p w14:paraId="2A5E0C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80319"/>
    <w:multiLevelType w:val="singleLevel"/>
    <w:tmpl w:val="CC980319"/>
    <w:lvl w:ilvl="0" w:tentative="0">
      <w:start w:val="1"/>
      <w:numFmt w:val="chineseCounting"/>
      <w:pStyle w:val="7"/>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F301C"/>
    <w:rsid w:val="1595019D"/>
    <w:rsid w:val="3D2F301C"/>
    <w:rsid w:val="3FED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仿宋_GB2312"/>
    </w:rPr>
  </w:style>
  <w:style w:type="paragraph" w:styleId="3">
    <w:name w:val="toc 5"/>
    <w:basedOn w:val="1"/>
    <w:next w:val="1"/>
    <w:qFormat/>
    <w:uiPriority w:val="99"/>
    <w:pPr>
      <w:ind w:left="1680" w:leftChars="800"/>
    </w:pPr>
    <w:rPr>
      <w:rFonts w:eastAsia="方正仿宋_GBK"/>
      <w:sz w:val="32"/>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党委会议题标题"/>
    <w:basedOn w:val="4"/>
    <w:uiPriority w:val="0"/>
    <w:pPr>
      <w:widowControl/>
      <w:numPr>
        <w:ilvl w:val="0"/>
        <w:numId w:val="1"/>
      </w:numPr>
      <w:spacing w:line="560" w:lineRule="exact"/>
      <w:jc w:val="left"/>
    </w:pPr>
    <w:rPr>
      <w:rFonts w:ascii="Times New Roman" w:hAnsi="Times New Roman" w:eastAsia="方正黑体_GBK" w:cs="Times New Roman"/>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2025-03-03T08:25:00Z</dcterms:created>
  <dc:creator>bluella</dc:creator>
  <cp:lastModifiedBy>bluella</cp:lastModifiedBy>
  <dcterms:modified xsi:type="dcterms:W3CDTF">2025-03-03T08:26:29Z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1BBA7A712ED74E4FA3FE272B0EF87901_11</vt:lpwstr>
  </property>
  <property fmtid="{D5CDD505-2E9C-101B-9397-08002B2CF9AE}" pid="4" name="KSOTemplateDocerSaveRecord">
    <vt:lpwstr>eyJoZGlkIjoiOGIxMzU3YmRhZWY1ZDQwMTVjOTYyMTM2ZGYzODNhNGUiLCJ1c2VySWQiOiI0NjkyOTg2MzMifQ==</vt:lpwstr>
  </property>
</Properties>
</file>