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D5A82D">
      <w:pPr>
        <w:pStyle w:val="5"/>
        <w:keepNext w:val="0"/>
        <w:keepLines w:val="0"/>
        <w:pageBreakBefore w:val="0"/>
        <w:widowControl/>
        <w:kinsoku/>
        <w:overflowPunct/>
        <w:topLinePunct w:val="0"/>
        <w:autoSpaceDN/>
        <w:bidi w:val="0"/>
        <w:adjustRightInd/>
        <w:spacing w:before="0" w:beforeAutospacing="0" w:after="0" w:afterAutospacing="0" w:line="600" w:lineRule="exact"/>
        <w:ind w:left="0" w:leftChars="0"/>
        <w:jc w:val="center"/>
        <w:rPr>
          <w:rFonts w:ascii="Times New Roman" w:hAnsi="Times New Roman" w:eastAsia="方正小标宋_GBK" w:cs="方正小标宋_GBK"/>
          <w:b w:val="0"/>
          <w:bCs w:val="0"/>
          <w:sz w:val="36"/>
          <w:szCs w:val="36"/>
        </w:rPr>
      </w:pPr>
      <w:r>
        <w:rPr>
          <w:rFonts w:ascii="Times New Roman" w:hAnsi="Times New Roman" w:eastAsia="方正小标宋_GBK" w:cs="方正小标宋_GBK"/>
          <w:b w:val="0"/>
          <w:bCs w:val="0"/>
          <w:sz w:val="36"/>
          <w:szCs w:val="36"/>
        </w:rPr>
        <w:t>重庆市潼南区田家镇劳动就业和社会保障服务所2023年度决算</w:t>
      </w:r>
      <w:r>
        <w:rPr>
          <w:rFonts w:hint="eastAsia" w:ascii="Times New Roman" w:hAnsi="Times New Roman" w:eastAsia="方正小标宋_GBK" w:cs="方正小标宋_GBK"/>
          <w:b w:val="0"/>
          <w:bCs w:val="0"/>
          <w:sz w:val="36"/>
          <w:szCs w:val="36"/>
          <w:lang w:eastAsia="zh-CN"/>
        </w:rPr>
        <w:t>公开</w:t>
      </w:r>
      <w:r>
        <w:rPr>
          <w:rFonts w:ascii="Times New Roman" w:hAnsi="Times New Roman" w:eastAsia="方正小标宋_GBK" w:cs="方正小标宋_GBK"/>
          <w:b w:val="0"/>
          <w:bCs w:val="0"/>
          <w:sz w:val="36"/>
          <w:szCs w:val="36"/>
        </w:rPr>
        <w:t>说明</w:t>
      </w:r>
    </w:p>
    <w:p w14:paraId="38F1466C">
      <w:pPr>
        <w:pStyle w:val="5"/>
        <w:keepNext w:val="0"/>
        <w:keepLines w:val="0"/>
        <w:pageBreakBefore w:val="0"/>
        <w:widowControl/>
        <w:kinsoku/>
        <w:overflowPunct/>
        <w:topLinePunct w:val="0"/>
        <w:autoSpaceDN/>
        <w:bidi w:val="0"/>
        <w:adjustRightInd/>
        <w:spacing w:before="0" w:beforeAutospacing="0" w:after="0" w:afterAutospacing="0" w:line="600" w:lineRule="exact"/>
        <w:ind w:left="0" w:leftChars="0"/>
        <w:jc w:val="center"/>
        <w:rPr>
          <w:rFonts w:hint="default" w:ascii="Times New Roman" w:hAnsi="Times New Roman" w:eastAsia="方正小标宋_GBK" w:cs="方正小标宋_GBK"/>
          <w:b w:val="0"/>
          <w:bCs w:val="0"/>
          <w:sz w:val="36"/>
          <w:szCs w:val="36"/>
        </w:rPr>
      </w:pPr>
    </w:p>
    <w:p w14:paraId="415314E0">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textAlignment w:val="auto"/>
        <w:rPr>
          <w:rFonts w:hint="eastAsia" w:ascii="Times New Roman" w:hAnsi="Times New Roman" w:eastAsia="黑体" w:cs="黑体"/>
          <w:b w:val="0"/>
          <w:bCs/>
          <w:sz w:val="32"/>
          <w:szCs w:val="32"/>
        </w:rPr>
      </w:pPr>
      <w:r>
        <w:rPr>
          <w:rStyle w:val="9"/>
          <w:rFonts w:hint="eastAsia" w:ascii="Times New Roman" w:hAnsi="Times New Roman" w:eastAsia="黑体" w:cs="黑体"/>
          <w:b w:val="0"/>
          <w:bCs/>
          <w:sz w:val="32"/>
          <w:szCs w:val="32"/>
          <w:shd w:val="clear" w:color="auto" w:fill="FFFFFF"/>
        </w:rPr>
        <w:t>一、部门基本情况</w:t>
      </w:r>
    </w:p>
    <w:p w14:paraId="5B790C9F">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default" w:ascii="方正楷体_GBK" w:hAnsi="方正楷体_GBK" w:eastAsia="方正楷体_GBK" w:cs="方正楷体_GBK"/>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（一）职能职责</w:t>
      </w:r>
    </w:p>
    <w:p w14:paraId="2898A2E9">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ind w:firstLine="640" w:firstLineChars="200"/>
        <w:textAlignment w:val="auto"/>
        <w:rPr>
          <w:rFonts w:hint="eastAsia" w:ascii="Times New Roman" w:hAnsi="Times New Roman" w:eastAsia="方正仿宋_GBK" w:cs="方正仿宋_GBK"/>
          <w:b w:val="0"/>
          <w:bCs/>
          <w:sz w:val="32"/>
          <w:szCs w:val="32"/>
          <w:shd w:val="clear" w:color="auto" w:fill="FFFFFF"/>
          <w:lang w:eastAsia="zh-CN"/>
        </w:rPr>
      </w:pPr>
      <w:r>
        <w:rPr>
          <w:rFonts w:ascii="Times New Roman" w:hAnsi="Times New Roman" w:eastAsia="方正仿宋_GBK" w:cs="方正仿宋_GBK"/>
          <w:b w:val="0"/>
          <w:bCs/>
          <w:sz w:val="32"/>
          <w:szCs w:val="32"/>
          <w:shd w:val="clear" w:color="auto" w:fill="FFFFFF"/>
        </w:rPr>
        <w:t>主要负责提供就业、社会保障和劳动维权等服务</w:t>
      </w:r>
      <w:r>
        <w:rPr>
          <w:rFonts w:hint="eastAsia" w:ascii="Times New Roman" w:hAnsi="Times New Roman" w:eastAsia="方正仿宋_GBK" w:cs="方正仿宋_GBK"/>
          <w:b w:val="0"/>
          <w:bCs/>
          <w:sz w:val="32"/>
          <w:szCs w:val="32"/>
          <w:shd w:val="clear" w:color="auto" w:fill="FFFFFF"/>
          <w:lang w:eastAsia="zh-CN"/>
        </w:rPr>
        <w:t>。</w:t>
      </w:r>
    </w:p>
    <w:p w14:paraId="4618C39A">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eastAsia" w:ascii="方正楷体_GBK" w:hAnsi="方正楷体_GBK" w:eastAsia="方正楷体_GBK" w:cs="方正楷体_GBK"/>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（二）机构设置</w:t>
      </w:r>
    </w:p>
    <w:p w14:paraId="1587DCBD">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ind w:firstLine="420"/>
        <w:textAlignment w:val="auto"/>
        <w:rPr>
          <w:rFonts w:hint="default" w:ascii="Times New Roman" w:hAnsi="Times New Roman" w:eastAsia="方正仿宋_GBK" w:cs="方正仿宋_GBK"/>
          <w:b w:val="0"/>
          <w:bCs/>
          <w:sz w:val="32"/>
          <w:szCs w:val="32"/>
        </w:rPr>
      </w:pPr>
      <w:r>
        <w:rPr>
          <w:rFonts w:hint="default" w:ascii="Times New Roman" w:hAnsi="Times New Roman" w:eastAsia="方正仿宋_GBK" w:cs="方正仿宋_GBK"/>
          <w:b w:val="0"/>
          <w:bCs/>
          <w:sz w:val="32"/>
          <w:szCs w:val="32"/>
        </w:rPr>
        <w:t>本单位为重庆市潼南区</w:t>
      </w:r>
      <w:r>
        <w:rPr>
          <w:rFonts w:hint="eastAsia" w:ascii="Times New Roman" w:hAnsi="Times New Roman" w:eastAsia="方正仿宋_GBK" w:cs="方正仿宋_GBK"/>
          <w:b w:val="0"/>
          <w:bCs/>
          <w:sz w:val="32"/>
          <w:szCs w:val="32"/>
          <w:lang w:eastAsia="zh-CN"/>
        </w:rPr>
        <w:t>田家镇</w:t>
      </w:r>
      <w:r>
        <w:rPr>
          <w:rFonts w:hint="default" w:ascii="Times New Roman" w:hAnsi="Times New Roman" w:eastAsia="方正仿宋_GBK" w:cs="方正仿宋_GBK"/>
          <w:b w:val="0"/>
          <w:bCs/>
          <w:sz w:val="32"/>
          <w:szCs w:val="32"/>
        </w:rPr>
        <w:t>人民政府所属二级预算单位，单位类型为公益一类事业单位。本单位实有在职职工</w:t>
      </w:r>
      <w:r>
        <w:rPr>
          <w:rFonts w:hint="eastAsia" w:ascii="Times New Roman" w:hAnsi="Times New Roman" w:eastAsia="方正仿宋_GBK" w:cs="方正仿宋_GBK"/>
          <w:b w:val="0"/>
          <w:bCs/>
          <w:sz w:val="32"/>
          <w:szCs w:val="32"/>
          <w:lang w:val="en-US" w:eastAsia="zh-CN"/>
        </w:rPr>
        <w:t>4</w:t>
      </w:r>
      <w:r>
        <w:rPr>
          <w:rFonts w:hint="default" w:ascii="Times New Roman" w:hAnsi="Times New Roman" w:eastAsia="方正仿宋_GBK" w:cs="方正仿宋_GBK"/>
          <w:b w:val="0"/>
          <w:bCs/>
          <w:sz w:val="32"/>
          <w:szCs w:val="32"/>
        </w:rPr>
        <w:t>人。</w:t>
      </w:r>
    </w:p>
    <w:p w14:paraId="2952D8E8">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textAlignment w:val="auto"/>
        <w:rPr>
          <w:rStyle w:val="9"/>
          <w:rFonts w:hint="eastAsia" w:ascii="Times New Roman" w:hAnsi="Times New Roman" w:eastAsia="黑体" w:cs="黑体"/>
          <w:b w:val="0"/>
          <w:bCs/>
          <w:sz w:val="32"/>
          <w:szCs w:val="32"/>
          <w:shd w:val="clear" w:color="auto" w:fill="FFFFFF"/>
        </w:rPr>
      </w:pPr>
      <w:r>
        <w:rPr>
          <w:rStyle w:val="9"/>
          <w:rFonts w:hint="eastAsia" w:ascii="Times New Roman" w:hAnsi="Times New Roman" w:eastAsia="黑体" w:cs="黑体"/>
          <w:b w:val="0"/>
          <w:bCs/>
          <w:sz w:val="32"/>
          <w:szCs w:val="32"/>
          <w:shd w:val="clear" w:color="auto" w:fill="FFFFFF"/>
        </w:rPr>
        <w:t>二、部门决算情况说明</w:t>
      </w:r>
    </w:p>
    <w:p w14:paraId="190EBEEF">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eastAsia" w:ascii="方正楷体_GBK" w:hAnsi="方正楷体_GBK" w:eastAsia="方正楷体_GBK" w:cs="方正楷体_GBK"/>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（一）收入支出决算总体情况说明。</w:t>
      </w:r>
    </w:p>
    <w:p w14:paraId="1CC42D63">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ind w:firstLine="640" w:firstLineChars="200"/>
        <w:textAlignment w:val="auto"/>
        <w:rPr>
          <w:rFonts w:hint="default" w:ascii="Times New Roman" w:hAnsi="Times New Roman" w:eastAsia="方正仿宋_GBK" w:cs="方正仿宋_GBK"/>
          <w:b w:val="0"/>
          <w:bCs/>
          <w:sz w:val="32"/>
          <w:szCs w:val="32"/>
        </w:rPr>
      </w:pPr>
      <w:r>
        <w:rPr>
          <w:rStyle w:val="9"/>
          <w:rFonts w:ascii="Times New Roman" w:hAnsi="Times New Roman" w:eastAsia="方正仿宋_GBK" w:cs="方正仿宋_GBK"/>
          <w:b w:val="0"/>
          <w:bCs/>
          <w:sz w:val="32"/>
          <w:szCs w:val="32"/>
          <w:shd w:val="clear" w:color="auto" w:fill="FFFFFF"/>
        </w:rPr>
        <w:t>1.总体情况。</w:t>
      </w:r>
      <w:r>
        <w:rPr>
          <w:rFonts w:ascii="Times New Roman" w:hAnsi="Times New Roman" w:eastAsia="方正仿宋_GBK" w:cs="方正仿宋_GBK"/>
          <w:b w:val="0"/>
          <w:bCs/>
          <w:sz w:val="32"/>
          <w:szCs w:val="32"/>
          <w:shd w:val="clear" w:color="auto" w:fill="FFFFFF"/>
        </w:rPr>
        <w:t>2023年度收入总计65.67万元，支出总计</w:t>
      </w:r>
      <w:r>
        <w:rPr>
          <w:rFonts w:ascii="Times New Roman" w:hAnsi="Times New Roman" w:eastAsia="方正仿宋_GBK" w:cs="方正仿宋_GBK"/>
          <w:b w:val="0"/>
          <w:bCs/>
          <w:sz w:val="32"/>
          <w:szCs w:val="32"/>
        </w:rPr>
        <w:t>65.67</w:t>
      </w:r>
      <w:r>
        <w:rPr>
          <w:rFonts w:ascii="Times New Roman" w:hAnsi="Times New Roman" w:eastAsia="方正仿宋_GBK" w:cs="方正仿宋_GBK"/>
          <w:b w:val="0"/>
          <w:bCs/>
          <w:sz w:val="32"/>
          <w:szCs w:val="32"/>
          <w:shd w:val="clear" w:color="auto" w:fill="FFFFFF"/>
        </w:rPr>
        <w:t>万元。收支较上年决算数减少3.27万元，下降4.74%，主要原因是</w:t>
      </w:r>
      <w:r>
        <w:rPr>
          <w:rFonts w:hint="eastAsia" w:ascii="Times New Roman" w:hAnsi="Times New Roman" w:eastAsia="方正仿宋_GBK" w:cs="方正仿宋_GBK"/>
          <w:b w:val="0"/>
          <w:bCs/>
          <w:sz w:val="32"/>
          <w:szCs w:val="32"/>
          <w:shd w:val="clear" w:color="auto" w:fill="FFFFFF"/>
          <w:lang w:val="en-US" w:eastAsia="zh-CN"/>
        </w:rPr>
        <w:t>2023年一般公共预算财政拨款较上年减少、</w:t>
      </w:r>
      <w:r>
        <w:rPr>
          <w:rFonts w:hint="eastAsia" w:ascii="Times New Roman" w:hAnsi="Times New Roman" w:eastAsia="方正仿宋_GBK" w:cs="方正仿宋_GBK"/>
          <w:b w:val="0"/>
          <w:bCs/>
          <w:sz w:val="32"/>
          <w:szCs w:val="32"/>
          <w:highlight w:val="none"/>
          <w:shd w:val="clear" w:color="auto" w:fill="FFFFFF"/>
          <w:lang w:val="en-US" w:eastAsia="zh-CN"/>
        </w:rPr>
        <w:t>本单位落实过紧日子的财政政策压缩日常支出</w:t>
      </w:r>
      <w:r>
        <w:rPr>
          <w:rFonts w:hint="eastAsia" w:ascii="Times New Roman" w:hAnsi="Times New Roman" w:eastAsia="方正仿宋_GBK" w:cs="方正仿宋_GBK"/>
          <w:b w:val="0"/>
          <w:bCs/>
          <w:sz w:val="32"/>
          <w:szCs w:val="32"/>
          <w:shd w:val="clear" w:color="auto" w:fill="FFFFFF"/>
          <w:lang w:val="en-US" w:eastAsia="zh-CN"/>
        </w:rPr>
        <w:t>。</w:t>
      </w:r>
    </w:p>
    <w:p w14:paraId="78676D64">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sz w:val="32"/>
          <w:szCs w:val="32"/>
          <w:shd w:val="clear" w:color="auto" w:fill="FFFFFF"/>
        </w:rPr>
      </w:pPr>
      <w:r>
        <w:rPr>
          <w:rStyle w:val="9"/>
          <w:rFonts w:ascii="Times New Roman" w:hAnsi="Times New Roman" w:eastAsia="方正仿宋_GBK" w:cs="方正仿宋_GBK"/>
          <w:b w:val="0"/>
          <w:bCs/>
          <w:sz w:val="32"/>
          <w:szCs w:val="32"/>
          <w:shd w:val="clear" w:color="auto" w:fill="FFFFFF"/>
        </w:rPr>
        <w:t>2.收入情况。</w:t>
      </w:r>
      <w:r>
        <w:rPr>
          <w:rFonts w:ascii="Times New Roman" w:hAnsi="Times New Roman" w:eastAsia="方正仿宋_GBK" w:cs="方正仿宋_GBK"/>
          <w:b w:val="0"/>
          <w:bCs/>
          <w:sz w:val="32"/>
          <w:szCs w:val="32"/>
          <w:shd w:val="clear" w:color="auto" w:fill="FFFFFF"/>
        </w:rPr>
        <w:t>2023年度收入合计</w:t>
      </w:r>
      <w:r>
        <w:rPr>
          <w:rFonts w:hint="eastAsia" w:ascii="Times New Roman" w:hAnsi="Times New Roman" w:eastAsia="方正仿宋_GBK" w:cs="方正仿宋_GBK"/>
          <w:b w:val="0"/>
          <w:bCs/>
          <w:sz w:val="32"/>
          <w:szCs w:val="32"/>
          <w:shd w:val="clear" w:color="auto" w:fill="FFFFFF"/>
        </w:rPr>
        <w:t>65.67</w:t>
      </w:r>
      <w:r>
        <w:rPr>
          <w:rFonts w:ascii="Times New Roman" w:hAnsi="Times New Roman" w:eastAsia="方正仿宋_GBK" w:cs="方正仿宋_GBK"/>
          <w:b w:val="0"/>
          <w:bCs/>
          <w:sz w:val="32"/>
          <w:szCs w:val="32"/>
          <w:shd w:val="clear" w:color="auto" w:fill="FFFFFF"/>
        </w:rPr>
        <w:t>万元，较上年决算数减少3.27万元，下降4.74%，主要原因是</w:t>
      </w:r>
      <w:r>
        <w:rPr>
          <w:rFonts w:hint="eastAsia" w:ascii="Times New Roman" w:hAnsi="Times New Roman" w:eastAsia="方正仿宋_GBK" w:cs="方正仿宋_GBK"/>
          <w:b w:val="0"/>
          <w:bCs/>
          <w:sz w:val="32"/>
          <w:szCs w:val="32"/>
          <w:shd w:val="clear" w:color="auto" w:fill="FFFFFF"/>
          <w:lang w:val="en-US" w:eastAsia="zh-CN"/>
        </w:rPr>
        <w:t>2023年一般公共预算财政拨款较上年减少。</w:t>
      </w:r>
      <w:r>
        <w:rPr>
          <w:rFonts w:ascii="Times New Roman" w:hAnsi="Times New Roman" w:eastAsia="方正仿宋_GBK" w:cs="方正仿宋_GBK"/>
          <w:b w:val="0"/>
          <w:bCs/>
          <w:sz w:val="32"/>
          <w:szCs w:val="32"/>
          <w:shd w:val="clear" w:color="auto" w:fill="FFFFFF"/>
        </w:rPr>
        <w:t>其中：财政拨款收入</w:t>
      </w:r>
      <w:r>
        <w:rPr>
          <w:rFonts w:ascii="Times New Roman" w:hAnsi="Times New Roman" w:eastAsia="方正仿宋_GBK" w:cs="方正仿宋_GBK"/>
          <w:b w:val="0"/>
          <w:bCs/>
          <w:sz w:val="32"/>
          <w:szCs w:val="32"/>
        </w:rPr>
        <w:t>65.67</w:t>
      </w:r>
      <w:r>
        <w:rPr>
          <w:rFonts w:ascii="Times New Roman" w:hAnsi="Times New Roman" w:eastAsia="方正仿宋_GBK" w:cs="方正仿宋_GBK"/>
          <w:b w:val="0"/>
          <w:bCs/>
          <w:sz w:val="32"/>
          <w:szCs w:val="32"/>
          <w:shd w:val="clear" w:color="auto" w:fill="FFFFFF"/>
        </w:rPr>
        <w:t>万元，占</w:t>
      </w:r>
      <w:r>
        <w:rPr>
          <w:rFonts w:ascii="Times New Roman" w:hAnsi="Times New Roman" w:eastAsia="方正仿宋_GBK" w:cs="方正仿宋_GBK"/>
          <w:b w:val="0"/>
          <w:bCs/>
          <w:sz w:val="32"/>
          <w:szCs w:val="32"/>
        </w:rPr>
        <w:t>100.00</w:t>
      </w:r>
      <w:r>
        <w:rPr>
          <w:rFonts w:ascii="Times New Roman" w:hAnsi="Times New Roman" w:eastAsia="方正仿宋_GBK" w:cs="方正仿宋_GBK"/>
          <w:b w:val="0"/>
          <w:bCs/>
          <w:sz w:val="32"/>
          <w:szCs w:val="32"/>
          <w:shd w:val="clear" w:color="auto" w:fill="FFFFFF"/>
        </w:rPr>
        <w:t>%；事业收入</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万元，占0.00%；经营收入</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万元，占0.00%；其他收入</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万元，占0.00%。此外，使用非财政拨款结余和专用结余</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万元，年初结转和结余</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w:t>
      </w:r>
    </w:p>
    <w:p w14:paraId="53972A14">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sz w:val="32"/>
          <w:szCs w:val="32"/>
          <w:shd w:val="clear" w:color="auto" w:fill="FFFFFF"/>
        </w:rPr>
      </w:pPr>
      <w:r>
        <w:rPr>
          <w:rStyle w:val="9"/>
          <w:rFonts w:ascii="Times New Roman" w:hAnsi="Times New Roman" w:eastAsia="方正仿宋_GBK" w:cs="方正仿宋_GBK"/>
          <w:b w:val="0"/>
          <w:bCs/>
          <w:sz w:val="32"/>
          <w:szCs w:val="32"/>
          <w:shd w:val="clear" w:color="auto" w:fill="FFFFFF"/>
        </w:rPr>
        <w:t>3.支出情况。</w:t>
      </w:r>
      <w:r>
        <w:rPr>
          <w:rFonts w:ascii="Times New Roman" w:hAnsi="Times New Roman" w:eastAsia="方正仿宋_GBK" w:cs="方正仿宋_GBK"/>
          <w:b w:val="0"/>
          <w:bCs/>
          <w:sz w:val="32"/>
          <w:szCs w:val="32"/>
          <w:shd w:val="clear" w:color="auto" w:fill="FFFFFF"/>
        </w:rPr>
        <w:t>2023年度支出合计</w:t>
      </w:r>
      <w:r>
        <w:rPr>
          <w:rFonts w:ascii="Times New Roman" w:hAnsi="Times New Roman" w:eastAsia="方正仿宋_GBK" w:cs="方正仿宋_GBK"/>
          <w:b w:val="0"/>
          <w:bCs/>
          <w:sz w:val="32"/>
          <w:szCs w:val="32"/>
        </w:rPr>
        <w:t>65.67</w:t>
      </w:r>
      <w:r>
        <w:rPr>
          <w:rFonts w:ascii="Times New Roman" w:hAnsi="Times New Roman" w:eastAsia="方正仿宋_GBK" w:cs="方正仿宋_GBK"/>
          <w:b w:val="0"/>
          <w:bCs/>
          <w:sz w:val="32"/>
          <w:szCs w:val="32"/>
          <w:shd w:val="clear" w:color="auto" w:fill="FFFFFF"/>
        </w:rPr>
        <w:t>万元，较上年决算数减少3.27万元，下降4.74%，主要原因是</w:t>
      </w:r>
      <w:r>
        <w:rPr>
          <w:rFonts w:hint="eastAsia" w:ascii="Times New Roman" w:hAnsi="Times New Roman" w:eastAsia="方正仿宋_GBK" w:cs="方正仿宋_GBK"/>
          <w:b w:val="0"/>
          <w:bCs/>
          <w:sz w:val="32"/>
          <w:szCs w:val="32"/>
          <w:shd w:val="clear" w:color="auto" w:fill="FFFFFF"/>
          <w:lang w:val="en-US" w:eastAsia="zh-CN"/>
        </w:rPr>
        <w:t>2023年</w:t>
      </w:r>
      <w:r>
        <w:rPr>
          <w:rFonts w:hint="eastAsia" w:ascii="Times New Roman" w:hAnsi="Times New Roman" w:eastAsia="方正仿宋_GBK" w:cs="方正仿宋_GBK"/>
          <w:b w:val="0"/>
          <w:bCs/>
          <w:sz w:val="32"/>
          <w:szCs w:val="32"/>
          <w:highlight w:val="none"/>
          <w:shd w:val="clear" w:color="auto" w:fill="FFFFFF"/>
          <w:lang w:val="en-US" w:eastAsia="zh-CN"/>
        </w:rPr>
        <w:t>本单位落实过紧日子的财政政策压缩日常支出</w:t>
      </w:r>
      <w:r>
        <w:rPr>
          <w:rFonts w:hint="eastAsia" w:ascii="Times New Roman" w:hAnsi="Times New Roman" w:eastAsia="方正仿宋_GBK" w:cs="方正仿宋_GBK"/>
          <w:b w:val="0"/>
          <w:bCs/>
          <w:sz w:val="32"/>
          <w:szCs w:val="32"/>
          <w:shd w:val="clear" w:color="auto" w:fill="FFFFFF"/>
          <w:lang w:val="en-US" w:eastAsia="zh-CN"/>
        </w:rPr>
        <w:t>。</w:t>
      </w:r>
      <w:r>
        <w:rPr>
          <w:rFonts w:ascii="Times New Roman" w:hAnsi="Times New Roman" w:eastAsia="方正仿宋_GBK" w:cs="方正仿宋_GBK"/>
          <w:b w:val="0"/>
          <w:bCs/>
          <w:sz w:val="32"/>
          <w:szCs w:val="32"/>
          <w:shd w:val="clear" w:color="auto" w:fill="FFFFFF"/>
        </w:rPr>
        <w:t>其中：基本支出</w:t>
      </w:r>
      <w:r>
        <w:rPr>
          <w:rFonts w:ascii="Times New Roman" w:hAnsi="Times New Roman" w:eastAsia="方正仿宋_GBK" w:cs="方正仿宋_GBK"/>
          <w:b w:val="0"/>
          <w:bCs/>
          <w:sz w:val="32"/>
          <w:szCs w:val="32"/>
        </w:rPr>
        <w:t>65.67</w:t>
      </w:r>
      <w:r>
        <w:rPr>
          <w:rFonts w:ascii="Times New Roman" w:hAnsi="Times New Roman" w:eastAsia="方正仿宋_GBK" w:cs="方正仿宋_GBK"/>
          <w:b w:val="0"/>
          <w:bCs/>
          <w:sz w:val="32"/>
          <w:szCs w:val="32"/>
          <w:shd w:val="clear" w:color="auto" w:fill="FFFFFF"/>
        </w:rPr>
        <w:t>万元，占100.00%；项目支出</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万元，占0.00%；经营支出</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万元，占0.00%。此外，结余分配</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w:t>
      </w:r>
    </w:p>
    <w:p w14:paraId="5B5F66E6">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lang w:eastAsia="zh-CN"/>
        </w:rPr>
      </w:pPr>
      <w:r>
        <w:rPr>
          <w:rStyle w:val="9"/>
          <w:rFonts w:ascii="Times New Roman" w:hAnsi="Times New Roman" w:eastAsia="方正仿宋_GBK" w:cs="方正仿宋_GBK"/>
          <w:b w:val="0"/>
          <w:bCs/>
          <w:sz w:val="32"/>
          <w:szCs w:val="32"/>
          <w:shd w:val="clear" w:color="auto" w:fill="FFFFFF"/>
        </w:rPr>
        <w:t>4.结转结余情况。</w:t>
      </w:r>
      <w:r>
        <w:rPr>
          <w:rFonts w:ascii="Times New Roman" w:hAnsi="Times New Roman" w:eastAsia="方正仿宋_GBK" w:cs="方正仿宋_GBK"/>
          <w:b w:val="0"/>
          <w:bCs/>
          <w:sz w:val="32"/>
          <w:szCs w:val="32"/>
          <w:shd w:val="clear" w:color="auto" w:fill="FFFFFF"/>
        </w:rPr>
        <w:t>2023年度年末结转和结余</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万元，较上年决算数无增减</w:t>
      </w:r>
      <w:r>
        <w:rPr>
          <w:rFonts w:hint="eastAsia" w:ascii="Times New Roman" w:hAnsi="Times New Roman" w:eastAsia="方正仿宋_GBK" w:cs="方正仿宋_GBK"/>
          <w:b w:val="0"/>
          <w:bCs/>
          <w:sz w:val="32"/>
          <w:szCs w:val="32"/>
          <w:shd w:val="clear" w:color="auto" w:fill="FFFFFF"/>
          <w:lang w:eastAsia="zh-CN"/>
        </w:rPr>
        <w:t>。</w:t>
      </w:r>
    </w:p>
    <w:p w14:paraId="171B76D4">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eastAsia" w:ascii="方正楷体_GBK" w:hAnsi="方正楷体_GBK" w:eastAsia="方正楷体_GBK" w:cs="方正楷体_GBK"/>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（二）财政拨款收入支出决算总体情况说明</w:t>
      </w:r>
    </w:p>
    <w:p w14:paraId="638D4CE5">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ind w:firstLine="640" w:firstLineChars="200"/>
        <w:textAlignment w:val="auto"/>
        <w:rPr>
          <w:rFonts w:hint="default" w:ascii="Times New Roman" w:hAnsi="Times New Roman" w:eastAsia="方正仿宋_GBK" w:cs="方正仿宋_GBK"/>
          <w:b w:val="0"/>
          <w:bCs/>
          <w:sz w:val="32"/>
          <w:szCs w:val="32"/>
        </w:rPr>
      </w:pPr>
      <w:r>
        <w:rPr>
          <w:rFonts w:ascii="Times New Roman" w:hAnsi="Times New Roman" w:eastAsia="方正仿宋_GBK" w:cs="方正仿宋_GBK"/>
          <w:b w:val="0"/>
          <w:bCs/>
          <w:sz w:val="32"/>
          <w:szCs w:val="32"/>
          <w:shd w:val="clear" w:color="auto" w:fill="FFFFFF"/>
        </w:rPr>
        <w:t>2023年度财政拨款收、支总计</w:t>
      </w:r>
      <w:r>
        <w:rPr>
          <w:rFonts w:hint="eastAsia" w:ascii="Times New Roman" w:hAnsi="Times New Roman" w:eastAsia="方正仿宋_GBK" w:cs="方正仿宋_GBK"/>
          <w:b w:val="0"/>
          <w:bCs/>
          <w:sz w:val="32"/>
          <w:szCs w:val="32"/>
          <w:shd w:val="clear" w:color="auto" w:fill="FFFFFF"/>
        </w:rPr>
        <w:t>65.67</w:t>
      </w:r>
      <w:r>
        <w:rPr>
          <w:rFonts w:ascii="Times New Roman" w:hAnsi="Times New Roman" w:eastAsia="方正仿宋_GBK" w:cs="方正仿宋_GBK"/>
          <w:b w:val="0"/>
          <w:bCs/>
          <w:sz w:val="32"/>
          <w:szCs w:val="32"/>
          <w:shd w:val="clear" w:color="auto" w:fill="FFFFFF"/>
        </w:rPr>
        <w:t>万元。与2022年相比，财政拨款收、支总计各减少3.27万元，下降4.74%。主要原因是</w:t>
      </w:r>
      <w:r>
        <w:rPr>
          <w:rFonts w:hint="eastAsia" w:ascii="Times New Roman" w:hAnsi="Times New Roman" w:eastAsia="方正仿宋_GBK" w:cs="方正仿宋_GBK"/>
          <w:b w:val="0"/>
          <w:bCs/>
          <w:sz w:val="32"/>
          <w:szCs w:val="32"/>
          <w:shd w:val="clear" w:color="auto" w:fill="FFFFFF"/>
          <w:lang w:val="en-US" w:eastAsia="zh-CN"/>
        </w:rPr>
        <w:t>2023年一般公共预算财政拨款较上年减少、</w:t>
      </w:r>
      <w:r>
        <w:rPr>
          <w:rFonts w:hint="eastAsia" w:ascii="Times New Roman" w:hAnsi="Times New Roman" w:eastAsia="方正仿宋_GBK" w:cs="方正仿宋_GBK"/>
          <w:b w:val="0"/>
          <w:bCs/>
          <w:sz w:val="32"/>
          <w:szCs w:val="32"/>
          <w:highlight w:val="none"/>
          <w:shd w:val="clear" w:color="auto" w:fill="FFFFFF"/>
          <w:lang w:val="en-US" w:eastAsia="zh-CN"/>
        </w:rPr>
        <w:t>本单位落实过紧日子的财政政策压缩日常支出</w:t>
      </w:r>
      <w:r>
        <w:rPr>
          <w:rFonts w:hint="eastAsia" w:ascii="Times New Roman" w:hAnsi="Times New Roman" w:eastAsia="方正仿宋_GBK" w:cs="方正仿宋_GBK"/>
          <w:b w:val="0"/>
          <w:bCs/>
          <w:sz w:val="32"/>
          <w:szCs w:val="32"/>
          <w:shd w:val="clear" w:color="auto" w:fill="FFFFFF"/>
          <w:lang w:val="en-US" w:eastAsia="zh-CN"/>
        </w:rPr>
        <w:t>。</w:t>
      </w:r>
    </w:p>
    <w:p w14:paraId="332E884A">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eastAsia" w:ascii="方正楷体_GBK" w:hAnsi="方正楷体_GBK" w:eastAsia="方正楷体_GBK" w:cs="方正楷体_GBK"/>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（三）一般公共预算财政拨款收入支出决算情况说明</w:t>
      </w:r>
    </w:p>
    <w:p w14:paraId="023C37B7">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sz w:val="32"/>
          <w:szCs w:val="32"/>
        </w:rPr>
      </w:pPr>
      <w:r>
        <w:rPr>
          <w:rStyle w:val="9"/>
          <w:rFonts w:ascii="Times New Roman" w:hAnsi="Times New Roman" w:eastAsia="方正仿宋_GBK" w:cs="方正仿宋_GBK"/>
          <w:b w:val="0"/>
          <w:bCs/>
          <w:sz w:val="32"/>
          <w:szCs w:val="32"/>
          <w:shd w:val="clear" w:color="auto" w:fill="FFFFFF"/>
        </w:rPr>
        <w:t>1.收入情况。</w:t>
      </w:r>
      <w:r>
        <w:rPr>
          <w:rFonts w:ascii="Times New Roman" w:hAnsi="Times New Roman" w:eastAsia="方正仿宋_GBK" w:cs="方正仿宋_GBK"/>
          <w:b w:val="0"/>
          <w:bCs/>
          <w:sz w:val="32"/>
          <w:szCs w:val="32"/>
          <w:shd w:val="clear" w:color="auto" w:fill="FFFFFF"/>
        </w:rPr>
        <w:t>2023年度一般公共预算财政拨款收入</w:t>
      </w:r>
      <w:r>
        <w:rPr>
          <w:rFonts w:ascii="Times New Roman" w:hAnsi="Times New Roman" w:eastAsia="方正仿宋_GBK" w:cs="方正仿宋_GBK"/>
          <w:b w:val="0"/>
          <w:bCs/>
          <w:sz w:val="32"/>
          <w:szCs w:val="32"/>
        </w:rPr>
        <w:t>65.67</w:t>
      </w:r>
      <w:r>
        <w:rPr>
          <w:rFonts w:ascii="Times New Roman" w:hAnsi="Times New Roman" w:eastAsia="方正仿宋_GBK" w:cs="方正仿宋_GBK"/>
          <w:b w:val="0"/>
          <w:bCs/>
          <w:sz w:val="32"/>
          <w:szCs w:val="32"/>
          <w:shd w:val="clear" w:color="auto" w:fill="FFFFFF"/>
        </w:rPr>
        <w:t>万元，较上年决算数减少3.27万元，下降4.74%。主要原因是</w:t>
      </w:r>
      <w:r>
        <w:rPr>
          <w:rFonts w:hint="eastAsia" w:ascii="Times New Roman" w:hAnsi="Times New Roman" w:eastAsia="方正仿宋_GBK" w:cs="方正仿宋_GBK"/>
          <w:b w:val="0"/>
          <w:bCs/>
          <w:sz w:val="32"/>
          <w:szCs w:val="32"/>
          <w:shd w:val="clear" w:color="auto" w:fill="FFFFFF"/>
          <w:lang w:val="en-US" w:eastAsia="zh-CN"/>
        </w:rPr>
        <w:t>2023年一般公共预算财政拨款较上年减少。</w:t>
      </w:r>
      <w:r>
        <w:rPr>
          <w:rFonts w:ascii="Times New Roman" w:hAnsi="Times New Roman" w:eastAsia="方正仿宋_GBK" w:cs="方正仿宋_GBK"/>
          <w:b w:val="0"/>
          <w:bCs/>
          <w:sz w:val="32"/>
          <w:szCs w:val="32"/>
          <w:shd w:val="clear" w:color="auto" w:fill="FFFFFF"/>
        </w:rPr>
        <w:t>较年初预算数减少12.03万元，下降15.48%。主要原因是</w:t>
      </w:r>
      <w:r>
        <w:rPr>
          <w:rFonts w:hint="eastAsia" w:ascii="Times New Roman" w:hAnsi="Times New Roman" w:eastAsia="方正仿宋_GBK" w:cs="方正仿宋_GBK"/>
          <w:b w:val="0"/>
          <w:bCs/>
          <w:sz w:val="32"/>
          <w:szCs w:val="32"/>
          <w:shd w:val="clear" w:color="auto" w:fill="FFFFFF"/>
          <w:lang w:eastAsia="zh-CN"/>
        </w:rPr>
        <w:t>年中追减预算。</w:t>
      </w:r>
      <w:r>
        <w:rPr>
          <w:rFonts w:ascii="Times New Roman" w:hAnsi="Times New Roman" w:eastAsia="方正仿宋_GBK" w:cs="方正仿宋_GBK"/>
          <w:b w:val="0"/>
          <w:bCs/>
          <w:sz w:val="32"/>
          <w:szCs w:val="32"/>
          <w:shd w:val="clear" w:color="auto" w:fill="FFFFFF"/>
        </w:rPr>
        <w:t>此外，年初财政拨款结转和结余</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w:t>
      </w:r>
    </w:p>
    <w:p w14:paraId="0DDFB2EB">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ind w:firstLine="640" w:firstLineChars="200"/>
        <w:textAlignment w:val="auto"/>
        <w:rPr>
          <w:rFonts w:hint="eastAsia" w:ascii="Times New Roman" w:hAnsi="Times New Roman" w:eastAsia="方正仿宋_GBK" w:cs="方正仿宋_GBK"/>
          <w:b w:val="0"/>
          <w:bCs/>
          <w:sz w:val="32"/>
          <w:szCs w:val="32"/>
          <w:lang w:eastAsia="zh-CN"/>
        </w:rPr>
      </w:pPr>
      <w:r>
        <w:rPr>
          <w:rStyle w:val="9"/>
          <w:rFonts w:ascii="Times New Roman" w:hAnsi="Times New Roman" w:eastAsia="方正仿宋_GBK" w:cs="方正仿宋_GBK"/>
          <w:b w:val="0"/>
          <w:bCs/>
          <w:sz w:val="32"/>
          <w:szCs w:val="32"/>
          <w:shd w:val="clear" w:color="auto" w:fill="FFFFFF"/>
        </w:rPr>
        <w:t>2.支出情况。</w:t>
      </w:r>
      <w:r>
        <w:rPr>
          <w:rFonts w:ascii="Times New Roman" w:hAnsi="Times New Roman" w:eastAsia="方正仿宋_GBK" w:cs="方正仿宋_GBK"/>
          <w:b w:val="0"/>
          <w:bCs/>
          <w:sz w:val="32"/>
          <w:szCs w:val="32"/>
          <w:shd w:val="clear" w:color="auto" w:fill="FFFFFF"/>
        </w:rPr>
        <w:t>2023年度一般公共预算财政拨款支出</w:t>
      </w:r>
      <w:r>
        <w:rPr>
          <w:rFonts w:ascii="Times New Roman" w:hAnsi="Times New Roman" w:eastAsia="方正仿宋_GBK" w:cs="方正仿宋_GBK"/>
          <w:b w:val="0"/>
          <w:bCs/>
          <w:sz w:val="32"/>
          <w:szCs w:val="32"/>
        </w:rPr>
        <w:t>65.67</w:t>
      </w:r>
      <w:r>
        <w:rPr>
          <w:rFonts w:ascii="Times New Roman" w:hAnsi="Times New Roman" w:eastAsia="方正仿宋_GBK" w:cs="方正仿宋_GBK"/>
          <w:b w:val="0"/>
          <w:bCs/>
          <w:sz w:val="32"/>
          <w:szCs w:val="32"/>
          <w:shd w:val="clear" w:color="auto" w:fill="FFFFFF"/>
        </w:rPr>
        <w:t>万元，较上年决算数减少3.27万元，下降4.74%。主要原因是</w:t>
      </w:r>
      <w:r>
        <w:rPr>
          <w:rFonts w:hint="eastAsia" w:ascii="Times New Roman" w:hAnsi="Times New Roman" w:eastAsia="方正仿宋_GBK" w:cs="方正仿宋_GBK"/>
          <w:b w:val="0"/>
          <w:bCs/>
          <w:sz w:val="32"/>
          <w:szCs w:val="32"/>
          <w:shd w:val="clear" w:color="auto" w:fill="FFFFFF"/>
          <w:lang w:val="en-US" w:eastAsia="zh-CN"/>
        </w:rPr>
        <w:t>2023年</w:t>
      </w:r>
      <w:r>
        <w:rPr>
          <w:rFonts w:hint="eastAsia" w:ascii="Times New Roman" w:hAnsi="Times New Roman" w:eastAsia="方正仿宋_GBK" w:cs="方正仿宋_GBK"/>
          <w:b w:val="0"/>
          <w:bCs/>
          <w:sz w:val="32"/>
          <w:szCs w:val="32"/>
          <w:highlight w:val="none"/>
          <w:shd w:val="clear" w:color="auto" w:fill="FFFFFF"/>
          <w:lang w:val="en-US" w:eastAsia="zh-CN"/>
        </w:rPr>
        <w:t>本单位落实过紧日子的财政政策压缩日常支出</w:t>
      </w:r>
      <w:r>
        <w:rPr>
          <w:rFonts w:hint="eastAsia" w:ascii="Times New Roman" w:hAnsi="Times New Roman" w:eastAsia="方正仿宋_GBK" w:cs="方正仿宋_GBK"/>
          <w:b w:val="0"/>
          <w:bCs/>
          <w:sz w:val="32"/>
          <w:szCs w:val="32"/>
          <w:shd w:val="clear" w:color="auto" w:fill="FFFFFF"/>
          <w:lang w:val="en-US" w:eastAsia="zh-CN"/>
        </w:rPr>
        <w:t>。</w:t>
      </w:r>
      <w:r>
        <w:rPr>
          <w:rFonts w:ascii="Times New Roman" w:hAnsi="Times New Roman" w:eastAsia="方正仿宋_GBK" w:cs="方正仿宋_GBK"/>
          <w:b w:val="0"/>
          <w:bCs/>
          <w:sz w:val="32"/>
          <w:szCs w:val="32"/>
          <w:shd w:val="clear" w:color="auto" w:fill="FFFFFF"/>
        </w:rPr>
        <w:t>较年初预算数减少12.03万元，下降15.48%。主要原因是主要原因是</w:t>
      </w:r>
      <w:r>
        <w:rPr>
          <w:rFonts w:hint="eastAsia" w:ascii="Times New Roman" w:hAnsi="Times New Roman" w:eastAsia="方正仿宋_GBK" w:cs="方正仿宋_GBK"/>
          <w:b w:val="0"/>
          <w:bCs/>
          <w:sz w:val="32"/>
          <w:szCs w:val="32"/>
          <w:shd w:val="clear" w:color="auto" w:fill="FFFFFF"/>
          <w:lang w:eastAsia="zh-CN"/>
        </w:rPr>
        <w:t>年中追减预算。</w:t>
      </w:r>
    </w:p>
    <w:p w14:paraId="358B94BF">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ascii="Times New Roman" w:hAnsi="Times New Roman" w:eastAsia="方正仿宋_GBK" w:cs="方正仿宋_GBK"/>
          <w:b w:val="0"/>
          <w:bCs/>
          <w:sz w:val="32"/>
          <w:szCs w:val="32"/>
          <w:shd w:val="clear" w:color="auto" w:fill="FFFFFF"/>
        </w:rPr>
      </w:pPr>
      <w:r>
        <w:rPr>
          <w:rStyle w:val="9"/>
          <w:rFonts w:ascii="Times New Roman" w:hAnsi="Times New Roman" w:eastAsia="方正仿宋_GBK" w:cs="方正仿宋_GBK"/>
          <w:b w:val="0"/>
          <w:bCs/>
          <w:sz w:val="32"/>
          <w:szCs w:val="32"/>
          <w:shd w:val="clear" w:color="auto" w:fill="FFFFFF"/>
        </w:rPr>
        <w:t>3.结转结余情况。</w:t>
      </w:r>
      <w:r>
        <w:rPr>
          <w:rFonts w:ascii="Times New Roman" w:hAnsi="Times New Roman" w:eastAsia="方正仿宋_GBK" w:cs="方正仿宋_GBK"/>
          <w:b w:val="0"/>
          <w:bCs/>
          <w:sz w:val="32"/>
          <w:szCs w:val="32"/>
          <w:shd w:val="clear" w:color="auto" w:fill="FFFFFF"/>
        </w:rPr>
        <w:t>2023年度年末一般公共预算财政拨款结转和结余</w:t>
      </w:r>
      <w:r>
        <w:rPr>
          <w:rFonts w:ascii="Times New Roman" w:hAnsi="Times New Roman" w:eastAsia="方正仿宋_GBK" w:cs="方正仿宋_GBK"/>
          <w:b w:val="0"/>
          <w:bCs/>
          <w:sz w:val="32"/>
          <w:szCs w:val="32"/>
        </w:rPr>
        <w:t>0.00</w:t>
      </w:r>
      <w:r>
        <w:rPr>
          <w:rFonts w:ascii="Times New Roman" w:hAnsi="Times New Roman" w:eastAsia="方正仿宋_GBK" w:cs="方正仿宋_GBK"/>
          <w:b w:val="0"/>
          <w:bCs/>
          <w:sz w:val="32"/>
          <w:szCs w:val="32"/>
          <w:shd w:val="clear" w:color="auto" w:fill="FFFFFF"/>
        </w:rPr>
        <w:t>万元，较上年决算数无增减</w:t>
      </w:r>
    </w:p>
    <w:p w14:paraId="571F694F">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color w:val="FF0000"/>
          <w:sz w:val="32"/>
          <w:szCs w:val="32"/>
          <w:highlight w:val="cyan"/>
          <w:shd w:val="clear" w:color="auto" w:fill="FFFFFF"/>
        </w:rPr>
      </w:pPr>
      <w:r>
        <w:rPr>
          <w:rStyle w:val="9"/>
          <w:rFonts w:ascii="Times New Roman" w:hAnsi="Times New Roman" w:eastAsia="方正仿宋_GBK" w:cs="方正仿宋_GBK"/>
          <w:b w:val="0"/>
          <w:bCs/>
          <w:sz w:val="32"/>
          <w:szCs w:val="32"/>
          <w:shd w:val="clear" w:color="auto" w:fill="FFFFFF"/>
        </w:rPr>
        <w:t xml:space="preserve"> 4.比较情况。</w:t>
      </w:r>
      <w:r>
        <w:rPr>
          <w:rFonts w:ascii="Times New Roman" w:hAnsi="Times New Roman" w:eastAsia="方正仿宋_GBK" w:cs="方正仿宋_GBK"/>
          <w:b w:val="0"/>
          <w:bCs/>
          <w:sz w:val="32"/>
          <w:szCs w:val="32"/>
          <w:shd w:val="clear" w:color="auto" w:fill="FFFFFF"/>
        </w:rPr>
        <w:t>本部门2023年度一般公共预算财政拨款支出主要用于以下几个方面：</w:t>
      </w:r>
    </w:p>
    <w:p w14:paraId="2F7D3217">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shd w:val="clear" w:color="auto" w:fill="FFFFFF"/>
          <w:lang w:eastAsia="zh-CN"/>
        </w:rPr>
      </w:pPr>
      <w:r>
        <w:rPr>
          <w:rFonts w:ascii="Times New Roman" w:hAnsi="Times New Roman" w:eastAsia="方正仿宋_GBK" w:cs="方正仿宋_GBK"/>
          <w:b w:val="0"/>
          <w:bCs/>
          <w:sz w:val="32"/>
          <w:szCs w:val="32"/>
          <w:shd w:val="clear" w:color="auto" w:fill="FFFFFF"/>
        </w:rPr>
        <w:t>（</w:t>
      </w:r>
      <w:r>
        <w:rPr>
          <w:rFonts w:hint="eastAsia" w:ascii="Times New Roman" w:hAnsi="Times New Roman" w:eastAsia="方正仿宋_GBK" w:cs="方正仿宋_GBK"/>
          <w:b w:val="0"/>
          <w:bCs/>
          <w:sz w:val="32"/>
          <w:szCs w:val="32"/>
          <w:shd w:val="clear" w:color="auto" w:fill="FFFFFF"/>
          <w:lang w:val="en-US" w:eastAsia="zh-CN"/>
        </w:rPr>
        <w:t>1</w:t>
      </w:r>
      <w:r>
        <w:rPr>
          <w:rFonts w:ascii="Times New Roman" w:hAnsi="Times New Roman" w:eastAsia="方正仿宋_GBK" w:cs="方正仿宋_GBK"/>
          <w:b w:val="0"/>
          <w:bCs/>
          <w:sz w:val="32"/>
          <w:szCs w:val="32"/>
          <w:shd w:val="clear" w:color="auto" w:fill="FFFFFF"/>
        </w:rPr>
        <w:t>）社会保障与就业支出</w:t>
      </w:r>
      <w:r>
        <w:rPr>
          <w:rFonts w:ascii="Times New Roman" w:hAnsi="Times New Roman" w:eastAsia="方正仿宋_GBK" w:cs="方正仿宋_GBK"/>
          <w:b w:val="0"/>
          <w:bCs/>
          <w:sz w:val="32"/>
          <w:szCs w:val="32"/>
        </w:rPr>
        <w:t>58.00</w:t>
      </w:r>
      <w:r>
        <w:rPr>
          <w:rFonts w:ascii="Times New Roman" w:hAnsi="Times New Roman" w:eastAsia="方正仿宋_GBK" w:cs="方正仿宋_GBK"/>
          <w:b w:val="0"/>
          <w:bCs/>
          <w:sz w:val="32"/>
          <w:szCs w:val="32"/>
          <w:shd w:val="clear" w:color="auto" w:fill="FFFFFF"/>
        </w:rPr>
        <w:t>万元，占</w:t>
      </w:r>
      <w:r>
        <w:rPr>
          <w:rFonts w:ascii="Times New Roman" w:hAnsi="Times New Roman" w:eastAsia="方正仿宋_GBK" w:cs="方正仿宋_GBK"/>
          <w:b w:val="0"/>
          <w:bCs/>
          <w:sz w:val="32"/>
          <w:szCs w:val="32"/>
        </w:rPr>
        <w:t>88.32</w:t>
      </w:r>
      <w:r>
        <w:rPr>
          <w:rFonts w:ascii="Times New Roman" w:hAnsi="Times New Roman" w:eastAsia="方正仿宋_GBK" w:cs="方正仿宋_GBK"/>
          <w:b w:val="0"/>
          <w:bCs/>
          <w:sz w:val="32"/>
          <w:szCs w:val="32"/>
          <w:shd w:val="clear" w:color="auto" w:fill="FFFFFF"/>
        </w:rPr>
        <w:t>%，较年初预算数减少12.47万元，下降17.70%，主要原因是</w:t>
      </w:r>
      <w:r>
        <w:rPr>
          <w:rFonts w:hint="eastAsia" w:ascii="Times New Roman" w:hAnsi="Times New Roman" w:eastAsia="方正仿宋_GBK" w:cs="方正仿宋_GBK"/>
          <w:b w:val="0"/>
          <w:bCs/>
          <w:sz w:val="32"/>
          <w:szCs w:val="32"/>
          <w:shd w:val="clear" w:color="auto" w:fill="FFFFFF"/>
          <w:lang w:eastAsia="zh-CN"/>
        </w:rPr>
        <w:t>年中追减预算。</w:t>
      </w:r>
    </w:p>
    <w:p w14:paraId="64D5E5BA">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sz w:val="32"/>
          <w:szCs w:val="32"/>
          <w:shd w:val="clear" w:color="auto" w:fill="FFFFFF"/>
        </w:rPr>
      </w:pPr>
      <w:r>
        <w:rPr>
          <w:rFonts w:ascii="Times New Roman" w:hAnsi="Times New Roman" w:eastAsia="方正仿宋_GBK" w:cs="方正仿宋_GBK"/>
          <w:b w:val="0"/>
          <w:bCs/>
          <w:sz w:val="32"/>
          <w:szCs w:val="32"/>
          <w:shd w:val="clear" w:color="auto" w:fill="FFFFFF"/>
        </w:rPr>
        <w:t>（</w:t>
      </w:r>
      <w:r>
        <w:rPr>
          <w:rFonts w:hint="eastAsia" w:ascii="Times New Roman" w:hAnsi="Times New Roman" w:eastAsia="方正仿宋_GBK" w:cs="方正仿宋_GBK"/>
          <w:b w:val="0"/>
          <w:bCs/>
          <w:sz w:val="32"/>
          <w:szCs w:val="32"/>
          <w:shd w:val="clear" w:color="auto" w:fill="FFFFFF"/>
          <w:lang w:val="en-US" w:eastAsia="zh-CN"/>
        </w:rPr>
        <w:t>2</w:t>
      </w:r>
      <w:r>
        <w:rPr>
          <w:rFonts w:ascii="Times New Roman" w:hAnsi="Times New Roman" w:eastAsia="方正仿宋_GBK" w:cs="方正仿宋_GBK"/>
          <w:b w:val="0"/>
          <w:bCs/>
          <w:sz w:val="32"/>
          <w:szCs w:val="32"/>
          <w:shd w:val="clear" w:color="auto" w:fill="FFFFFF"/>
        </w:rPr>
        <w:t>）卫生健康支出</w:t>
      </w:r>
      <w:r>
        <w:rPr>
          <w:rFonts w:ascii="Times New Roman" w:hAnsi="Times New Roman" w:eastAsia="方正仿宋_GBK" w:cs="方正仿宋_GBK"/>
          <w:b w:val="0"/>
          <w:bCs/>
          <w:sz w:val="32"/>
          <w:szCs w:val="32"/>
        </w:rPr>
        <w:t>3.39</w:t>
      </w:r>
      <w:r>
        <w:rPr>
          <w:rFonts w:ascii="Times New Roman" w:hAnsi="Times New Roman" w:eastAsia="方正仿宋_GBK" w:cs="方正仿宋_GBK"/>
          <w:b w:val="0"/>
          <w:bCs/>
          <w:sz w:val="32"/>
          <w:szCs w:val="32"/>
          <w:shd w:val="clear" w:color="auto" w:fill="FFFFFF"/>
        </w:rPr>
        <w:t>万元，占</w:t>
      </w:r>
      <w:r>
        <w:rPr>
          <w:rFonts w:ascii="Times New Roman" w:hAnsi="Times New Roman" w:eastAsia="方正仿宋_GBK" w:cs="方正仿宋_GBK"/>
          <w:b w:val="0"/>
          <w:bCs/>
          <w:sz w:val="32"/>
          <w:szCs w:val="32"/>
        </w:rPr>
        <w:t>5.15</w:t>
      </w:r>
      <w:r>
        <w:rPr>
          <w:rFonts w:ascii="Times New Roman" w:hAnsi="Times New Roman" w:eastAsia="方正仿宋_GBK" w:cs="方正仿宋_GBK"/>
          <w:b w:val="0"/>
          <w:bCs/>
          <w:sz w:val="32"/>
          <w:szCs w:val="32"/>
          <w:shd w:val="clear" w:color="auto" w:fill="FFFFFF"/>
        </w:rPr>
        <w:t>%，较年初预算数减少0.54万元，下降13.74%，主要原因是</w:t>
      </w:r>
      <w:r>
        <w:rPr>
          <w:rFonts w:hint="eastAsia" w:ascii="Times New Roman" w:hAnsi="Times New Roman" w:eastAsia="方正仿宋_GBK" w:cs="方正仿宋_GBK"/>
          <w:b w:val="0"/>
          <w:bCs/>
          <w:sz w:val="32"/>
          <w:szCs w:val="32"/>
          <w:shd w:val="clear" w:color="auto" w:fill="FFFFFF"/>
          <w:lang w:eastAsia="zh-CN"/>
        </w:rPr>
        <w:t>年中追减预算。</w:t>
      </w:r>
    </w:p>
    <w:p w14:paraId="57A844D7">
      <w:pPr>
        <w:keepNext w:val="0"/>
        <w:keepLines w:val="0"/>
        <w:pageBreakBefore w:val="0"/>
        <w:widowControl/>
        <w:kinsoku/>
        <w:wordWrap/>
        <w:overflowPunct/>
        <w:topLinePunct w:val="0"/>
        <w:autoSpaceDN/>
        <w:bidi w:val="0"/>
        <w:adjustRightInd/>
        <w:spacing w:beforeAutospacing="0" w:afterAutospacing="0" w:line="600" w:lineRule="exact"/>
        <w:ind w:firstLine="640" w:firstLineChars="200"/>
        <w:textAlignment w:val="auto"/>
        <w:rPr>
          <w:rFonts w:hint="default" w:ascii="Times New Roman" w:hAnsi="Times New Roman" w:eastAsia="方正仿宋_GBK" w:cs="方正仿宋_GBK"/>
          <w:b w:val="0"/>
          <w:bCs/>
          <w:color w:val="FF0000"/>
          <w:sz w:val="32"/>
          <w:szCs w:val="32"/>
          <w:shd w:val="clear" w:color="auto" w:fill="FFFFFF"/>
        </w:rPr>
      </w:pPr>
      <w:r>
        <w:rPr>
          <w:rFonts w:ascii="Times New Roman" w:hAnsi="Times New Roman" w:eastAsia="方正仿宋_GBK" w:cs="方正仿宋_GBK"/>
          <w:b w:val="0"/>
          <w:bCs/>
          <w:sz w:val="32"/>
          <w:szCs w:val="32"/>
          <w:shd w:val="clear" w:color="auto" w:fill="FFFFFF"/>
        </w:rPr>
        <w:t>（</w:t>
      </w:r>
      <w:r>
        <w:rPr>
          <w:rFonts w:hint="eastAsia" w:ascii="Times New Roman" w:hAnsi="Times New Roman" w:eastAsia="方正仿宋_GBK" w:cs="方正仿宋_GBK"/>
          <w:b w:val="0"/>
          <w:bCs/>
          <w:sz w:val="32"/>
          <w:szCs w:val="32"/>
          <w:shd w:val="clear" w:color="auto" w:fill="FFFFFF"/>
          <w:lang w:val="en-US" w:eastAsia="zh-CN"/>
        </w:rPr>
        <w:t>3</w:t>
      </w:r>
      <w:r>
        <w:rPr>
          <w:rFonts w:ascii="Times New Roman" w:hAnsi="Times New Roman" w:eastAsia="方正仿宋_GBK" w:cs="方正仿宋_GBK"/>
          <w:b w:val="0"/>
          <w:bCs/>
          <w:sz w:val="32"/>
          <w:szCs w:val="32"/>
          <w:shd w:val="clear" w:color="auto" w:fill="FFFFFF"/>
        </w:rPr>
        <w:t>）</w:t>
      </w:r>
      <w:r>
        <w:rPr>
          <w:rFonts w:ascii="Times New Roman" w:hAnsi="Times New Roman" w:eastAsia="方正仿宋_GBK" w:cs="方正仿宋_GBK"/>
          <w:b w:val="0"/>
          <w:bCs/>
          <w:sz w:val="32"/>
          <w:szCs w:val="32"/>
        </w:rPr>
        <w:t>住房保障支出4.29</w:t>
      </w:r>
      <w:r>
        <w:rPr>
          <w:rFonts w:ascii="Times New Roman" w:hAnsi="Times New Roman" w:eastAsia="方正仿宋_GBK" w:cs="方正仿宋_GBK"/>
          <w:b w:val="0"/>
          <w:bCs/>
          <w:sz w:val="32"/>
          <w:szCs w:val="32"/>
          <w:shd w:val="clear" w:color="auto" w:fill="FFFFFF"/>
        </w:rPr>
        <w:t>万元，占</w:t>
      </w:r>
      <w:r>
        <w:rPr>
          <w:rFonts w:ascii="Times New Roman" w:hAnsi="Times New Roman" w:eastAsia="方正仿宋_GBK" w:cs="方正仿宋_GBK"/>
          <w:b w:val="0"/>
          <w:bCs/>
          <w:sz w:val="32"/>
          <w:szCs w:val="32"/>
        </w:rPr>
        <w:t>6.53</w:t>
      </w:r>
      <w:r>
        <w:rPr>
          <w:rFonts w:ascii="Times New Roman" w:hAnsi="Times New Roman" w:eastAsia="方正仿宋_GBK" w:cs="方正仿宋_GBK"/>
          <w:b w:val="0"/>
          <w:bCs/>
          <w:sz w:val="32"/>
          <w:szCs w:val="32"/>
          <w:shd w:val="clear" w:color="auto" w:fill="FFFFFF"/>
        </w:rPr>
        <w:t>%，较年初预算数增加1.00万元，增长30.40%，主要原因是</w:t>
      </w:r>
      <w:r>
        <w:rPr>
          <w:rFonts w:hint="eastAsia" w:ascii="Times New Roman" w:hAnsi="Times New Roman" w:eastAsia="方正仿宋_GBK" w:cs="方正仿宋_GBK"/>
          <w:b w:val="0"/>
          <w:bCs/>
          <w:sz w:val="32"/>
          <w:szCs w:val="32"/>
          <w:shd w:val="clear" w:color="auto" w:fill="FFFFFF"/>
          <w:lang w:eastAsia="zh-CN"/>
        </w:rPr>
        <w:t>年中追加职工公积金。</w:t>
      </w:r>
    </w:p>
    <w:p w14:paraId="10E8F295">
      <w:pPr>
        <w:pStyle w:val="5"/>
        <w:keepNext w:val="0"/>
        <w:keepLines w:val="0"/>
        <w:pageBreakBefore w:val="0"/>
        <w:widowControl/>
        <w:shd w:val="clear" w:color="auto" w:fill="FFFFFF"/>
        <w:kinsoku/>
        <w:overflowPunct/>
        <w:topLinePunct w:val="0"/>
        <w:autoSpaceDN/>
        <w:bidi w:val="0"/>
        <w:adjustRightInd/>
        <w:spacing w:beforeAutospacing="0" w:after="0" w:afterAutospacing="0" w:line="600" w:lineRule="exact"/>
        <w:ind w:left="0" w:leftChars="0" w:firstLine="420"/>
        <w:rPr>
          <w:rStyle w:val="9"/>
          <w:rFonts w:hint="eastAsia" w:ascii="方正楷体_GBK" w:hAnsi="方正楷体_GBK" w:eastAsia="方正楷体_GBK" w:cs="方正楷体_GBK"/>
          <w:b w:val="0"/>
          <w:bCs w:val="0"/>
          <w:sz w:val="32"/>
          <w:szCs w:val="32"/>
          <w:shd w:val="clear" w:color="auto" w:fill="FFFFFF"/>
        </w:rPr>
      </w:pPr>
      <w:r>
        <w:rPr>
          <w:rStyle w:val="9"/>
          <w:rFonts w:hint="eastAsia" w:ascii="方正楷体_GBK" w:hAnsi="方正楷体_GBK" w:eastAsia="方正楷体_GBK" w:cs="方正楷体_GBK"/>
          <w:b w:val="0"/>
          <w:bCs w:val="0"/>
          <w:sz w:val="32"/>
          <w:szCs w:val="32"/>
          <w:shd w:val="clear" w:color="auto" w:fill="FFFFFF"/>
        </w:rPr>
        <w:t>（四）一般公共预算财政拨款基本支出决算情况说明</w:t>
      </w:r>
    </w:p>
    <w:p w14:paraId="6FB1CFC7">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ind w:firstLine="640" w:firstLineChars="200"/>
        <w:textAlignment w:val="auto"/>
        <w:rPr>
          <w:rFonts w:hint="default" w:ascii="Times New Roman" w:hAnsi="Times New Roman" w:eastAsia="方正仿宋_GBK" w:cs="方正仿宋_GBK"/>
          <w:b w:val="0"/>
          <w:bCs/>
          <w:sz w:val="32"/>
          <w:szCs w:val="32"/>
        </w:rPr>
      </w:pPr>
      <w:r>
        <w:rPr>
          <w:rFonts w:ascii="Times New Roman" w:hAnsi="Times New Roman" w:eastAsia="方正仿宋_GBK" w:cs="方正仿宋_GBK"/>
          <w:b w:val="0"/>
          <w:bCs/>
          <w:sz w:val="32"/>
          <w:szCs w:val="32"/>
          <w:shd w:val="clear" w:color="auto" w:fill="FFFFFF"/>
        </w:rPr>
        <w:t>2023年度一般公共财政拨款基本支出</w:t>
      </w:r>
      <w:r>
        <w:rPr>
          <w:rFonts w:ascii="Times New Roman" w:hAnsi="Times New Roman" w:eastAsia="方正仿宋_GBK" w:cs="方正仿宋_GBK"/>
          <w:b w:val="0"/>
          <w:bCs/>
          <w:sz w:val="32"/>
          <w:szCs w:val="32"/>
        </w:rPr>
        <w:t>65.67</w:t>
      </w:r>
      <w:r>
        <w:rPr>
          <w:rFonts w:ascii="Times New Roman" w:hAnsi="Times New Roman" w:eastAsia="方正仿宋_GBK" w:cs="方正仿宋_GBK"/>
          <w:b w:val="0"/>
          <w:bCs/>
          <w:sz w:val="32"/>
          <w:szCs w:val="32"/>
          <w:shd w:val="clear" w:color="auto" w:fill="FFFFFF"/>
        </w:rPr>
        <w:t>万元。其中：人员经费</w:t>
      </w:r>
      <w:r>
        <w:rPr>
          <w:rFonts w:ascii="Times New Roman" w:hAnsi="Times New Roman" w:eastAsia="方正仿宋_GBK" w:cs="方正仿宋_GBK"/>
          <w:b w:val="0"/>
          <w:bCs/>
          <w:sz w:val="32"/>
          <w:szCs w:val="32"/>
        </w:rPr>
        <w:t>62.25</w:t>
      </w:r>
      <w:r>
        <w:rPr>
          <w:rFonts w:ascii="Times New Roman" w:hAnsi="Times New Roman" w:eastAsia="方正仿宋_GBK" w:cs="方正仿宋_GBK"/>
          <w:b w:val="0"/>
          <w:bCs/>
          <w:sz w:val="32"/>
          <w:szCs w:val="32"/>
          <w:shd w:val="clear" w:color="auto" w:fill="FFFFFF"/>
        </w:rPr>
        <w:t>万元，较上年决算数增加2.08万元，增长3.46%，主要原因是</w:t>
      </w:r>
      <w:r>
        <w:rPr>
          <w:rFonts w:hint="eastAsia" w:ascii="Times New Roman" w:hAnsi="Times New Roman" w:eastAsia="方正仿宋_GBK" w:cs="方正仿宋_GBK"/>
          <w:b w:val="0"/>
          <w:bCs/>
          <w:sz w:val="32"/>
          <w:szCs w:val="32"/>
          <w:shd w:val="clear" w:color="auto" w:fill="FFFFFF"/>
          <w:lang w:eastAsia="zh-CN"/>
        </w:rPr>
        <w:t>年中追加预算。</w:t>
      </w:r>
      <w:r>
        <w:rPr>
          <w:rFonts w:ascii="Times New Roman" w:hAnsi="Times New Roman" w:eastAsia="方正仿宋_GBK" w:cs="方正仿宋_GBK"/>
          <w:b w:val="0"/>
          <w:bCs/>
          <w:sz w:val="32"/>
          <w:szCs w:val="32"/>
          <w:shd w:val="clear" w:color="auto" w:fill="FFFFFF"/>
        </w:rPr>
        <w:t>人员经费用途主要包括职工工资、社保费、公积金等。公用经费</w:t>
      </w:r>
      <w:r>
        <w:rPr>
          <w:rFonts w:ascii="Times New Roman" w:hAnsi="Times New Roman" w:eastAsia="方正仿宋_GBK" w:cs="方正仿宋_GBK"/>
          <w:b w:val="0"/>
          <w:bCs/>
          <w:sz w:val="32"/>
          <w:szCs w:val="32"/>
        </w:rPr>
        <w:t>3.42</w:t>
      </w:r>
      <w:r>
        <w:rPr>
          <w:rFonts w:ascii="Times New Roman" w:hAnsi="Times New Roman" w:eastAsia="方正仿宋_GBK" w:cs="方正仿宋_GBK"/>
          <w:b w:val="0"/>
          <w:bCs/>
          <w:sz w:val="32"/>
          <w:szCs w:val="32"/>
          <w:shd w:val="clear" w:color="auto" w:fill="FFFFFF"/>
        </w:rPr>
        <w:t>万元，较上年决算数减少5.35万元，下降61.00%，主要原因是</w:t>
      </w:r>
      <w:r>
        <w:rPr>
          <w:rFonts w:hint="eastAsia" w:ascii="Times New Roman" w:hAnsi="Times New Roman" w:eastAsia="方正仿宋_GBK" w:cs="方正仿宋_GBK"/>
          <w:b w:val="0"/>
          <w:bCs/>
          <w:sz w:val="32"/>
          <w:szCs w:val="32"/>
          <w:shd w:val="clear" w:color="auto" w:fill="FFFFFF"/>
          <w:lang w:val="en-US" w:eastAsia="zh-CN"/>
        </w:rPr>
        <w:t>2023年</w:t>
      </w:r>
      <w:r>
        <w:rPr>
          <w:rFonts w:hint="eastAsia" w:ascii="Times New Roman" w:hAnsi="Times New Roman" w:eastAsia="方正仿宋_GBK" w:cs="方正仿宋_GBK"/>
          <w:b w:val="0"/>
          <w:bCs/>
          <w:sz w:val="32"/>
          <w:szCs w:val="32"/>
          <w:highlight w:val="none"/>
          <w:shd w:val="clear" w:color="auto" w:fill="FFFFFF"/>
          <w:lang w:val="en-US" w:eastAsia="zh-CN"/>
        </w:rPr>
        <w:t>本单位落实过紧日子的财政政策压缩日常支出。</w:t>
      </w:r>
      <w:r>
        <w:rPr>
          <w:rFonts w:ascii="Times New Roman" w:hAnsi="Times New Roman" w:eastAsia="方正仿宋_GBK" w:cs="方正仿宋_GBK"/>
          <w:b w:val="0"/>
          <w:bCs/>
          <w:sz w:val="32"/>
          <w:szCs w:val="32"/>
          <w:shd w:val="clear" w:color="auto" w:fill="FFFFFF"/>
        </w:rPr>
        <w:t>公用经费用途主要包括</w:t>
      </w:r>
      <w:r>
        <w:rPr>
          <w:rFonts w:hint="eastAsia" w:ascii="Times New Roman" w:hAnsi="Times New Roman" w:eastAsia="方正仿宋_GBK" w:cs="方正仿宋_GBK"/>
          <w:b w:val="0"/>
          <w:bCs/>
          <w:sz w:val="32"/>
          <w:szCs w:val="32"/>
          <w:shd w:val="clear" w:color="auto" w:fill="FFFFFF"/>
        </w:rPr>
        <w:t>办公费、差旅费、维修费、公务接待费、工会经费、福利费、其他交通费等。</w:t>
      </w:r>
    </w:p>
    <w:p w14:paraId="16E19CD9">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（五）政府性基金预算收支决算情况说明</w:t>
      </w:r>
    </w:p>
    <w:p w14:paraId="0BE9C188">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highlight w:val="none"/>
          <w:shd w:val="clear" w:color="auto" w:fill="FFFFFF"/>
        </w:rPr>
      </w:pPr>
      <w:r>
        <w:rPr>
          <w:rFonts w:hint="eastAsia" w:ascii="Times New Roman" w:hAnsi="Times New Roman" w:eastAsia="方正仿宋_GBK" w:cs="方正仿宋_GBK"/>
          <w:b w:val="0"/>
          <w:bCs/>
          <w:sz w:val="32"/>
          <w:szCs w:val="32"/>
          <w:highlight w:val="none"/>
          <w:shd w:val="clear" w:color="auto" w:fill="FFFFFF"/>
        </w:rPr>
        <w:t>本</w:t>
      </w:r>
      <w:r>
        <w:rPr>
          <w:rFonts w:hint="eastAsia" w:ascii="Times New Roman" w:hAnsi="Times New Roman" w:eastAsia="方正仿宋_GBK" w:cs="方正仿宋_GBK"/>
          <w:b w:val="0"/>
          <w:bCs/>
          <w:sz w:val="32"/>
          <w:szCs w:val="32"/>
          <w:highlight w:val="none"/>
          <w:shd w:val="clear" w:color="auto" w:fill="FFFFFF"/>
          <w:lang w:eastAsia="zh-CN"/>
        </w:rPr>
        <w:t>单位</w:t>
      </w:r>
      <w:r>
        <w:rPr>
          <w:rFonts w:hint="eastAsia" w:ascii="Times New Roman" w:hAnsi="Times New Roman" w:eastAsia="方正仿宋_GBK" w:cs="方正仿宋_GBK"/>
          <w:b w:val="0"/>
          <w:bCs/>
          <w:sz w:val="32"/>
          <w:szCs w:val="32"/>
          <w:highlight w:val="none"/>
          <w:shd w:val="clear" w:color="auto" w:fill="FFFFFF"/>
        </w:rPr>
        <w:t>2023年度无政府性基金预算财政拨款收支。</w:t>
      </w:r>
    </w:p>
    <w:p w14:paraId="6A0546CB">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（六）国有资本经营预算财政拨款支出决算情况说明</w:t>
      </w:r>
    </w:p>
    <w:p w14:paraId="2C219F5A">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sz w:val="32"/>
          <w:szCs w:val="32"/>
        </w:rPr>
      </w:pPr>
      <w:r>
        <w:rPr>
          <w:rFonts w:hint="eastAsia" w:ascii="Times New Roman" w:hAnsi="Times New Roman" w:eastAsia="方正仿宋_GBK" w:cs="方正仿宋_GBK"/>
          <w:b w:val="0"/>
          <w:bCs/>
          <w:sz w:val="32"/>
          <w:szCs w:val="32"/>
          <w:highlight w:val="none"/>
          <w:shd w:val="clear" w:color="auto" w:fill="FFFFFF"/>
          <w:lang w:eastAsia="zh-CN"/>
        </w:rPr>
        <w:t>本单位2023年度无国有资本经营预算财政拨款支出。</w:t>
      </w:r>
    </w:p>
    <w:p w14:paraId="3F1E7D9F">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textAlignment w:val="auto"/>
        <w:rPr>
          <w:rStyle w:val="9"/>
          <w:rFonts w:hint="eastAsia" w:ascii="Times New Roman" w:hAnsi="Times New Roman" w:eastAsia="黑体" w:cs="黑体"/>
          <w:b w:val="0"/>
          <w:bCs/>
          <w:sz w:val="32"/>
          <w:szCs w:val="32"/>
          <w:shd w:val="clear" w:color="auto" w:fill="FFFFFF"/>
        </w:rPr>
      </w:pPr>
      <w:r>
        <w:rPr>
          <w:rStyle w:val="9"/>
          <w:rFonts w:hint="eastAsia" w:ascii="Times New Roman" w:hAnsi="Times New Roman" w:eastAsia="黑体" w:cs="黑体"/>
          <w:b w:val="0"/>
          <w:bCs/>
          <w:sz w:val="32"/>
          <w:szCs w:val="32"/>
          <w:shd w:val="clear" w:color="auto" w:fill="FFFFFF"/>
        </w:rPr>
        <w:t>三、“三公”经费情况说明</w:t>
      </w:r>
    </w:p>
    <w:p w14:paraId="036EA78C">
      <w:pPr>
        <w:pStyle w:val="10"/>
        <w:keepNext w:val="0"/>
        <w:keepLines w:val="0"/>
        <w:pageBreakBefore w:val="0"/>
        <w:widowControl/>
        <w:kinsoku/>
        <w:wordWrap/>
        <w:overflowPunct/>
        <w:topLinePunct w:val="0"/>
        <w:autoSpaceDE w:val="0"/>
        <w:autoSpaceDN/>
        <w:bidi w:val="0"/>
        <w:adjustRightInd/>
        <w:spacing w:beforeAutospacing="0" w:afterAutospacing="0" w:line="600" w:lineRule="exact"/>
        <w:ind w:firstLine="640"/>
        <w:textAlignment w:val="auto"/>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（一）“三公”经费支出总体情况说明</w:t>
      </w:r>
    </w:p>
    <w:p w14:paraId="0EAD549B">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highlight w:val="none"/>
          <w:lang w:eastAsia="zh-CN"/>
        </w:rPr>
      </w:pPr>
      <w:r>
        <w:rPr>
          <w:rFonts w:hint="eastAsia" w:ascii="Times New Roman" w:hAnsi="Times New Roman" w:eastAsia="方正仿宋_GBK" w:cs="方正仿宋_GBK"/>
          <w:b w:val="0"/>
          <w:bCs/>
          <w:sz w:val="32"/>
          <w:szCs w:val="32"/>
          <w:shd w:val="clear" w:color="auto" w:fill="FFFFFF"/>
        </w:rPr>
        <w:t>2023年度“三公”经费支出共计</w:t>
      </w:r>
      <w:r>
        <w:rPr>
          <w:rFonts w:hint="eastAsia" w:ascii="Times New Roman" w:hAnsi="Times New Roman" w:eastAsia="方正仿宋_GBK" w:cs="方正仿宋_GBK"/>
          <w:b w:val="0"/>
          <w:bCs/>
          <w:sz w:val="32"/>
          <w:szCs w:val="32"/>
        </w:rPr>
        <w:t>0</w:t>
      </w:r>
      <w:r>
        <w:rPr>
          <w:rFonts w:hint="eastAsia" w:ascii="Times New Roman" w:hAnsi="Times New Roman" w:eastAsia="方正仿宋_GBK" w:cs="方正仿宋_GBK"/>
          <w:b w:val="0"/>
          <w:bCs/>
          <w:sz w:val="32"/>
          <w:szCs w:val="32"/>
          <w:highlight w:val="none"/>
          <w:shd w:val="clear" w:color="auto" w:fill="FFFFFF"/>
        </w:rPr>
        <w:t>万元，</w:t>
      </w:r>
      <w:r>
        <w:rPr>
          <w:rFonts w:hint="eastAsia" w:ascii="Times New Roman" w:hAnsi="Times New Roman" w:eastAsia="方正仿宋_GBK" w:cs="方正仿宋_GBK"/>
          <w:b w:val="0"/>
          <w:bCs/>
          <w:sz w:val="32"/>
          <w:szCs w:val="32"/>
          <w:highlight w:val="none"/>
          <w:shd w:val="clear" w:color="auto" w:fill="FFFFFF"/>
          <w:lang w:eastAsia="zh-CN"/>
        </w:rPr>
        <w:t>无</w:t>
      </w:r>
      <w:r>
        <w:rPr>
          <w:rFonts w:hint="eastAsia" w:ascii="Times New Roman" w:hAnsi="Times New Roman" w:eastAsia="方正仿宋_GBK" w:cs="方正仿宋_GBK"/>
          <w:b w:val="0"/>
          <w:bCs/>
          <w:sz w:val="32"/>
          <w:szCs w:val="32"/>
          <w:shd w:val="clear" w:color="auto" w:fill="FFFFFF"/>
        </w:rPr>
        <w:t>三公”经费</w:t>
      </w:r>
      <w:r>
        <w:rPr>
          <w:rFonts w:hint="eastAsia" w:ascii="Times New Roman" w:hAnsi="Times New Roman" w:eastAsia="方正仿宋_GBK" w:cs="方正仿宋_GBK"/>
          <w:b w:val="0"/>
          <w:bCs/>
          <w:sz w:val="32"/>
          <w:szCs w:val="32"/>
          <w:shd w:val="clear" w:color="auto" w:fill="FFFFFF"/>
          <w:lang w:eastAsia="zh-CN"/>
        </w:rPr>
        <w:t>支出。</w:t>
      </w:r>
    </w:p>
    <w:p w14:paraId="48D44908">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（二）“三公”经费分项支出情况</w:t>
      </w:r>
    </w:p>
    <w:p w14:paraId="0FE47A1A">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highlight w:val="none"/>
          <w:lang w:eastAsia="zh-CN"/>
        </w:rPr>
      </w:pPr>
      <w:r>
        <w:rPr>
          <w:rFonts w:hint="eastAsia" w:ascii="Times New Roman" w:hAnsi="Times New Roman" w:eastAsia="方正仿宋_GBK" w:cs="方正仿宋_GBK"/>
          <w:b w:val="0"/>
          <w:bCs/>
          <w:sz w:val="32"/>
          <w:szCs w:val="32"/>
          <w:highlight w:val="none"/>
          <w:shd w:val="clear" w:color="auto" w:fill="FFFFFF"/>
        </w:rPr>
        <w:t>2023年度本部门</w:t>
      </w:r>
      <w:r>
        <w:rPr>
          <w:rFonts w:hint="eastAsia" w:ascii="Times New Roman" w:hAnsi="Times New Roman" w:eastAsia="方正仿宋_GBK" w:cs="方正仿宋_GBK"/>
          <w:b w:val="0"/>
          <w:bCs/>
          <w:sz w:val="32"/>
          <w:szCs w:val="32"/>
          <w:highlight w:val="none"/>
          <w:shd w:val="clear" w:color="auto" w:fill="FFFFFF"/>
          <w:lang w:eastAsia="zh-CN"/>
        </w:rPr>
        <w:t>无</w:t>
      </w:r>
      <w:r>
        <w:rPr>
          <w:rFonts w:hint="eastAsia" w:ascii="Times New Roman" w:hAnsi="Times New Roman" w:eastAsia="方正仿宋_GBK" w:cs="方正仿宋_GBK"/>
          <w:b w:val="0"/>
          <w:bCs/>
          <w:sz w:val="32"/>
          <w:szCs w:val="32"/>
          <w:highlight w:val="none"/>
          <w:shd w:val="clear" w:color="auto" w:fill="FFFFFF"/>
        </w:rPr>
        <w:t>因公出国（境）费用</w:t>
      </w:r>
      <w:r>
        <w:rPr>
          <w:rFonts w:hint="eastAsia" w:ascii="Times New Roman" w:hAnsi="Times New Roman" w:eastAsia="方正仿宋_GBK" w:cs="方正仿宋_GBK"/>
          <w:b w:val="0"/>
          <w:bCs/>
          <w:sz w:val="32"/>
          <w:szCs w:val="32"/>
          <w:highlight w:val="none"/>
          <w:lang w:eastAsia="zh-CN"/>
        </w:rPr>
        <w:t>。</w:t>
      </w:r>
    </w:p>
    <w:p w14:paraId="571E4489">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highlight w:val="none"/>
          <w:lang w:eastAsia="zh-CN"/>
        </w:rPr>
      </w:pPr>
      <w:r>
        <w:rPr>
          <w:rFonts w:hint="eastAsia" w:ascii="Times New Roman" w:hAnsi="Times New Roman" w:eastAsia="方正仿宋_GBK" w:cs="方正仿宋_GBK"/>
          <w:b w:val="0"/>
          <w:bCs/>
          <w:sz w:val="32"/>
          <w:szCs w:val="32"/>
          <w:highlight w:val="none"/>
          <w:shd w:val="clear" w:color="auto" w:fill="FFFFFF"/>
        </w:rPr>
        <w:t>2023年度本部门</w:t>
      </w:r>
      <w:r>
        <w:rPr>
          <w:rFonts w:hint="eastAsia" w:ascii="Times New Roman" w:hAnsi="Times New Roman" w:eastAsia="方正仿宋_GBK" w:cs="方正仿宋_GBK"/>
          <w:b w:val="0"/>
          <w:bCs/>
          <w:sz w:val="32"/>
          <w:szCs w:val="32"/>
          <w:highlight w:val="none"/>
          <w:shd w:val="clear" w:color="auto" w:fill="FFFFFF"/>
          <w:lang w:eastAsia="zh-CN"/>
        </w:rPr>
        <w:t>无</w:t>
      </w:r>
      <w:r>
        <w:rPr>
          <w:rFonts w:hint="eastAsia" w:ascii="Times New Roman" w:hAnsi="Times New Roman" w:eastAsia="方正仿宋_GBK" w:cs="方正仿宋_GBK"/>
          <w:b w:val="0"/>
          <w:bCs/>
          <w:sz w:val="32"/>
          <w:szCs w:val="32"/>
          <w:highlight w:val="none"/>
          <w:shd w:val="clear" w:color="auto" w:fill="FFFFFF"/>
        </w:rPr>
        <w:t>公务车购置费</w:t>
      </w:r>
      <w:r>
        <w:rPr>
          <w:rFonts w:hint="eastAsia" w:ascii="Times New Roman" w:hAnsi="Times New Roman" w:eastAsia="方正仿宋_GBK" w:cs="方正仿宋_GBK"/>
          <w:b w:val="0"/>
          <w:bCs/>
          <w:sz w:val="32"/>
          <w:szCs w:val="32"/>
          <w:highlight w:val="none"/>
          <w:lang w:eastAsia="zh-CN"/>
        </w:rPr>
        <w:t>。</w:t>
      </w:r>
    </w:p>
    <w:p w14:paraId="531349BB">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highlight w:val="none"/>
          <w:lang w:eastAsia="zh-CN"/>
        </w:rPr>
      </w:pPr>
      <w:r>
        <w:rPr>
          <w:rFonts w:hint="eastAsia" w:ascii="Times New Roman" w:hAnsi="Times New Roman" w:eastAsia="方正仿宋_GBK" w:cs="方正仿宋_GBK"/>
          <w:b w:val="0"/>
          <w:bCs/>
          <w:sz w:val="32"/>
          <w:szCs w:val="32"/>
          <w:highlight w:val="none"/>
          <w:shd w:val="clear" w:color="auto" w:fill="FFFFFF"/>
        </w:rPr>
        <w:t>2023年度本部门</w:t>
      </w:r>
      <w:r>
        <w:rPr>
          <w:rFonts w:hint="eastAsia" w:ascii="Times New Roman" w:hAnsi="Times New Roman" w:eastAsia="方正仿宋_GBK" w:cs="方正仿宋_GBK"/>
          <w:b w:val="0"/>
          <w:bCs/>
          <w:sz w:val="32"/>
          <w:szCs w:val="32"/>
          <w:highlight w:val="none"/>
          <w:shd w:val="clear" w:color="auto" w:fill="FFFFFF"/>
          <w:lang w:eastAsia="zh-CN"/>
        </w:rPr>
        <w:t>无</w:t>
      </w:r>
      <w:r>
        <w:rPr>
          <w:rFonts w:hint="eastAsia" w:ascii="Times New Roman" w:hAnsi="Times New Roman" w:eastAsia="方正仿宋_GBK" w:cs="方正仿宋_GBK"/>
          <w:b w:val="0"/>
          <w:bCs/>
          <w:sz w:val="32"/>
          <w:szCs w:val="32"/>
          <w:highlight w:val="none"/>
          <w:shd w:val="clear" w:color="auto" w:fill="FFFFFF"/>
        </w:rPr>
        <w:t>公务车运行维护费</w:t>
      </w:r>
      <w:r>
        <w:rPr>
          <w:rFonts w:hint="eastAsia" w:ascii="Times New Roman" w:hAnsi="Times New Roman" w:eastAsia="方正仿宋_GBK" w:cs="方正仿宋_GBK"/>
          <w:b w:val="0"/>
          <w:bCs/>
          <w:sz w:val="32"/>
          <w:szCs w:val="32"/>
          <w:highlight w:val="none"/>
          <w:lang w:eastAsia="zh-CN"/>
        </w:rPr>
        <w:t>。</w:t>
      </w:r>
    </w:p>
    <w:p w14:paraId="4C6C9DBC">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lang w:eastAsia="zh-CN"/>
        </w:rPr>
      </w:pPr>
      <w:r>
        <w:rPr>
          <w:rFonts w:hint="eastAsia" w:ascii="Times New Roman" w:hAnsi="Times New Roman" w:eastAsia="方正仿宋_GBK" w:cs="方正仿宋_GBK"/>
          <w:b w:val="0"/>
          <w:bCs/>
          <w:sz w:val="32"/>
          <w:szCs w:val="32"/>
          <w:highlight w:val="none"/>
          <w:shd w:val="clear" w:color="auto" w:fill="FFFFFF"/>
        </w:rPr>
        <w:t>2023年度本部门</w:t>
      </w:r>
      <w:r>
        <w:rPr>
          <w:rFonts w:hint="eastAsia" w:ascii="Times New Roman" w:hAnsi="Times New Roman" w:eastAsia="方正仿宋_GBK" w:cs="方正仿宋_GBK"/>
          <w:b w:val="0"/>
          <w:bCs/>
          <w:sz w:val="32"/>
          <w:szCs w:val="32"/>
          <w:highlight w:val="none"/>
          <w:shd w:val="clear" w:color="auto" w:fill="FFFFFF"/>
          <w:lang w:eastAsia="zh-CN"/>
        </w:rPr>
        <w:t>无</w:t>
      </w:r>
      <w:r>
        <w:rPr>
          <w:rFonts w:hint="eastAsia" w:ascii="Times New Roman" w:hAnsi="Times New Roman" w:eastAsia="方正仿宋_GBK" w:cs="方正仿宋_GBK"/>
          <w:b w:val="0"/>
          <w:bCs/>
          <w:sz w:val="32"/>
          <w:szCs w:val="32"/>
          <w:shd w:val="clear" w:color="auto" w:fill="FFFFFF"/>
        </w:rPr>
        <w:t>公务接待费</w:t>
      </w:r>
      <w:r>
        <w:rPr>
          <w:rFonts w:hint="eastAsia" w:ascii="Times New Roman" w:hAnsi="Times New Roman" w:eastAsia="方正仿宋_GBK" w:cs="方正仿宋_GBK"/>
          <w:b w:val="0"/>
          <w:bCs/>
          <w:sz w:val="32"/>
          <w:szCs w:val="32"/>
          <w:lang w:eastAsia="zh-CN"/>
        </w:rPr>
        <w:t>。</w:t>
      </w:r>
    </w:p>
    <w:p w14:paraId="118EA389">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（三）“三公”经费实物量情况</w:t>
      </w:r>
    </w:p>
    <w:p w14:paraId="261E3B01">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sz w:val="32"/>
          <w:szCs w:val="32"/>
        </w:rPr>
      </w:pPr>
      <w:r>
        <w:rPr>
          <w:rFonts w:ascii="Times New Roman" w:hAnsi="Times New Roman" w:eastAsia="方正仿宋_GBK" w:cs="方正仿宋_GBK"/>
          <w:b w:val="0"/>
          <w:bCs/>
          <w:sz w:val="32"/>
          <w:szCs w:val="32"/>
          <w:shd w:val="clear" w:color="auto" w:fill="FFFFFF"/>
        </w:rPr>
        <w:t>2023年度本部门因公出国（境）共计</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个团组，</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人；公务用车购置</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辆，公务车保有量为</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辆；国内公务接待</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批次</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人，其中：国内外事接待</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批次，</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人；国（境）外公务接待</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批次，</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人。2023年本部门人均接待费</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元，车均购置费</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万元，车均维护费</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万元。</w:t>
      </w:r>
    </w:p>
    <w:p w14:paraId="4EC1320D">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textAlignment w:val="auto"/>
        <w:rPr>
          <w:rStyle w:val="9"/>
          <w:rFonts w:hint="default" w:ascii="Times New Roman" w:hAnsi="Times New Roman" w:eastAsia="方正仿宋_GBK" w:cs="方正仿宋_GBK"/>
          <w:b w:val="0"/>
          <w:bCs/>
          <w:sz w:val="32"/>
          <w:szCs w:val="32"/>
          <w:shd w:val="clear" w:color="auto" w:fill="FFFFFF"/>
        </w:rPr>
      </w:pPr>
      <w:r>
        <w:rPr>
          <w:rStyle w:val="9"/>
          <w:rFonts w:hint="eastAsia" w:ascii="Times New Roman" w:hAnsi="Times New Roman" w:eastAsia="黑体" w:cs="黑体"/>
          <w:b w:val="0"/>
          <w:bCs/>
          <w:sz w:val="32"/>
          <w:szCs w:val="32"/>
          <w:shd w:val="clear" w:color="auto" w:fill="FFFFFF"/>
        </w:rPr>
        <w:t>四、其他需要说明的事项</w:t>
      </w:r>
    </w:p>
    <w:p w14:paraId="2F456273">
      <w:pPr>
        <w:pStyle w:val="10"/>
        <w:keepNext w:val="0"/>
        <w:keepLines w:val="0"/>
        <w:pageBreakBefore w:val="0"/>
        <w:widowControl/>
        <w:kinsoku/>
        <w:wordWrap/>
        <w:overflowPunct/>
        <w:topLinePunct w:val="0"/>
        <w:autoSpaceDE w:val="0"/>
        <w:autoSpaceDN/>
        <w:bidi w:val="0"/>
        <w:adjustRightInd/>
        <w:spacing w:beforeAutospacing="0" w:afterAutospacing="0" w:line="600" w:lineRule="exact"/>
        <w:ind w:firstLine="640"/>
        <w:textAlignment w:val="auto"/>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（一）财政拨款会议费和培训费情况说明</w:t>
      </w:r>
    </w:p>
    <w:p w14:paraId="27983424">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sz w:val="32"/>
          <w:szCs w:val="32"/>
        </w:rPr>
      </w:pPr>
      <w:r>
        <w:rPr>
          <w:rFonts w:hint="eastAsia" w:ascii="Times New Roman" w:hAnsi="Times New Roman" w:eastAsia="方正仿宋_GBK" w:cs="方正仿宋_GBK"/>
          <w:b w:val="0"/>
          <w:bCs/>
          <w:sz w:val="32"/>
          <w:szCs w:val="32"/>
          <w:highlight w:val="none"/>
          <w:shd w:val="clear" w:color="auto" w:fill="FFFFFF"/>
        </w:rPr>
        <w:t>本年度会议费支出</w:t>
      </w:r>
      <w:r>
        <w:rPr>
          <w:rFonts w:hint="eastAsia" w:ascii="Times New Roman" w:hAnsi="Times New Roman" w:eastAsia="方正仿宋_GBK" w:cs="方正仿宋_GBK"/>
          <w:b w:val="0"/>
          <w:bCs/>
          <w:sz w:val="32"/>
          <w:szCs w:val="32"/>
          <w:highlight w:val="none"/>
        </w:rPr>
        <w:t>0</w:t>
      </w:r>
      <w:r>
        <w:rPr>
          <w:rFonts w:hint="eastAsia" w:ascii="Times New Roman" w:hAnsi="Times New Roman" w:eastAsia="方正仿宋_GBK" w:cs="方正仿宋_GBK"/>
          <w:b w:val="0"/>
          <w:bCs/>
          <w:sz w:val="32"/>
          <w:szCs w:val="32"/>
          <w:highlight w:val="none"/>
          <w:shd w:val="clear" w:color="auto" w:fill="FFFFFF"/>
        </w:rPr>
        <w:t>万元，较上年决算数无增减，本年度培训费支出</w:t>
      </w:r>
      <w:r>
        <w:rPr>
          <w:rFonts w:hint="eastAsia" w:ascii="Times New Roman" w:hAnsi="Times New Roman" w:eastAsia="方正仿宋_GBK" w:cs="方正仿宋_GBK"/>
          <w:b w:val="0"/>
          <w:bCs/>
          <w:sz w:val="32"/>
          <w:szCs w:val="32"/>
          <w:highlight w:val="none"/>
        </w:rPr>
        <w:t>0</w:t>
      </w:r>
      <w:r>
        <w:rPr>
          <w:rFonts w:hint="eastAsia" w:ascii="Times New Roman" w:hAnsi="Times New Roman" w:eastAsia="方正仿宋_GBK" w:cs="方正仿宋_GBK"/>
          <w:b w:val="0"/>
          <w:bCs/>
          <w:sz w:val="32"/>
          <w:szCs w:val="32"/>
          <w:highlight w:val="none"/>
          <w:shd w:val="clear" w:color="auto" w:fill="FFFFFF"/>
        </w:rPr>
        <w:t>万元，较上年决算数无变化</w:t>
      </w:r>
      <w:r>
        <w:rPr>
          <w:rFonts w:hint="eastAsia" w:ascii="Times New Roman" w:hAnsi="Times New Roman" w:eastAsia="方正仿宋_GBK" w:cs="方正仿宋_GBK"/>
          <w:b w:val="0"/>
          <w:bCs/>
          <w:sz w:val="32"/>
          <w:szCs w:val="32"/>
          <w:highlight w:val="none"/>
          <w:shd w:val="clear" w:color="auto" w:fill="FFFFFF"/>
          <w:lang w:eastAsia="zh-CN"/>
        </w:rPr>
        <w:t>。</w:t>
      </w:r>
      <w:r>
        <w:rPr>
          <w:rFonts w:hint="eastAsia" w:ascii="Times New Roman" w:hAnsi="Times New Roman" w:eastAsia="方正仿宋_GBK" w:cs="方正仿宋_GBK"/>
          <w:b w:val="0"/>
          <w:bCs/>
          <w:sz w:val="32"/>
          <w:szCs w:val="32"/>
          <w:highlight w:val="none"/>
          <w:lang w:eastAsia="zh-CN"/>
        </w:rPr>
        <w:t>（</w:t>
      </w:r>
      <w:r>
        <w:rPr>
          <w:rFonts w:hint="eastAsia" w:ascii="Times New Roman" w:hAnsi="Times New Roman" w:eastAsia="方正仿宋_GBK" w:cs="方正仿宋_GBK"/>
          <w:b w:val="0"/>
          <w:bCs/>
          <w:sz w:val="32"/>
          <w:szCs w:val="32"/>
          <w:highlight w:val="none"/>
          <w:shd w:val="clear" w:color="auto" w:fill="FFFFFF"/>
          <w:lang w:val="en-US" w:eastAsia="zh-CN"/>
        </w:rPr>
        <w:t>田家镇劳动就业和社会保障服务所</w:t>
      </w:r>
      <w:r>
        <w:rPr>
          <w:rFonts w:hint="eastAsia" w:ascii="Times New Roman" w:hAnsi="Times New Roman" w:eastAsia="方正仿宋_GBK" w:cs="方正仿宋_GBK"/>
          <w:b w:val="0"/>
          <w:bCs/>
          <w:sz w:val="32"/>
          <w:szCs w:val="32"/>
          <w:highlight w:val="none"/>
          <w:lang w:val="en-US" w:eastAsia="zh-CN"/>
        </w:rPr>
        <w:t>为田家镇人民政府下属事业单位</w:t>
      </w:r>
      <w:r>
        <w:rPr>
          <w:rFonts w:hint="eastAsia" w:ascii="Times New Roman" w:hAnsi="Times New Roman" w:eastAsia="方正仿宋_GBK" w:cs="方正仿宋_GBK"/>
          <w:b w:val="0"/>
          <w:bCs/>
          <w:sz w:val="32"/>
          <w:szCs w:val="32"/>
          <w:highlight w:val="none"/>
          <w:shd w:val="clear" w:color="auto" w:fill="FFFFFF"/>
        </w:rPr>
        <w:t>，</w:t>
      </w:r>
      <w:r>
        <w:rPr>
          <w:rFonts w:hint="eastAsia" w:ascii="Times New Roman" w:hAnsi="Times New Roman" w:eastAsia="方正仿宋_GBK" w:cs="方正仿宋_GBK"/>
          <w:b w:val="0"/>
          <w:bCs/>
          <w:sz w:val="32"/>
          <w:szCs w:val="32"/>
          <w:highlight w:val="none"/>
          <w:lang w:val="en-US" w:eastAsia="zh-CN"/>
        </w:rPr>
        <w:t>本单位2023年度未单独产生会议费和培训费。</w:t>
      </w:r>
      <w:r>
        <w:rPr>
          <w:rFonts w:hint="eastAsia" w:ascii="Times New Roman" w:hAnsi="Times New Roman" w:eastAsia="方正仿宋_GBK" w:cs="方正仿宋_GBK"/>
          <w:b w:val="0"/>
          <w:bCs/>
          <w:sz w:val="32"/>
          <w:szCs w:val="32"/>
          <w:highlight w:val="none"/>
          <w:lang w:eastAsia="zh-CN"/>
        </w:rPr>
        <w:t>）</w:t>
      </w:r>
    </w:p>
    <w:p w14:paraId="4040D52C">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（二）机关运行经费情况说明</w:t>
      </w:r>
    </w:p>
    <w:p w14:paraId="714638F7">
      <w:pPr>
        <w:pStyle w:val="13"/>
        <w:keepNext w:val="0"/>
        <w:keepLines w:val="0"/>
        <w:pageBreakBefore w:val="0"/>
        <w:widowControl/>
        <w:kinsoku/>
        <w:wordWrap/>
        <w:overflowPunct/>
        <w:topLinePunct w:val="0"/>
        <w:autoSpaceDE w:val="0"/>
        <w:autoSpaceDN/>
        <w:bidi w:val="0"/>
        <w:adjustRightInd/>
        <w:spacing w:beforeAutospacing="0" w:afterAutospacing="0" w:line="600" w:lineRule="exact"/>
        <w:ind w:firstLine="640"/>
        <w:textAlignment w:val="auto"/>
        <w:rPr>
          <w:rFonts w:hint="eastAsia" w:ascii="Times New Roman" w:hAnsi="Times New Roman" w:eastAsia="方正仿宋_GBK" w:cs="方正仿宋_GBK"/>
          <w:b w:val="0"/>
          <w:bCs/>
          <w:kern w:val="0"/>
          <w:sz w:val="32"/>
          <w:szCs w:val="32"/>
          <w:highlight w:val="none"/>
          <w:shd w:val="clear" w:color="auto" w:fill="FFFFFF"/>
          <w:lang w:val="en-US" w:eastAsia="zh-CN" w:bidi="ar"/>
        </w:rPr>
      </w:pPr>
      <w:r>
        <w:rPr>
          <w:rFonts w:hint="eastAsia" w:ascii="Times New Roman" w:hAnsi="Times New Roman" w:eastAsia="方正仿宋_GBK" w:cs="方正仿宋_GBK"/>
          <w:b w:val="0"/>
          <w:bCs/>
          <w:kern w:val="0"/>
          <w:sz w:val="32"/>
          <w:szCs w:val="32"/>
          <w:highlight w:val="none"/>
          <w:shd w:val="clear" w:color="auto" w:fill="FFFFFF"/>
          <w:lang w:val="en-US" w:eastAsia="zh-CN" w:bidi="ar"/>
        </w:rPr>
        <w:t>按照单位决算列报口径，我单位不在机关运行经费统计范围之内。</w:t>
      </w:r>
    </w:p>
    <w:p w14:paraId="01650E55">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（三）国有资产占用情况说明</w:t>
      </w:r>
    </w:p>
    <w:p w14:paraId="08F8F643">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default" w:ascii="Times New Roman" w:hAnsi="Times New Roman" w:eastAsia="方正仿宋_GBK" w:cs="方正仿宋_GBK"/>
          <w:b w:val="0"/>
          <w:bCs/>
          <w:sz w:val="32"/>
          <w:szCs w:val="32"/>
        </w:rPr>
      </w:pPr>
      <w:r>
        <w:rPr>
          <w:rFonts w:ascii="Times New Roman" w:hAnsi="Times New Roman" w:eastAsia="方正仿宋_GBK" w:cs="方正仿宋_GBK"/>
          <w:b w:val="0"/>
          <w:bCs/>
          <w:sz w:val="32"/>
          <w:szCs w:val="32"/>
          <w:shd w:val="clear" w:color="auto" w:fill="FFFFFF"/>
        </w:rPr>
        <w:t>截至2023年12月31日，本部门共有车辆</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辆，其中，副部（省）级及以上领导用车</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辆、主要负责人用车</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辆、机要通信用车</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辆、应急保障用车</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辆、执法执勤用车</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辆，特种专业技术用车</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辆，离退休干部用车</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辆。单价100万元（含）以上专用设备</w:t>
      </w:r>
      <w:r>
        <w:rPr>
          <w:rFonts w:ascii="Times New Roman" w:hAnsi="Times New Roman" w:eastAsia="方正仿宋_GBK" w:cs="方正仿宋_GBK"/>
          <w:b w:val="0"/>
          <w:bCs/>
          <w:sz w:val="32"/>
          <w:szCs w:val="32"/>
        </w:rPr>
        <w:t>0</w:t>
      </w:r>
      <w:r>
        <w:rPr>
          <w:rFonts w:ascii="Times New Roman" w:hAnsi="Times New Roman" w:eastAsia="方正仿宋_GBK" w:cs="方正仿宋_GBK"/>
          <w:b w:val="0"/>
          <w:bCs/>
          <w:sz w:val="32"/>
          <w:szCs w:val="32"/>
          <w:shd w:val="clear" w:color="auto" w:fill="FFFFFF"/>
        </w:rPr>
        <w:t>台（套）。</w:t>
      </w:r>
    </w:p>
    <w:p w14:paraId="48269CD2">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（四）政府采购支出情况说明</w:t>
      </w:r>
    </w:p>
    <w:p w14:paraId="51F9F5BF">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ascii="Times New Roman" w:hAnsi="Times New Roman" w:eastAsia="方正仿宋_GBK" w:cs="方正仿宋_GBK"/>
          <w:b w:val="0"/>
          <w:bCs/>
          <w:color w:val="FF0000"/>
          <w:sz w:val="32"/>
          <w:szCs w:val="32"/>
          <w:shd w:val="clear" w:color="auto" w:fill="FFFFFF"/>
        </w:rPr>
      </w:pPr>
      <w:r>
        <w:rPr>
          <w:rFonts w:hint="default" w:ascii="Times New Roman" w:hAnsi="Times New Roman" w:eastAsia="方正仿宋_GBK" w:cs="方正仿宋_GBK"/>
          <w:b w:val="0"/>
          <w:bCs/>
          <w:sz w:val="32"/>
          <w:szCs w:val="32"/>
          <w:highlight w:val="none"/>
          <w:shd w:val="clear" w:color="auto" w:fill="FFFFFF"/>
        </w:rPr>
        <w:t>202</w:t>
      </w:r>
      <w:r>
        <w:rPr>
          <w:rFonts w:hint="eastAsia" w:ascii="Times New Roman" w:hAnsi="Times New Roman" w:eastAsia="方正仿宋_GBK" w:cs="方正仿宋_GBK"/>
          <w:b w:val="0"/>
          <w:bCs/>
          <w:sz w:val="32"/>
          <w:szCs w:val="32"/>
          <w:highlight w:val="none"/>
          <w:shd w:val="clear" w:color="auto" w:fill="FFFFFF"/>
          <w:lang w:val="en-US" w:eastAsia="zh-CN"/>
        </w:rPr>
        <w:t>3</w:t>
      </w:r>
      <w:r>
        <w:rPr>
          <w:rFonts w:hint="eastAsia" w:ascii="Times New Roman" w:hAnsi="Times New Roman" w:eastAsia="方正仿宋_GBK" w:cs="方正仿宋_GBK"/>
          <w:b w:val="0"/>
          <w:bCs/>
          <w:sz w:val="32"/>
          <w:szCs w:val="32"/>
          <w:highlight w:val="none"/>
          <w:shd w:val="clear" w:color="auto" w:fill="FFFFFF"/>
        </w:rPr>
        <w:t>年度我单位未发生政府采购事项</w:t>
      </w:r>
      <w:r>
        <w:rPr>
          <w:rFonts w:hint="eastAsia" w:ascii="Times New Roman" w:hAnsi="Times New Roman" w:eastAsia="方正仿宋_GBK" w:cs="方正仿宋_GBK"/>
          <w:b w:val="0"/>
          <w:bCs/>
          <w:sz w:val="32"/>
          <w:szCs w:val="32"/>
          <w:highlight w:val="none"/>
          <w:shd w:val="clear" w:color="auto" w:fill="FFFFFF"/>
          <w:lang w:eastAsia="zh-CN"/>
        </w:rPr>
        <w:t>，</w:t>
      </w:r>
      <w:r>
        <w:rPr>
          <w:rFonts w:hint="eastAsia" w:ascii="Times New Roman" w:hAnsi="Times New Roman" w:eastAsia="方正仿宋_GBK" w:cs="方正仿宋_GBK"/>
          <w:b w:val="0"/>
          <w:bCs/>
          <w:sz w:val="32"/>
          <w:szCs w:val="32"/>
          <w:highlight w:val="none"/>
          <w:shd w:val="clear" w:color="auto" w:fill="FFFFFF"/>
        </w:rPr>
        <w:t>无相关经费支出。</w:t>
      </w:r>
    </w:p>
    <w:p w14:paraId="7B7E15C9">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1280" w:firstLineChars="400"/>
        <w:jc w:val="both"/>
        <w:textAlignment w:val="auto"/>
        <w:rPr>
          <w:rFonts w:ascii="Times New Roman" w:hAnsi="Times New Roman" w:eastAsia="方正仿宋_GBK" w:cs="方正仿宋_GBK"/>
          <w:b w:val="0"/>
          <w:bCs/>
          <w:color w:val="FF0000"/>
          <w:sz w:val="32"/>
          <w:szCs w:val="32"/>
          <w:shd w:val="clear" w:color="auto" w:fill="FFFFFF"/>
        </w:rPr>
      </w:pPr>
    </w:p>
    <w:p w14:paraId="1F8FEB79">
      <w:pPr>
        <w:pStyle w:val="5"/>
        <w:keepNext w:val="0"/>
        <w:keepLines w:val="0"/>
        <w:pageBreakBefore w:val="0"/>
        <w:widowControl/>
        <w:numPr>
          <w:ilvl w:val="0"/>
          <w:numId w:val="1"/>
        </w:numPr>
        <w:shd w:val="clear" w:color="auto" w:fill="FFFFFF"/>
        <w:kinsoku/>
        <w:wordWrap/>
        <w:overflowPunct/>
        <w:topLinePunct w:val="0"/>
        <w:autoSpaceDN/>
        <w:bidi w:val="0"/>
        <w:adjustRightInd/>
        <w:spacing w:before="0" w:beforeAutospacing="0" w:after="0" w:afterAutospacing="0" w:line="600" w:lineRule="exact"/>
        <w:textAlignment w:val="auto"/>
        <w:rPr>
          <w:rStyle w:val="9"/>
          <w:rFonts w:hint="eastAsia" w:ascii="Times New Roman" w:hAnsi="Times New Roman" w:eastAsia="黑体" w:cs="黑体"/>
          <w:b w:val="0"/>
          <w:bCs/>
          <w:sz w:val="32"/>
          <w:szCs w:val="32"/>
          <w:shd w:val="clear" w:color="auto" w:fill="FFFFFF"/>
        </w:rPr>
      </w:pPr>
      <w:r>
        <w:rPr>
          <w:rStyle w:val="9"/>
          <w:rFonts w:hint="eastAsia" w:ascii="Times New Roman" w:hAnsi="Times New Roman" w:eastAsia="黑体" w:cs="黑体"/>
          <w:b w:val="0"/>
          <w:bCs/>
          <w:sz w:val="32"/>
          <w:szCs w:val="32"/>
          <w:shd w:val="clear" w:color="auto" w:fill="FFFFFF"/>
        </w:rPr>
        <w:t>预算绩效管理情况说明</w:t>
      </w:r>
    </w:p>
    <w:p w14:paraId="45AA8942">
      <w:pPr>
        <w:pStyle w:val="10"/>
        <w:keepNext w:val="0"/>
        <w:keepLines w:val="0"/>
        <w:pageBreakBefore w:val="0"/>
        <w:widowControl/>
        <w:kinsoku/>
        <w:overflowPunct/>
        <w:topLinePunct w:val="0"/>
        <w:autoSpaceDE w:val="0"/>
        <w:autoSpaceDN/>
        <w:bidi w:val="0"/>
        <w:adjustRightInd/>
        <w:spacing w:beforeAutospacing="0" w:afterAutospacing="0" w:line="600" w:lineRule="exact"/>
        <w:ind w:left="0" w:leftChars="0" w:firstLine="640"/>
        <w:rPr>
          <w:rFonts w:hint="eastAsia" w:ascii="方正楷体_GBK" w:hAnsi="方正楷体_GBK" w:eastAsia="方正楷体_GBK" w:cs="方正楷体_GBK"/>
          <w:b w:val="0"/>
          <w:bCs w:val="0"/>
          <w:sz w:val="32"/>
          <w:szCs w:val="32"/>
          <w:shd w:val="clear" w:color="auto" w:fill="FFFFFF"/>
          <w:lang w:bidi="ar"/>
        </w:rPr>
      </w:pPr>
      <w:r>
        <w:rPr>
          <w:rFonts w:hint="eastAsia" w:ascii="方正楷体_GBK" w:hAnsi="方正楷体_GBK" w:eastAsia="方正楷体_GBK" w:cs="方正楷体_GBK"/>
          <w:b w:val="0"/>
          <w:bCs w:val="0"/>
          <w:sz w:val="32"/>
          <w:szCs w:val="32"/>
          <w:shd w:val="clear" w:color="auto" w:fill="FFFFFF"/>
          <w:lang w:bidi="ar"/>
        </w:rPr>
        <w:t>（一）预算绩效管理工作开展情况</w:t>
      </w:r>
    </w:p>
    <w:p w14:paraId="0E093527">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highlight w:val="none"/>
          <w:shd w:val="clear" w:color="auto" w:fill="FFFFFF"/>
          <w:lang w:eastAsia="zh-CN"/>
        </w:rPr>
      </w:pPr>
      <w:r>
        <w:rPr>
          <w:rFonts w:hint="eastAsia" w:ascii="Times New Roman" w:hAnsi="Times New Roman" w:eastAsia="方正仿宋_GBK" w:cs="方正仿宋_GBK"/>
          <w:b w:val="0"/>
          <w:bCs/>
          <w:sz w:val="32"/>
          <w:szCs w:val="32"/>
          <w:highlight w:val="none"/>
          <w:shd w:val="clear" w:color="auto" w:fill="FFFFFF"/>
        </w:rPr>
        <w:t>根据预算绩效管理要求，对</w:t>
      </w:r>
      <w:r>
        <w:rPr>
          <w:rFonts w:hint="eastAsia" w:ascii="Times New Roman" w:hAnsi="Times New Roman" w:eastAsia="方正仿宋_GBK" w:cs="方正仿宋_GBK"/>
          <w:b w:val="0"/>
          <w:bCs/>
          <w:sz w:val="32"/>
          <w:szCs w:val="32"/>
          <w:highlight w:val="none"/>
          <w:shd w:val="clear" w:color="auto" w:fill="FFFFFF"/>
          <w:lang w:eastAsia="zh-CN"/>
        </w:rPr>
        <w:t>田家镇人民政府</w:t>
      </w:r>
      <w:r>
        <w:rPr>
          <w:rFonts w:hint="eastAsia" w:ascii="Times New Roman" w:hAnsi="Times New Roman" w:eastAsia="方正仿宋_GBK" w:cs="方正仿宋_GBK"/>
          <w:b w:val="0"/>
          <w:bCs/>
          <w:sz w:val="32"/>
          <w:szCs w:val="32"/>
          <w:highlight w:val="none"/>
          <w:shd w:val="clear" w:color="auto" w:fill="FFFFFF"/>
        </w:rPr>
        <w:t>整体开展了绩效自评，但</w:t>
      </w:r>
      <w:r>
        <w:rPr>
          <w:rFonts w:hint="eastAsia" w:ascii="Times New Roman" w:hAnsi="Times New Roman" w:eastAsia="方正仿宋_GBK" w:cs="方正仿宋_GBK"/>
          <w:b w:val="0"/>
          <w:bCs/>
          <w:sz w:val="32"/>
          <w:szCs w:val="32"/>
          <w:highlight w:val="none"/>
          <w:shd w:val="clear" w:color="auto" w:fill="FFFFFF"/>
          <w:lang w:val="en-US" w:eastAsia="zh-CN"/>
        </w:rPr>
        <w:t>田家镇劳动就业和社会保障服务所</w:t>
      </w:r>
      <w:r>
        <w:rPr>
          <w:rFonts w:hint="eastAsia" w:ascii="Times New Roman" w:hAnsi="Times New Roman" w:eastAsia="方正仿宋_GBK" w:cs="方正仿宋_GBK"/>
          <w:b w:val="0"/>
          <w:bCs/>
          <w:sz w:val="32"/>
          <w:szCs w:val="32"/>
          <w:highlight w:val="none"/>
          <w:shd w:val="clear" w:color="auto" w:fill="FFFFFF"/>
        </w:rPr>
        <w:t>为二级预算单位，未单独开展绩效自评工作。</w:t>
      </w:r>
      <w:r>
        <w:rPr>
          <w:rFonts w:hint="eastAsia" w:ascii="Times New Roman" w:hAnsi="Times New Roman" w:eastAsia="方正仿宋_GBK" w:cs="方正仿宋_GBK"/>
          <w:b w:val="0"/>
          <w:bCs/>
          <w:sz w:val="32"/>
          <w:szCs w:val="32"/>
          <w:highlight w:val="none"/>
          <w:shd w:val="clear" w:color="auto" w:fill="FFFFFF"/>
          <w:lang w:val="en-US" w:eastAsia="zh-CN"/>
        </w:rPr>
        <w:t>田家镇劳动就业和社会保障服务所</w:t>
      </w:r>
      <w:r>
        <w:rPr>
          <w:rFonts w:hint="default" w:ascii="Times New Roman" w:hAnsi="Times New Roman" w:eastAsia="方正仿宋_GBK" w:cs="方正仿宋_GBK"/>
          <w:b w:val="0"/>
          <w:bCs/>
          <w:sz w:val="32"/>
          <w:szCs w:val="32"/>
          <w:highlight w:val="none"/>
          <w:shd w:val="clear" w:color="auto" w:fill="FFFFFF"/>
        </w:rPr>
        <w:t>202</w:t>
      </w:r>
      <w:r>
        <w:rPr>
          <w:rFonts w:hint="eastAsia" w:ascii="Times New Roman" w:hAnsi="Times New Roman" w:eastAsia="方正仿宋_GBK" w:cs="方正仿宋_GBK"/>
          <w:b w:val="0"/>
          <w:bCs/>
          <w:sz w:val="32"/>
          <w:szCs w:val="32"/>
          <w:highlight w:val="none"/>
          <w:shd w:val="clear" w:color="auto" w:fill="FFFFFF"/>
          <w:lang w:val="en-US" w:eastAsia="zh-CN"/>
        </w:rPr>
        <w:t>3</w:t>
      </w:r>
      <w:r>
        <w:rPr>
          <w:rFonts w:hint="default" w:ascii="Times New Roman" w:hAnsi="Times New Roman" w:eastAsia="方正仿宋_GBK" w:cs="方正仿宋_GBK"/>
          <w:b w:val="0"/>
          <w:bCs/>
          <w:sz w:val="32"/>
          <w:szCs w:val="32"/>
          <w:highlight w:val="none"/>
          <w:shd w:val="clear" w:color="auto" w:fill="FFFFFF"/>
        </w:rPr>
        <w:t>年度</w:t>
      </w:r>
      <w:r>
        <w:rPr>
          <w:rFonts w:hint="eastAsia" w:ascii="Times New Roman" w:hAnsi="Times New Roman" w:eastAsia="方正仿宋_GBK" w:cs="方正仿宋_GBK"/>
          <w:b w:val="0"/>
          <w:bCs/>
          <w:sz w:val="32"/>
          <w:szCs w:val="32"/>
          <w:highlight w:val="none"/>
          <w:shd w:val="clear" w:color="auto" w:fill="FFFFFF"/>
          <w:lang w:eastAsia="zh-CN"/>
        </w:rPr>
        <w:t>无项目支出，所以无项目绩效自评。</w:t>
      </w:r>
    </w:p>
    <w:p w14:paraId="2C878273">
      <w:pPr>
        <w:pStyle w:val="5"/>
        <w:keepNext w:val="0"/>
        <w:keepLines w:val="0"/>
        <w:pageBreakBefore w:val="0"/>
        <w:widowControl/>
        <w:numPr>
          <w:ilvl w:val="0"/>
          <w:numId w:val="2"/>
        </w:numPr>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highlight w:val="none"/>
          <w:shd w:val="clear" w:color="auto" w:fill="FFFFFF"/>
        </w:rPr>
      </w:pPr>
      <w:r>
        <w:rPr>
          <w:rFonts w:hint="default" w:ascii="Times New Roman" w:hAnsi="Times New Roman" w:eastAsia="方正仿宋_GBK" w:cs="方正仿宋_GBK"/>
          <w:b w:val="0"/>
          <w:bCs/>
          <w:sz w:val="32"/>
          <w:szCs w:val="32"/>
          <w:highlight w:val="none"/>
          <w:shd w:val="clear" w:color="auto" w:fill="FFFFFF"/>
        </w:rPr>
        <w:t>绩效自评结果</w:t>
      </w:r>
    </w:p>
    <w:p w14:paraId="68725357">
      <w:pPr>
        <w:pStyle w:val="5"/>
        <w:keepNext w:val="0"/>
        <w:keepLines w:val="0"/>
        <w:pageBreakBefore w:val="0"/>
        <w:widowControl/>
        <w:numPr>
          <w:ilvl w:val="0"/>
          <w:numId w:val="3"/>
        </w:numPr>
        <w:kinsoku/>
        <w:wordWrap/>
        <w:overflowPunct/>
        <w:topLinePunct w:val="0"/>
        <w:autoSpaceDN/>
        <w:bidi w:val="0"/>
        <w:adjustRightInd/>
        <w:snapToGrid w:val="0"/>
        <w:spacing w:before="0" w:beforeAutospacing="0" w:after="0" w:afterAutospacing="0" w:line="600" w:lineRule="exact"/>
        <w:ind w:left="800" w:leftChars="0" w:right="0" w:rightChars="0" w:firstLine="0" w:firstLineChars="0"/>
        <w:jc w:val="both"/>
        <w:textAlignment w:val="auto"/>
        <w:rPr>
          <w:rFonts w:hint="eastAsia" w:ascii="Times New Roman" w:hAnsi="Times New Roman" w:eastAsia="方正仿宋_GBK" w:cs="方正仿宋_GBK"/>
          <w:b w:val="0"/>
          <w:bCs/>
          <w:sz w:val="32"/>
          <w:szCs w:val="32"/>
          <w:highlight w:val="none"/>
          <w:shd w:val="clear" w:color="auto" w:fill="FFFFFF"/>
          <w:lang w:val="en-US" w:eastAsia="zh-CN"/>
        </w:rPr>
      </w:pPr>
      <w:r>
        <w:rPr>
          <w:rFonts w:hint="eastAsia" w:ascii="Times New Roman" w:hAnsi="Times New Roman" w:eastAsia="方正仿宋_GBK" w:cs="方正仿宋_GBK"/>
          <w:b w:val="0"/>
          <w:bCs/>
          <w:sz w:val="32"/>
          <w:szCs w:val="32"/>
          <w:highlight w:val="none"/>
          <w:shd w:val="clear" w:color="auto" w:fill="FFFFFF"/>
          <w:lang w:val="en-US" w:eastAsia="zh-CN"/>
        </w:rPr>
        <w:t>绩效目标自评表：无</w:t>
      </w:r>
    </w:p>
    <w:p w14:paraId="4B7E97F1">
      <w:pPr>
        <w:pStyle w:val="5"/>
        <w:keepNext w:val="0"/>
        <w:keepLines w:val="0"/>
        <w:pageBreakBefore w:val="0"/>
        <w:widowControl/>
        <w:numPr>
          <w:ilvl w:val="0"/>
          <w:numId w:val="3"/>
        </w:numPr>
        <w:kinsoku/>
        <w:wordWrap/>
        <w:overflowPunct/>
        <w:topLinePunct w:val="0"/>
        <w:autoSpaceDN/>
        <w:bidi w:val="0"/>
        <w:adjustRightInd/>
        <w:snapToGrid w:val="0"/>
        <w:spacing w:before="0" w:beforeAutospacing="0" w:after="0" w:afterAutospacing="0" w:line="600" w:lineRule="exact"/>
        <w:ind w:left="800" w:leftChars="0" w:right="0" w:rightChars="0" w:firstLine="0" w:firstLineChars="0"/>
        <w:jc w:val="both"/>
        <w:textAlignment w:val="auto"/>
        <w:rPr>
          <w:rFonts w:hint="default" w:ascii="Times New Roman" w:hAnsi="Times New Roman" w:eastAsia="方正仿宋_GBK" w:cs="方正仿宋_GBK"/>
          <w:b w:val="0"/>
          <w:bCs/>
          <w:sz w:val="32"/>
          <w:szCs w:val="32"/>
          <w:highlight w:val="none"/>
          <w:shd w:val="clear" w:color="auto" w:fill="FFFFFF"/>
          <w:lang w:val="en-US" w:eastAsia="zh-CN"/>
        </w:rPr>
      </w:pPr>
      <w:r>
        <w:rPr>
          <w:rFonts w:hint="eastAsia" w:ascii="Times New Roman" w:hAnsi="Times New Roman" w:eastAsia="方正仿宋_GBK" w:cs="方正仿宋_GBK"/>
          <w:b w:val="0"/>
          <w:bCs/>
          <w:sz w:val="32"/>
          <w:szCs w:val="32"/>
          <w:highlight w:val="none"/>
          <w:shd w:val="clear" w:color="auto" w:fill="FFFFFF"/>
          <w:lang w:val="en-US" w:eastAsia="zh-CN"/>
        </w:rPr>
        <w:t>绩效自评报告或案例：无</w:t>
      </w:r>
    </w:p>
    <w:p w14:paraId="054317F7">
      <w:pPr>
        <w:pStyle w:val="5"/>
        <w:keepNext w:val="0"/>
        <w:keepLines w:val="0"/>
        <w:pageBreakBefore w:val="0"/>
        <w:widowControl/>
        <w:numPr>
          <w:ilvl w:val="0"/>
          <w:numId w:val="3"/>
        </w:numPr>
        <w:kinsoku/>
        <w:wordWrap/>
        <w:overflowPunct/>
        <w:topLinePunct w:val="0"/>
        <w:autoSpaceDN/>
        <w:bidi w:val="0"/>
        <w:adjustRightInd/>
        <w:snapToGrid w:val="0"/>
        <w:spacing w:before="0" w:beforeAutospacing="0" w:after="0" w:afterAutospacing="0" w:line="600" w:lineRule="exact"/>
        <w:ind w:left="800" w:leftChars="0" w:right="0" w:rightChars="0" w:firstLine="0" w:firstLineChars="0"/>
        <w:jc w:val="both"/>
        <w:textAlignment w:val="auto"/>
        <w:rPr>
          <w:rFonts w:hint="default" w:ascii="Times New Roman" w:hAnsi="Times New Roman" w:eastAsia="方正仿宋_GBK" w:cs="方正仿宋_GBK"/>
          <w:b w:val="0"/>
          <w:bCs/>
          <w:sz w:val="32"/>
          <w:szCs w:val="32"/>
          <w:highlight w:val="none"/>
          <w:shd w:val="clear" w:color="auto" w:fill="FFFFFF"/>
          <w:lang w:val="en-US" w:eastAsia="zh-CN"/>
        </w:rPr>
      </w:pPr>
      <w:r>
        <w:rPr>
          <w:rFonts w:hint="eastAsia" w:ascii="Times New Roman" w:hAnsi="Times New Roman" w:eastAsia="方正仿宋_GBK" w:cs="方正仿宋_GBK"/>
          <w:b w:val="0"/>
          <w:bCs/>
          <w:sz w:val="32"/>
          <w:szCs w:val="32"/>
          <w:highlight w:val="none"/>
          <w:shd w:val="clear" w:color="auto" w:fill="FFFFFF"/>
          <w:lang w:val="en-US" w:eastAsia="zh-CN"/>
        </w:rPr>
        <w:t>关于绩效自评结果的说明：无</w:t>
      </w:r>
    </w:p>
    <w:p w14:paraId="36A88A92">
      <w:pPr>
        <w:pStyle w:val="5"/>
        <w:keepNext w:val="0"/>
        <w:keepLines w:val="0"/>
        <w:pageBreakBefore w:val="0"/>
        <w:widowControl/>
        <w:numPr>
          <w:ilvl w:val="0"/>
          <w:numId w:val="2"/>
        </w:numPr>
        <w:kinsoku/>
        <w:wordWrap/>
        <w:overflowPunct/>
        <w:topLinePunct w:val="0"/>
        <w:autoSpaceDN/>
        <w:bidi w:val="0"/>
        <w:adjustRightInd/>
        <w:snapToGrid w:val="0"/>
        <w:spacing w:before="0" w:beforeAutospacing="0" w:after="0" w:afterAutospacing="0" w:line="600" w:lineRule="exact"/>
        <w:ind w:left="0" w:leftChars="0" w:firstLine="640" w:firstLineChars="200"/>
        <w:jc w:val="both"/>
        <w:textAlignment w:val="auto"/>
        <w:rPr>
          <w:rFonts w:hint="default" w:ascii="Times New Roman" w:hAnsi="Times New Roman" w:eastAsia="方正仿宋_GBK" w:cs="方正仿宋_GBK"/>
          <w:b w:val="0"/>
          <w:bCs/>
          <w:sz w:val="32"/>
          <w:szCs w:val="32"/>
          <w:highlight w:val="none"/>
          <w:shd w:val="clear" w:color="auto" w:fill="FFFFFF"/>
        </w:rPr>
      </w:pPr>
      <w:r>
        <w:rPr>
          <w:rFonts w:hint="default" w:ascii="Times New Roman" w:hAnsi="Times New Roman" w:eastAsia="方正仿宋_GBK" w:cs="方正仿宋_GBK"/>
          <w:b w:val="0"/>
          <w:bCs/>
          <w:sz w:val="32"/>
          <w:szCs w:val="32"/>
          <w:highlight w:val="none"/>
          <w:shd w:val="clear" w:color="auto" w:fill="FFFFFF"/>
        </w:rPr>
        <w:t>重点绩效评价结果</w:t>
      </w:r>
    </w:p>
    <w:p w14:paraId="1BBE056C">
      <w:pPr>
        <w:pStyle w:val="5"/>
        <w:keepNext w:val="0"/>
        <w:keepLines w:val="0"/>
        <w:pageBreakBefore w:val="0"/>
        <w:widowControl/>
        <w:numPr>
          <w:ilvl w:val="0"/>
          <w:numId w:val="0"/>
        </w:numPr>
        <w:kinsoku/>
        <w:wordWrap/>
        <w:overflowPunct/>
        <w:topLinePunct w:val="0"/>
        <w:autoSpaceDN/>
        <w:bidi w:val="0"/>
        <w:adjustRightInd/>
        <w:snapToGrid w:val="0"/>
        <w:spacing w:before="0" w:beforeAutospacing="0" w:after="0" w:afterAutospacing="0" w:line="600" w:lineRule="exact"/>
        <w:ind w:leftChars="200" w:right="0" w:rightChars="0"/>
        <w:jc w:val="both"/>
        <w:textAlignment w:val="auto"/>
        <w:rPr>
          <w:rFonts w:hint="default" w:ascii="Times New Roman" w:hAnsi="Times New Roman" w:eastAsia="方正仿宋_GBK" w:cs="方正仿宋_GBK"/>
          <w:b w:val="0"/>
          <w:bCs/>
          <w:sz w:val="32"/>
          <w:szCs w:val="32"/>
          <w:highlight w:val="none"/>
          <w:shd w:val="clear" w:color="auto" w:fill="FFFFFF"/>
          <w:lang w:val="en-US" w:eastAsia="zh-CN"/>
        </w:rPr>
      </w:pPr>
      <w:r>
        <w:rPr>
          <w:rFonts w:hint="eastAsia" w:ascii="Times New Roman" w:hAnsi="Times New Roman" w:eastAsia="方正仿宋_GBK" w:cs="方正仿宋_GBK"/>
          <w:b w:val="0"/>
          <w:bCs/>
          <w:sz w:val="32"/>
          <w:szCs w:val="32"/>
          <w:highlight w:val="none"/>
          <w:shd w:val="clear" w:color="auto" w:fill="FFFFFF"/>
          <w:lang w:val="en-US" w:eastAsia="zh-CN"/>
        </w:rPr>
        <w:t xml:space="preserve">  无</w:t>
      </w:r>
    </w:p>
    <w:p w14:paraId="27E38F3C">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textAlignment w:val="auto"/>
        <w:rPr>
          <w:rStyle w:val="9"/>
          <w:rFonts w:hint="eastAsia" w:ascii="Times New Roman" w:hAnsi="Times New Roman" w:eastAsia="方正仿宋_GBK" w:cs="方正仿宋_GBK"/>
          <w:b w:val="0"/>
          <w:bCs/>
          <w:sz w:val="32"/>
          <w:szCs w:val="32"/>
          <w:shd w:val="clear" w:color="auto" w:fill="FFFFFF"/>
          <w:lang w:val="en-US" w:eastAsia="zh-CN"/>
        </w:rPr>
      </w:pPr>
      <w:r>
        <w:rPr>
          <w:rStyle w:val="9"/>
          <w:rFonts w:hint="eastAsia" w:ascii="Times New Roman" w:hAnsi="Times New Roman" w:eastAsia="黑体" w:cs="黑体"/>
          <w:b w:val="0"/>
          <w:bCs/>
          <w:sz w:val="32"/>
          <w:szCs w:val="32"/>
          <w:shd w:val="clear" w:color="auto" w:fill="FFFFFF"/>
          <w:lang w:val="en-US" w:eastAsia="zh-CN"/>
        </w:rPr>
        <w:t>六、专业名词解释</w:t>
      </w:r>
    </w:p>
    <w:p w14:paraId="72749ECA">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rPr>
      </w:pPr>
      <w:r>
        <w:rPr>
          <w:rFonts w:hint="eastAsia" w:ascii="Times New Roman" w:hAnsi="Times New Roman" w:eastAsia="方正仿宋_GBK" w:cs="方正仿宋_GBK"/>
          <w:b w:val="0"/>
          <w:bCs/>
          <w:sz w:val="32"/>
          <w:szCs w:val="32"/>
          <w:shd w:val="clear" w:color="auto" w:fill="FFFFFF"/>
        </w:rPr>
        <w:t>以下为常见专业名词解释目录，仅供参考，</w:t>
      </w:r>
    </w:p>
    <w:p w14:paraId="590C1539">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（一）财政拨款收入：指本年度从本级财政部门取得的财政拨款，包括一般公共预算财政拨款和政府性基金预算财政拨款。</w:t>
      </w:r>
    </w:p>
    <w:p w14:paraId="2FEE6D21">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（二）事业收入：指事业单位开展专业业务活动及其辅助活动取得的现金流入；事业单位收到的财政专户实际核拨的教育收费等资金在此反映。</w:t>
      </w:r>
    </w:p>
    <w:p w14:paraId="668300A5">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（三）经营收入：指事业单位在专业业务活动及其辅助活动之外开展非独立核算经营活动取得的现金流入。</w:t>
      </w:r>
    </w:p>
    <w:p w14:paraId="2DED8E48">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bookmarkStart w:id="0" w:name="_GoBack"/>
      <w:bookmarkEnd w:id="0"/>
      <w:r>
        <w:rPr>
          <w:rFonts w:hint="eastAsia" w:ascii="方正楷体_GBK" w:hAnsi="方正楷体_GBK" w:eastAsia="方正楷体_GBK" w:cs="方正楷体_GBK"/>
          <w:b w:val="0"/>
          <w:bCs w:val="0"/>
          <w:sz w:val="32"/>
          <w:szCs w:val="32"/>
          <w:shd w:val="clear" w:color="auto" w:fill="FFFFFF"/>
          <w:lang w:val="en-US" w:eastAsia="zh-CN" w:bidi="ar"/>
        </w:rPr>
        <w:t>（四）其他收入：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14:paraId="06254475">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（五）使用非财政拨款结余：指单位在当年的“财政拨款收入”、“事业收入”、“经营收入”、“其他收入”等不足以安排当年支出的情况下，使用以前年度积累的非财政拨款结余弥补本年度收支缺口的资金。</w:t>
      </w:r>
    </w:p>
    <w:p w14:paraId="4EB9228A">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（六）年初结转和结余：指单位上年结转本年使用的基本支出结转、项目支出结转和结余、经营结余。</w:t>
      </w:r>
    </w:p>
    <w:p w14:paraId="1D6ABA40">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（七）结余分配：指单位按照国家有关规定，缴纳所得税、提取专用基金、转入非财政拨款结余等当年结余的分配情况。</w:t>
      </w:r>
    </w:p>
    <w:p w14:paraId="4DA0BF61">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（八）年末结转和结余：指单位结转下年的基本支出结转、项目支出结转和结余、经营结余。</w:t>
      </w:r>
    </w:p>
    <w:p w14:paraId="7BBF12E0">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九）基本支出：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14:paraId="406A0880">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（十）项目支出：指在基本支出之外为完成特定行政任务和事业发展目标所发生的支出。</w:t>
      </w:r>
    </w:p>
    <w:p w14:paraId="4D7F283E">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（十一）经营支出：指事业单位在专业业务活动及其辅助活动之外开展非独立核算经营活动发生的支出。</w:t>
      </w:r>
    </w:p>
    <w:p w14:paraId="1932E5C8">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十二）“三公”经费：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14:paraId="2DD112B2">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十三）机关运行经费：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14:paraId="7274E1CE">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（十四）工资福利支出（支出经济分类科目类级）：反映单位开支的在职职工和编制外长期聘用人员的各类劳动报酬，以及为上述人员缴纳的各项社会保险费等。</w:t>
      </w:r>
    </w:p>
    <w:p w14:paraId="0156A7A3">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（十五）商品和服务支出（支出经济分类科目类级）：反映单位购买商品和服务的支出（不包括用于购置固定资产的支出、战略性和应急储备支出）。</w:t>
      </w:r>
    </w:p>
    <w:p w14:paraId="71690CAA">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（十六）对个人和家庭的补助（支出经济分类科目类级）：反映用于对个人和家庭的补助支出。</w:t>
      </w:r>
    </w:p>
    <w:p w14:paraId="43B838D8">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方正楷体_GBK" w:hAnsi="方正楷体_GBK" w:eastAsia="方正楷体_GBK" w:cs="方正楷体_GBK"/>
          <w:b w:val="0"/>
          <w:bCs w:val="0"/>
          <w:sz w:val="32"/>
          <w:szCs w:val="32"/>
          <w:shd w:val="clear" w:color="auto" w:fill="FFFFFF"/>
          <w:lang w:val="en-US" w:eastAsia="zh-CN" w:bidi="ar"/>
        </w:rPr>
      </w:pPr>
      <w:r>
        <w:rPr>
          <w:rFonts w:hint="eastAsia" w:ascii="方正楷体_GBK" w:hAnsi="方正楷体_GBK" w:eastAsia="方正楷体_GBK" w:cs="方正楷体_GBK"/>
          <w:b w:val="0"/>
          <w:bCs w:val="0"/>
          <w:sz w:val="32"/>
          <w:szCs w:val="32"/>
          <w:shd w:val="clear" w:color="auto" w:fill="FFFFFF"/>
          <w:lang w:val="en-US" w:eastAsia="zh-CN" w:bidi="ar"/>
        </w:rPr>
        <w:t>（十七）其他资本性支出（支出经济分类科目类级）：反映非各级发展与改革部门集中安排的用于购置固定资产、战略性和应急性储备、土地和无形资产，以及构建基础设施、大型修缮和财政支持企业更新改造所发生的支出。</w:t>
      </w:r>
    </w:p>
    <w:p w14:paraId="35294123">
      <w:pPr>
        <w:pStyle w:val="5"/>
        <w:keepNext w:val="0"/>
        <w:keepLines w:val="0"/>
        <w:pageBreakBefore w:val="0"/>
        <w:widowControl/>
        <w:shd w:val="clear" w:color="auto" w:fill="FFFFFF"/>
        <w:kinsoku/>
        <w:wordWrap/>
        <w:overflowPunct/>
        <w:topLinePunct w:val="0"/>
        <w:autoSpaceDN/>
        <w:bidi w:val="0"/>
        <w:adjustRightInd/>
        <w:spacing w:before="0" w:beforeAutospacing="0" w:after="0" w:afterAutospacing="0" w:line="600" w:lineRule="exact"/>
        <w:textAlignment w:val="auto"/>
        <w:rPr>
          <w:rStyle w:val="9"/>
          <w:rFonts w:hint="eastAsia" w:ascii="Times New Roman" w:hAnsi="Times New Roman" w:eastAsia="方正仿宋_GBK" w:cs="方正仿宋_GBK"/>
          <w:b w:val="0"/>
          <w:bCs/>
          <w:sz w:val="32"/>
          <w:szCs w:val="32"/>
          <w:shd w:val="clear" w:color="auto" w:fill="FFFFFF"/>
          <w:lang w:val="en-US" w:eastAsia="zh-CN"/>
        </w:rPr>
      </w:pPr>
      <w:r>
        <w:rPr>
          <w:rStyle w:val="9"/>
          <w:rFonts w:hint="eastAsia" w:ascii="Times New Roman" w:hAnsi="Times New Roman" w:eastAsia="黑体" w:cs="黑体"/>
          <w:b w:val="0"/>
          <w:bCs/>
          <w:sz w:val="32"/>
          <w:szCs w:val="32"/>
          <w:shd w:val="clear" w:color="auto" w:fill="FFFFFF"/>
          <w:lang w:val="en-US" w:eastAsia="zh-CN"/>
        </w:rPr>
        <w:t>七、决算公开联系方式及信息反馈渠道</w:t>
      </w:r>
    </w:p>
    <w:p w14:paraId="08E97694">
      <w:pPr>
        <w:pStyle w:val="5"/>
        <w:keepNext w:val="0"/>
        <w:keepLines w:val="0"/>
        <w:pageBreakBefore w:val="0"/>
        <w:widowControl/>
        <w:kinsoku/>
        <w:wordWrap/>
        <w:overflowPunct/>
        <w:topLinePunct w:val="0"/>
        <w:autoSpaceDN/>
        <w:bidi w:val="0"/>
        <w:adjustRightInd/>
        <w:snapToGrid w:val="0"/>
        <w:spacing w:before="0" w:beforeAutospacing="0" w:after="0" w:afterAutospacing="0" w:line="600" w:lineRule="exact"/>
        <w:ind w:firstLine="640" w:firstLineChars="200"/>
        <w:jc w:val="both"/>
        <w:textAlignment w:val="auto"/>
        <w:rPr>
          <w:rFonts w:hint="eastAsia" w:ascii="Times New Roman" w:hAnsi="Times New Roman" w:eastAsia="方正仿宋_GBK" w:cs="方正仿宋_GBK"/>
          <w:b w:val="0"/>
          <w:bCs/>
          <w:sz w:val="32"/>
          <w:szCs w:val="32"/>
          <w:highlight w:val="none"/>
          <w:shd w:val="clear" w:color="auto" w:fill="FFFFFF"/>
          <w:lang w:val="en-US" w:eastAsia="zh-CN"/>
        </w:rPr>
      </w:pPr>
      <w:r>
        <w:rPr>
          <w:rFonts w:hint="default" w:ascii="Times New Roman" w:hAnsi="Times New Roman" w:eastAsia="方正仿宋_GBK" w:cs="方正仿宋_GBK"/>
          <w:b w:val="0"/>
          <w:bCs/>
          <w:sz w:val="32"/>
          <w:szCs w:val="32"/>
          <w:highlight w:val="none"/>
          <w:shd w:val="clear" w:color="auto" w:fill="FFFFFF"/>
        </w:rPr>
        <w:t>本单位决算公开信息反馈和联系方式：</w:t>
      </w:r>
      <w:r>
        <w:rPr>
          <w:rFonts w:hint="eastAsia" w:ascii="Times New Roman" w:hAnsi="Times New Roman" w:eastAsia="方正仿宋_GBK" w:cs="方正仿宋_GBK"/>
          <w:b w:val="0"/>
          <w:bCs/>
          <w:sz w:val="32"/>
          <w:szCs w:val="32"/>
          <w:highlight w:val="none"/>
          <w:shd w:val="clear" w:color="auto" w:fill="FFFFFF"/>
          <w:lang w:val="en-US" w:eastAsia="zh-CN"/>
        </w:rPr>
        <w:t>023-44316513</w:t>
      </w:r>
    </w:p>
    <w:p w14:paraId="205F1C3F">
      <w:pPr>
        <w:pStyle w:val="5"/>
        <w:keepNext w:val="0"/>
        <w:keepLines w:val="0"/>
        <w:pageBreakBefore w:val="0"/>
        <w:widowControl/>
        <w:kinsoku/>
        <w:overflowPunct/>
        <w:topLinePunct w:val="0"/>
        <w:autoSpaceDN/>
        <w:bidi w:val="0"/>
        <w:adjustRightInd/>
        <w:snapToGrid w:val="0"/>
        <w:spacing w:before="0" w:beforeAutospacing="0" w:after="0" w:afterAutospacing="0" w:line="600" w:lineRule="exact"/>
        <w:ind w:left="0" w:leftChars="0" w:firstLine="640" w:firstLineChars="200"/>
        <w:jc w:val="both"/>
        <w:rPr>
          <w:rFonts w:hint="eastAsia" w:ascii="Times New Roman" w:hAnsi="Times New Roman" w:eastAsia="方正仿宋_GBK" w:cs="方正仿宋_GBK"/>
          <w:b w:val="0"/>
          <w:bCs w:val="0"/>
          <w:sz w:val="32"/>
          <w:szCs w:val="32"/>
          <w:highlight w:val="none"/>
          <w:shd w:val="clear" w:color="auto" w:fill="FFFFFF"/>
          <w:lang w:val="en-US" w:eastAsia="zh-CN"/>
        </w:rPr>
      </w:pPr>
      <w:r>
        <w:rPr>
          <w:rFonts w:hint="eastAsia" w:ascii="Times New Roman" w:hAnsi="Times New Roman" w:eastAsia="方正仿宋_GBK" w:cs="方正仿宋_GBK"/>
          <w:b w:val="0"/>
          <w:bCs w:val="0"/>
          <w:sz w:val="32"/>
          <w:szCs w:val="32"/>
          <w:highlight w:val="none"/>
          <w:shd w:val="clear" w:color="auto" w:fill="FFFFFF"/>
          <w:lang w:val="en-US" w:eastAsia="zh-CN"/>
        </w:rPr>
        <w:t>附件：1.收入支出决算总表</w:t>
      </w:r>
    </w:p>
    <w:p w14:paraId="191D9B4E">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eastAsia" w:ascii="Times New Roman" w:hAnsi="Times New Roman" w:eastAsia="方正仿宋_GBK" w:cs="方正仿宋_GBK"/>
          <w:b w:val="0"/>
          <w:bCs w:val="0"/>
          <w:sz w:val="32"/>
          <w:szCs w:val="32"/>
          <w:highlight w:val="none"/>
          <w:shd w:val="clear" w:color="auto" w:fill="FFFFFF"/>
          <w:lang w:val="en-US" w:eastAsia="zh-CN"/>
        </w:rPr>
      </w:pPr>
      <w:r>
        <w:rPr>
          <w:rFonts w:hint="eastAsia" w:ascii="Times New Roman" w:hAnsi="Times New Roman" w:eastAsia="方正仿宋_GBK" w:cs="方正仿宋_GBK"/>
          <w:b w:val="0"/>
          <w:bCs w:val="0"/>
          <w:sz w:val="32"/>
          <w:szCs w:val="32"/>
          <w:highlight w:val="none"/>
          <w:shd w:val="clear" w:color="auto" w:fill="FFFFFF"/>
          <w:lang w:val="en-US" w:eastAsia="zh-CN"/>
        </w:rPr>
        <w:t>2.收入决算表</w:t>
      </w:r>
    </w:p>
    <w:p w14:paraId="2887AB1A">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方正仿宋_GBK"/>
          <w:b w:val="0"/>
          <w:bCs w:val="0"/>
          <w:sz w:val="32"/>
          <w:szCs w:val="32"/>
          <w:highlight w:val="none"/>
          <w:shd w:val="clear" w:color="auto" w:fill="FFFFFF"/>
          <w:lang w:val="en-US" w:eastAsia="zh-CN"/>
        </w:rPr>
      </w:pPr>
      <w:r>
        <w:rPr>
          <w:rFonts w:hint="eastAsia" w:ascii="Times New Roman" w:hAnsi="Times New Roman" w:eastAsia="方正仿宋_GBK" w:cs="方正仿宋_GBK"/>
          <w:b w:val="0"/>
          <w:bCs w:val="0"/>
          <w:sz w:val="32"/>
          <w:szCs w:val="32"/>
          <w:highlight w:val="none"/>
          <w:shd w:val="clear" w:color="auto" w:fill="FFFFFF"/>
          <w:lang w:val="en-US" w:eastAsia="zh-CN"/>
        </w:rPr>
        <w:t>3.</w:t>
      </w:r>
      <w:r>
        <w:rPr>
          <w:rFonts w:hint="default" w:ascii="Times New Roman" w:hAnsi="Times New Roman" w:eastAsia="方正仿宋_GBK" w:cs="方正仿宋_GBK"/>
          <w:b w:val="0"/>
          <w:bCs w:val="0"/>
          <w:sz w:val="32"/>
          <w:szCs w:val="32"/>
          <w:highlight w:val="none"/>
          <w:shd w:val="clear" w:color="auto" w:fill="FFFFFF"/>
          <w:lang w:val="en-US" w:eastAsia="zh-CN"/>
        </w:rPr>
        <w:t>支出决算表</w:t>
      </w:r>
    </w:p>
    <w:p w14:paraId="3E71270B">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eastAsia" w:ascii="Times New Roman" w:hAnsi="Times New Roman" w:eastAsia="方正仿宋_GBK" w:cs="方正仿宋_GBK"/>
          <w:b w:val="0"/>
          <w:bCs w:val="0"/>
          <w:sz w:val="32"/>
          <w:szCs w:val="32"/>
          <w:highlight w:val="none"/>
          <w:shd w:val="clear" w:color="auto" w:fill="FFFFFF"/>
          <w:lang w:val="en-US" w:eastAsia="zh-CN"/>
        </w:rPr>
      </w:pPr>
      <w:r>
        <w:rPr>
          <w:rFonts w:hint="eastAsia" w:ascii="Times New Roman" w:hAnsi="Times New Roman" w:eastAsia="方正仿宋_GBK" w:cs="方正仿宋_GBK"/>
          <w:b w:val="0"/>
          <w:bCs w:val="0"/>
          <w:sz w:val="32"/>
          <w:szCs w:val="32"/>
          <w:highlight w:val="none"/>
          <w:shd w:val="clear" w:color="auto" w:fill="FFFFFF"/>
          <w:lang w:val="en-US" w:eastAsia="zh-CN"/>
        </w:rPr>
        <w:t>4.财政拨款收入支出决算总表</w:t>
      </w:r>
    </w:p>
    <w:p w14:paraId="7FCCD9CF">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方正仿宋_GBK"/>
          <w:b w:val="0"/>
          <w:bCs w:val="0"/>
          <w:sz w:val="32"/>
          <w:szCs w:val="32"/>
          <w:highlight w:val="none"/>
          <w:shd w:val="clear" w:color="auto" w:fill="FFFFFF"/>
          <w:lang w:val="en-US" w:eastAsia="zh-CN"/>
        </w:rPr>
      </w:pPr>
      <w:r>
        <w:rPr>
          <w:rFonts w:hint="eastAsia" w:ascii="Times New Roman" w:hAnsi="Times New Roman" w:eastAsia="方正仿宋_GBK" w:cs="方正仿宋_GBK"/>
          <w:b w:val="0"/>
          <w:bCs w:val="0"/>
          <w:sz w:val="32"/>
          <w:szCs w:val="32"/>
          <w:highlight w:val="none"/>
          <w:shd w:val="clear" w:color="auto" w:fill="FFFFFF"/>
          <w:lang w:val="en-US" w:eastAsia="zh-CN"/>
        </w:rPr>
        <w:t>5.</w:t>
      </w:r>
      <w:r>
        <w:rPr>
          <w:rFonts w:hint="default" w:ascii="Times New Roman" w:hAnsi="Times New Roman" w:eastAsia="方正仿宋_GBK" w:cs="方正仿宋_GBK"/>
          <w:b w:val="0"/>
          <w:bCs w:val="0"/>
          <w:sz w:val="32"/>
          <w:szCs w:val="32"/>
          <w:highlight w:val="none"/>
          <w:shd w:val="clear" w:color="auto" w:fill="FFFFFF"/>
          <w:lang w:val="en-US" w:eastAsia="zh-CN"/>
        </w:rPr>
        <w:t>一般公共预算财政拨款支出决算表</w:t>
      </w:r>
    </w:p>
    <w:p w14:paraId="66931566">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方正仿宋_GBK"/>
          <w:b w:val="0"/>
          <w:bCs w:val="0"/>
          <w:sz w:val="32"/>
          <w:szCs w:val="32"/>
          <w:highlight w:val="none"/>
          <w:shd w:val="clear" w:color="auto" w:fill="FFFFFF"/>
          <w:lang w:val="en-US" w:eastAsia="zh-CN"/>
        </w:rPr>
      </w:pPr>
      <w:r>
        <w:rPr>
          <w:rFonts w:hint="eastAsia" w:ascii="Times New Roman" w:hAnsi="Times New Roman" w:eastAsia="方正仿宋_GBK" w:cs="方正仿宋_GBK"/>
          <w:b w:val="0"/>
          <w:bCs w:val="0"/>
          <w:sz w:val="32"/>
          <w:szCs w:val="32"/>
          <w:highlight w:val="none"/>
          <w:shd w:val="clear" w:color="auto" w:fill="FFFFFF"/>
          <w:lang w:val="en-US" w:eastAsia="zh-CN"/>
        </w:rPr>
        <w:t>6.</w:t>
      </w:r>
      <w:r>
        <w:rPr>
          <w:rFonts w:hint="default" w:ascii="Times New Roman" w:hAnsi="Times New Roman" w:eastAsia="方正仿宋_GBK" w:cs="方正仿宋_GBK"/>
          <w:b w:val="0"/>
          <w:bCs w:val="0"/>
          <w:sz w:val="32"/>
          <w:szCs w:val="32"/>
          <w:highlight w:val="none"/>
          <w:shd w:val="clear" w:color="auto" w:fill="FFFFFF"/>
          <w:lang w:val="en-US" w:eastAsia="zh-CN"/>
        </w:rPr>
        <w:t>一般公共预算财政拨款基本支出决算表</w:t>
      </w:r>
    </w:p>
    <w:p w14:paraId="0B379C25">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方正仿宋_GBK"/>
          <w:b w:val="0"/>
          <w:bCs w:val="0"/>
          <w:sz w:val="32"/>
          <w:szCs w:val="32"/>
          <w:highlight w:val="none"/>
          <w:shd w:val="clear" w:color="auto" w:fill="FFFFFF"/>
          <w:lang w:val="en-US" w:eastAsia="zh-CN"/>
        </w:rPr>
      </w:pPr>
      <w:r>
        <w:rPr>
          <w:rFonts w:hint="eastAsia" w:ascii="Times New Roman" w:hAnsi="Times New Roman" w:eastAsia="方正仿宋_GBK" w:cs="方正仿宋_GBK"/>
          <w:b w:val="0"/>
          <w:bCs w:val="0"/>
          <w:sz w:val="32"/>
          <w:szCs w:val="32"/>
          <w:highlight w:val="none"/>
          <w:shd w:val="clear" w:color="auto" w:fill="FFFFFF"/>
          <w:lang w:val="en-US" w:eastAsia="zh-CN"/>
        </w:rPr>
        <w:t>7.</w:t>
      </w:r>
      <w:r>
        <w:rPr>
          <w:rFonts w:hint="default" w:ascii="Times New Roman" w:hAnsi="Times New Roman" w:eastAsia="方正仿宋_GBK" w:cs="方正仿宋_GBK"/>
          <w:b w:val="0"/>
          <w:bCs w:val="0"/>
          <w:sz w:val="32"/>
          <w:szCs w:val="32"/>
          <w:highlight w:val="none"/>
          <w:shd w:val="clear" w:color="auto" w:fill="FFFFFF"/>
          <w:lang w:val="en-US" w:eastAsia="zh-CN"/>
        </w:rPr>
        <w:t>政府性基金预算财政拨款收入支出决算表</w:t>
      </w:r>
    </w:p>
    <w:p w14:paraId="18C699C0">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Fonts w:hint="default" w:ascii="Times New Roman" w:hAnsi="Times New Roman" w:eastAsia="方正仿宋_GBK" w:cs="方正仿宋_GBK"/>
          <w:b w:val="0"/>
          <w:bCs w:val="0"/>
          <w:sz w:val="32"/>
          <w:szCs w:val="32"/>
          <w:highlight w:val="none"/>
          <w:shd w:val="clear" w:color="auto" w:fill="FFFFFF"/>
          <w:lang w:val="en-US" w:eastAsia="zh-CN"/>
        </w:rPr>
      </w:pPr>
      <w:r>
        <w:rPr>
          <w:rFonts w:hint="eastAsia" w:ascii="Times New Roman" w:hAnsi="Times New Roman" w:eastAsia="方正仿宋_GBK" w:cs="方正仿宋_GBK"/>
          <w:b w:val="0"/>
          <w:bCs w:val="0"/>
          <w:sz w:val="32"/>
          <w:szCs w:val="32"/>
          <w:highlight w:val="none"/>
          <w:shd w:val="clear" w:color="auto" w:fill="FFFFFF"/>
          <w:lang w:val="en-US" w:eastAsia="zh-CN"/>
        </w:rPr>
        <w:t>8.</w:t>
      </w:r>
      <w:r>
        <w:rPr>
          <w:rFonts w:hint="default" w:ascii="Times New Roman" w:hAnsi="Times New Roman" w:eastAsia="方正仿宋_GBK" w:cs="方正仿宋_GBK"/>
          <w:b w:val="0"/>
          <w:bCs w:val="0"/>
          <w:sz w:val="32"/>
          <w:szCs w:val="32"/>
          <w:highlight w:val="none"/>
          <w:shd w:val="clear" w:color="auto" w:fill="FFFFFF"/>
          <w:lang w:val="en-US" w:eastAsia="zh-CN"/>
        </w:rPr>
        <w:t>国有资本经营预算财政拨款支出决算表</w:t>
      </w:r>
    </w:p>
    <w:p w14:paraId="24445894">
      <w:pPr>
        <w:pStyle w:val="5"/>
        <w:keepNext w:val="0"/>
        <w:keepLines w:val="0"/>
        <w:pageBreakBefore w:val="0"/>
        <w:widowControl/>
        <w:numPr>
          <w:ilvl w:val="0"/>
          <w:numId w:val="0"/>
        </w:numPr>
        <w:kinsoku/>
        <w:overflowPunct/>
        <w:topLinePunct w:val="0"/>
        <w:autoSpaceDN/>
        <w:bidi w:val="0"/>
        <w:adjustRightInd/>
        <w:snapToGrid w:val="0"/>
        <w:spacing w:before="0" w:beforeAutospacing="0" w:after="0" w:afterAutospacing="0" w:line="600" w:lineRule="exact"/>
        <w:ind w:left="1600" w:leftChars="0"/>
        <w:jc w:val="both"/>
        <w:rPr>
          <w:rStyle w:val="9"/>
          <w:rFonts w:hint="eastAsia" w:ascii="Times New Roman" w:hAnsi="Times New Roman" w:eastAsia="方正仿宋_GBK" w:cs="方正仿宋_GBK"/>
          <w:b w:val="0"/>
          <w:bCs w:val="0"/>
          <w:sz w:val="32"/>
          <w:szCs w:val="32"/>
          <w:shd w:val="clear" w:color="auto" w:fill="FFFF00"/>
        </w:rPr>
        <w:sectPr>
          <w:footerReference r:id="rId3" w:type="default"/>
          <w:pgSz w:w="11915" w:h="16840"/>
          <w:pgMar w:top="1440" w:right="1800" w:bottom="1440" w:left="1800" w:header="851" w:footer="992" w:gutter="0"/>
          <w:pgNumType w:fmt="numberInDash"/>
          <w:cols w:space="720" w:num="1"/>
          <w:docGrid w:type="lines" w:linePitch="312" w:charSpace="0"/>
        </w:sectPr>
      </w:pPr>
      <w:r>
        <w:rPr>
          <w:rFonts w:hint="eastAsia" w:ascii="Times New Roman" w:hAnsi="Times New Roman" w:eastAsia="方正仿宋_GBK" w:cs="方正仿宋_GBK"/>
          <w:b w:val="0"/>
          <w:bCs w:val="0"/>
          <w:sz w:val="32"/>
          <w:szCs w:val="32"/>
          <w:highlight w:val="none"/>
          <w:shd w:val="clear" w:color="auto" w:fill="FFFFFF"/>
          <w:lang w:val="en-US" w:eastAsia="zh-CN"/>
        </w:rPr>
        <w:t>9.</w:t>
      </w:r>
      <w:r>
        <w:rPr>
          <w:rFonts w:hint="default" w:ascii="Times New Roman" w:hAnsi="Times New Roman" w:eastAsia="方正仿宋_GBK" w:cs="方正仿宋_GBK"/>
          <w:b w:val="0"/>
          <w:bCs w:val="0"/>
          <w:sz w:val="32"/>
          <w:szCs w:val="32"/>
          <w:highlight w:val="none"/>
          <w:shd w:val="clear" w:color="auto" w:fill="FFFFFF"/>
          <w:lang w:val="en-US" w:eastAsia="zh-CN"/>
        </w:rPr>
        <w:t>机构运行信息表</w:t>
      </w:r>
    </w:p>
    <w:p w14:paraId="5A7A07F1">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宋体" w:hAnsi="宋体" w:eastAsia="宋体" w:cs="宋体"/>
          <w:sz w:val="21"/>
          <w:szCs w:val="21"/>
        </w:rPr>
      </w:pPr>
      <w:r>
        <w:rPr>
          <w:rFonts w:hint="eastAsia" w:ascii="方正黑体_GBK" w:hAnsi="方正黑体_GBK" w:eastAsia="方正黑体_GBK" w:cs="方正黑体_GBK"/>
          <w:b w:val="0"/>
          <w:bCs w:val="0"/>
          <w:sz w:val="32"/>
          <w:szCs w:val="32"/>
          <w:lang w:val="en-US" w:eastAsia="zh-CN"/>
        </w:rPr>
        <w:t>附件1</w:t>
      </w:r>
    </w:p>
    <w:tbl>
      <w:tblPr>
        <w:tblStyle w:val="6"/>
        <w:tblW w:w="5000" w:type="pct"/>
        <w:tblInd w:w="0" w:type="dxa"/>
        <w:shd w:val="clear" w:color="auto" w:fill="auto"/>
        <w:tblLayout w:type="autofit"/>
        <w:tblCellMar>
          <w:top w:w="0" w:type="dxa"/>
          <w:left w:w="0" w:type="dxa"/>
          <w:bottom w:w="0" w:type="dxa"/>
          <w:right w:w="0" w:type="dxa"/>
        </w:tblCellMar>
      </w:tblPr>
      <w:tblGrid>
        <w:gridCol w:w="6270"/>
        <w:gridCol w:w="2430"/>
        <w:gridCol w:w="4619"/>
        <w:gridCol w:w="2058"/>
      </w:tblGrid>
      <w:tr w14:paraId="5D818DB8">
        <w:tblPrEx>
          <w:shd w:val="clear" w:color="auto" w:fill="auto"/>
          <w:tblCellMar>
            <w:top w:w="0" w:type="dxa"/>
            <w:left w:w="0" w:type="dxa"/>
            <w:bottom w:w="0" w:type="dxa"/>
            <w:right w:w="0" w:type="dxa"/>
          </w:tblCellMar>
        </w:tblPrEx>
        <w:trPr>
          <w:trHeight w:val="565" w:hRule="atLeast"/>
        </w:trPr>
        <w:tc>
          <w:tcPr>
            <w:tcW w:w="5000" w:type="pct"/>
            <w:gridSpan w:val="4"/>
            <w:tcBorders>
              <w:top w:val="nil"/>
              <w:left w:val="nil"/>
              <w:bottom w:val="nil"/>
              <w:right w:val="nil"/>
            </w:tcBorders>
            <w:shd w:val="clear" w:color="auto" w:fill="auto"/>
            <w:noWrap/>
            <w:tcMar>
              <w:top w:w="15" w:type="dxa"/>
              <w:left w:w="15" w:type="dxa"/>
              <w:right w:w="15" w:type="dxa"/>
            </w:tcMar>
            <w:vAlign w:val="bottom"/>
          </w:tcPr>
          <w:p w14:paraId="45FA395B">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收入支出决算总表</w:t>
            </w:r>
          </w:p>
        </w:tc>
      </w:tr>
      <w:tr w14:paraId="5F33E3FB">
        <w:tblPrEx>
          <w:tblCellMar>
            <w:top w:w="0" w:type="dxa"/>
            <w:left w:w="0" w:type="dxa"/>
            <w:bottom w:w="0" w:type="dxa"/>
            <w:right w:w="0" w:type="dxa"/>
          </w:tblCellMar>
        </w:tblPrEx>
        <w:trPr>
          <w:trHeight w:val="289" w:hRule="atLeast"/>
        </w:trPr>
        <w:tc>
          <w:tcPr>
            <w:tcW w:w="1475" w:type="pct"/>
            <w:tcBorders>
              <w:top w:val="nil"/>
              <w:left w:val="nil"/>
              <w:bottom w:val="nil"/>
              <w:right w:val="nil"/>
            </w:tcBorders>
            <w:shd w:val="clear" w:color="auto" w:fill="auto"/>
            <w:noWrap/>
            <w:tcMar>
              <w:top w:w="15" w:type="dxa"/>
              <w:left w:w="15" w:type="dxa"/>
              <w:right w:w="15" w:type="dxa"/>
            </w:tcMar>
            <w:vAlign w:val="bottom"/>
          </w:tcPr>
          <w:p w14:paraId="1CDD25A8">
            <w:pPr>
              <w:rPr>
                <w:rFonts w:hint="default" w:ascii="Arial" w:hAnsi="Arial" w:eastAsia="宋体" w:cs="Arial"/>
                <w:i w:val="0"/>
                <w:color w:val="000000"/>
                <w:sz w:val="20"/>
                <w:szCs w:val="20"/>
                <w:u w:val="none"/>
              </w:rPr>
            </w:pPr>
          </w:p>
        </w:tc>
        <w:tc>
          <w:tcPr>
            <w:tcW w:w="977" w:type="pct"/>
            <w:tcBorders>
              <w:top w:val="nil"/>
              <w:left w:val="nil"/>
              <w:bottom w:val="nil"/>
              <w:right w:val="nil"/>
            </w:tcBorders>
            <w:shd w:val="clear" w:color="auto" w:fill="auto"/>
            <w:noWrap/>
            <w:tcMar>
              <w:top w:w="15" w:type="dxa"/>
              <w:left w:w="15" w:type="dxa"/>
              <w:right w:w="15" w:type="dxa"/>
            </w:tcMar>
            <w:vAlign w:val="bottom"/>
          </w:tcPr>
          <w:p w14:paraId="2AD488B2">
            <w:pPr>
              <w:jc w:val="right"/>
              <w:rPr>
                <w:rFonts w:hint="default" w:ascii="Arial" w:hAnsi="Arial" w:eastAsia="宋体" w:cs="Arial"/>
                <w:i w:val="0"/>
                <w:color w:val="000000"/>
                <w:sz w:val="20"/>
                <w:szCs w:val="20"/>
                <w:u w:val="none"/>
              </w:rPr>
            </w:pPr>
          </w:p>
        </w:tc>
        <w:tc>
          <w:tcPr>
            <w:tcW w:w="1690" w:type="pct"/>
            <w:tcBorders>
              <w:top w:val="nil"/>
              <w:left w:val="nil"/>
              <w:bottom w:val="nil"/>
              <w:right w:val="nil"/>
            </w:tcBorders>
            <w:shd w:val="clear" w:color="auto" w:fill="auto"/>
            <w:noWrap/>
            <w:tcMar>
              <w:top w:w="15" w:type="dxa"/>
              <w:left w:w="15" w:type="dxa"/>
              <w:right w:w="15" w:type="dxa"/>
            </w:tcMar>
            <w:vAlign w:val="bottom"/>
          </w:tcPr>
          <w:p w14:paraId="7756D992">
            <w:pPr>
              <w:rPr>
                <w:rFonts w:hint="default" w:ascii="Arial" w:hAnsi="Arial" w:eastAsia="宋体" w:cs="Arial"/>
                <w:i w:val="0"/>
                <w:color w:val="000000"/>
                <w:sz w:val="20"/>
                <w:szCs w:val="20"/>
                <w:u w:val="none"/>
              </w:rPr>
            </w:pPr>
          </w:p>
        </w:tc>
        <w:tc>
          <w:tcPr>
            <w:tcW w:w="856" w:type="pct"/>
            <w:tcBorders>
              <w:top w:val="nil"/>
              <w:left w:val="nil"/>
              <w:bottom w:val="nil"/>
              <w:right w:val="nil"/>
            </w:tcBorders>
            <w:shd w:val="clear" w:color="auto" w:fill="auto"/>
            <w:noWrap/>
            <w:tcMar>
              <w:top w:w="15" w:type="dxa"/>
              <w:left w:w="15" w:type="dxa"/>
              <w:right w:w="15" w:type="dxa"/>
            </w:tcMar>
            <w:vAlign w:val="bottom"/>
          </w:tcPr>
          <w:p w14:paraId="449C5E4C">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公开01表</w:t>
            </w:r>
          </w:p>
        </w:tc>
      </w:tr>
      <w:tr w14:paraId="64A3413B">
        <w:tblPrEx>
          <w:shd w:val="clear" w:color="auto" w:fill="auto"/>
          <w:tblCellMar>
            <w:top w:w="0" w:type="dxa"/>
            <w:left w:w="0" w:type="dxa"/>
            <w:bottom w:w="0" w:type="dxa"/>
            <w:right w:w="0" w:type="dxa"/>
          </w:tblCellMar>
        </w:tblPrEx>
        <w:trPr>
          <w:trHeight w:val="289" w:hRule="atLeast"/>
        </w:trPr>
        <w:tc>
          <w:tcPr>
            <w:tcW w:w="1475" w:type="pct"/>
            <w:tcBorders>
              <w:top w:val="nil"/>
              <w:left w:val="nil"/>
              <w:bottom w:val="nil"/>
              <w:right w:val="nil"/>
            </w:tcBorders>
            <w:shd w:val="clear" w:color="auto" w:fill="auto"/>
            <w:noWrap/>
            <w:tcMar>
              <w:top w:w="15" w:type="dxa"/>
              <w:left w:w="15" w:type="dxa"/>
              <w:right w:w="15" w:type="dxa"/>
            </w:tcMar>
            <w:vAlign w:val="bottom"/>
          </w:tcPr>
          <w:p w14:paraId="1338DDCB">
            <w:pPr>
              <w:keepNext w:val="0"/>
              <w:keepLines w:val="0"/>
              <w:widowControl/>
              <w:suppressLineNumbers w:val="0"/>
              <w:jc w:val="left"/>
              <w:textAlignment w:val="bottom"/>
              <w:rPr>
                <w:rFonts w:hint="eastAsia" w:ascii="宋体" w:hAnsi="宋体" w:eastAsia="宋体" w:cs="宋体"/>
                <w:i w:val="0"/>
                <w:color w:val="000000"/>
                <w:sz w:val="24"/>
                <w:szCs w:val="24"/>
                <w:u w:val="none"/>
              </w:rPr>
            </w:pPr>
            <w:r>
              <w:rPr>
                <w:rFonts w:hint="eastAsia" w:cs="宋体"/>
                <w:sz w:val="24"/>
                <w:szCs w:val="24"/>
                <w:lang w:eastAsia="zh-CN"/>
              </w:rPr>
              <w:t>公开单位</w:t>
            </w:r>
            <w:r>
              <w:rPr>
                <w:rFonts w:hint="eastAsia" w:ascii="宋体" w:hAnsi="宋体" w:eastAsia="宋体" w:cs="宋体"/>
                <w:sz w:val="24"/>
                <w:szCs w:val="24"/>
              </w:rPr>
              <w:t>：</w:t>
            </w:r>
            <w:r>
              <w:rPr>
                <w:rFonts w:ascii="宋体" w:hAnsi="宋体" w:eastAsia="宋体" w:cs="宋体"/>
                <w:sz w:val="24"/>
                <w:u w:color="auto"/>
              </w:rPr>
              <w:t>重庆市潼南区田家镇劳动就业和社会保障服务所</w:t>
            </w:r>
          </w:p>
        </w:tc>
        <w:tc>
          <w:tcPr>
            <w:tcW w:w="977" w:type="pct"/>
            <w:tcBorders>
              <w:top w:val="nil"/>
              <w:left w:val="nil"/>
              <w:bottom w:val="nil"/>
              <w:right w:val="nil"/>
            </w:tcBorders>
            <w:shd w:val="clear" w:color="auto" w:fill="auto"/>
            <w:noWrap/>
            <w:tcMar>
              <w:top w:w="15" w:type="dxa"/>
              <w:left w:w="15" w:type="dxa"/>
              <w:right w:w="15" w:type="dxa"/>
            </w:tcMar>
            <w:vAlign w:val="bottom"/>
          </w:tcPr>
          <w:p w14:paraId="6650BBB0">
            <w:pPr>
              <w:jc w:val="right"/>
              <w:rPr>
                <w:rFonts w:hint="default" w:ascii="Arial" w:hAnsi="Arial" w:eastAsia="宋体" w:cs="Arial"/>
                <w:i w:val="0"/>
                <w:color w:val="000000"/>
                <w:sz w:val="22"/>
                <w:szCs w:val="22"/>
                <w:u w:val="none"/>
              </w:rPr>
            </w:pPr>
          </w:p>
        </w:tc>
        <w:tc>
          <w:tcPr>
            <w:tcW w:w="1690" w:type="pct"/>
            <w:tcBorders>
              <w:top w:val="nil"/>
              <w:left w:val="nil"/>
              <w:bottom w:val="nil"/>
              <w:right w:val="nil"/>
            </w:tcBorders>
            <w:shd w:val="clear" w:color="auto" w:fill="auto"/>
            <w:noWrap/>
            <w:tcMar>
              <w:top w:w="15" w:type="dxa"/>
              <w:left w:w="15" w:type="dxa"/>
              <w:right w:w="15" w:type="dxa"/>
            </w:tcMar>
            <w:vAlign w:val="bottom"/>
          </w:tcPr>
          <w:p w14:paraId="43A57C1E">
            <w:pPr>
              <w:rPr>
                <w:rFonts w:hint="default" w:ascii="Arial" w:hAnsi="Arial" w:eastAsia="宋体" w:cs="Arial"/>
                <w:i w:val="0"/>
                <w:color w:val="000000"/>
                <w:sz w:val="22"/>
                <w:szCs w:val="22"/>
                <w:u w:val="none"/>
              </w:rPr>
            </w:pPr>
          </w:p>
        </w:tc>
        <w:tc>
          <w:tcPr>
            <w:tcW w:w="856" w:type="pct"/>
            <w:tcBorders>
              <w:top w:val="nil"/>
              <w:left w:val="nil"/>
              <w:bottom w:val="nil"/>
              <w:right w:val="nil"/>
            </w:tcBorders>
            <w:shd w:val="clear" w:color="auto" w:fill="auto"/>
            <w:noWrap/>
            <w:tcMar>
              <w:top w:w="15" w:type="dxa"/>
              <w:left w:w="15" w:type="dxa"/>
              <w:right w:w="15" w:type="dxa"/>
            </w:tcMar>
            <w:vAlign w:val="bottom"/>
          </w:tcPr>
          <w:p w14:paraId="777E81B9">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21361407">
        <w:tblPrEx>
          <w:shd w:val="clear" w:color="auto" w:fill="auto"/>
          <w:tblCellMar>
            <w:top w:w="0" w:type="dxa"/>
            <w:left w:w="0" w:type="dxa"/>
            <w:bottom w:w="0" w:type="dxa"/>
            <w:right w:w="0" w:type="dxa"/>
          </w:tblCellMar>
        </w:tblPrEx>
        <w:trPr>
          <w:trHeight w:val="298" w:hRule="atLeast"/>
        </w:trPr>
        <w:tc>
          <w:tcPr>
            <w:tcW w:w="2453"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87CAFF">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收入</w:t>
            </w:r>
          </w:p>
        </w:tc>
        <w:tc>
          <w:tcPr>
            <w:tcW w:w="2546" w:type="pct"/>
            <w:gridSpan w:val="2"/>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2EF4411E">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支出</w:t>
            </w:r>
          </w:p>
        </w:tc>
      </w:tr>
      <w:tr w14:paraId="3DA748AD">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BBC5D2">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977"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7CCB4C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98E208F">
            <w:pPr>
              <w:keepNext w:val="0"/>
              <w:keepLines w:val="0"/>
              <w:widowControl/>
              <w:suppressLineNumbers w:val="0"/>
              <w:jc w:val="center"/>
              <w:textAlignment w:val="center"/>
              <w:rPr>
                <w:rFonts w:hint="eastAsia" w:ascii="宋体" w:hAnsi="宋体" w:eastAsia="宋体" w:cs="宋体"/>
                <w:b/>
                <w:i w:val="0"/>
                <w:color w:val="000000"/>
                <w:sz w:val="22"/>
                <w:szCs w:val="22"/>
                <w:u w:val="none"/>
                <w:lang w:eastAsia="zh-CN"/>
              </w:rPr>
            </w:pPr>
            <w:r>
              <w:rPr>
                <w:rFonts w:hint="eastAsia" w:cs="宋体"/>
                <w:b/>
                <w:i w:val="0"/>
                <w:color w:val="000000"/>
                <w:sz w:val="22"/>
                <w:szCs w:val="22"/>
                <w:u w:val="none"/>
                <w:lang w:eastAsia="zh-CN"/>
              </w:rPr>
              <w:t>功能分类科目</w:t>
            </w:r>
          </w:p>
        </w:tc>
        <w:tc>
          <w:tcPr>
            <w:tcW w:w="856"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B6B393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r>
      <w:tr w14:paraId="017D4B97">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ACA99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一、一般公共预算财政拨款收入</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3F372D">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B7C332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54508C">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595F0554">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3FAAB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二、政府性基金预算财政拨款收入</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6053D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4A41E1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531DE0">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74553D25">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DDC49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三、国有资本经营预算财政拨款收入</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1F4EB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039A84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2DF52C">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36BF4414">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1752A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四、上级补助收入</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960544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4131D3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B38734">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3A228897">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FEA5F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五、事业收入</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A6C8C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587D16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97E2DA">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1CD315F3">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36589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六、经营收入</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B949C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14DC0A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DBF94F">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381119D2">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5AB99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七、附属单位上缴收入</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856A8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A48072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七、文化旅游体育与传媒支出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AC87EA">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27745AC6">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567FC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八、其他收入</w:t>
            </w:r>
          </w:p>
        </w:tc>
        <w:tc>
          <w:tcPr>
            <w:tcW w:w="977" w:type="pct"/>
            <w:tcBorders>
              <w:top w:val="nil"/>
              <w:left w:val="nil"/>
              <w:bottom w:val="nil"/>
              <w:right w:val="single" w:color="000000" w:sz="4" w:space="0"/>
            </w:tcBorders>
            <w:shd w:val="clear" w:color="auto" w:fill="auto"/>
            <w:noWrap/>
            <w:tcMar>
              <w:top w:w="15" w:type="dxa"/>
              <w:left w:w="15" w:type="dxa"/>
              <w:right w:w="15" w:type="dxa"/>
            </w:tcMar>
            <w:vAlign w:val="center"/>
          </w:tcPr>
          <w:p w14:paraId="1C48C0D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18D20D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4E51CA">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ascii="宋体" w:hAnsi="宋体" w:eastAsia="宋体" w:cs="宋体"/>
                <w:b w:val="0"/>
                <w:bCs w:val="0"/>
                <w:color w:val="000000"/>
                <w:sz w:val="21"/>
                <w:szCs w:val="21"/>
                <w:lang w:bidi="ar"/>
              </w:rPr>
              <w:t>58.00</w:t>
            </w:r>
            <w:r>
              <w:rPr>
                <w:rFonts w:hint="eastAsia" w:cs="宋体"/>
                <w:b w:val="0"/>
                <w:bCs w:val="0"/>
                <w:color w:val="000000"/>
                <w:sz w:val="21"/>
                <w:szCs w:val="21"/>
                <w:lang w:val="en-US" w:eastAsia="zh-CN" w:bidi="ar"/>
              </w:rPr>
              <w:t xml:space="preserve"> </w:t>
            </w:r>
          </w:p>
        </w:tc>
      </w:tr>
      <w:tr w14:paraId="0724AA32">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BB5703">
            <w:pPr>
              <w:jc w:val="left"/>
              <w:rPr>
                <w:rFonts w:hint="eastAsia" w:ascii="宋体" w:hAnsi="宋体" w:eastAsia="宋体" w:cs="宋体"/>
                <w:i w:val="0"/>
                <w:color w:val="000000"/>
                <w:sz w:val="22"/>
                <w:szCs w:val="22"/>
                <w:u w:val="none"/>
              </w:rPr>
            </w:pPr>
          </w:p>
        </w:tc>
        <w:tc>
          <w:tcPr>
            <w:tcW w:w="9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7B59568">
            <w:pPr>
              <w:jc w:val="right"/>
              <w:rPr>
                <w:rFonts w:hint="default" w:ascii="Arial" w:hAnsi="Arial" w:eastAsia="宋体" w:cs="Arial"/>
                <w:i w:val="0"/>
                <w:color w:val="000000"/>
                <w:sz w:val="20"/>
                <w:szCs w:val="20"/>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A13915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九、卫生健康支出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5D8500">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ascii="宋体" w:hAnsi="宋体" w:eastAsia="宋体" w:cs="宋体"/>
                <w:b w:val="0"/>
                <w:bCs w:val="0"/>
                <w:color w:val="000000"/>
                <w:sz w:val="21"/>
                <w:szCs w:val="21"/>
                <w:lang w:bidi="ar"/>
              </w:rPr>
              <w:t>3.39</w:t>
            </w:r>
            <w:r>
              <w:rPr>
                <w:rFonts w:hint="eastAsia" w:cs="宋体"/>
                <w:b w:val="0"/>
                <w:bCs w:val="0"/>
                <w:color w:val="000000"/>
                <w:sz w:val="21"/>
                <w:szCs w:val="21"/>
                <w:lang w:val="en-US" w:eastAsia="zh-CN" w:bidi="ar"/>
              </w:rPr>
              <w:t xml:space="preserve"> </w:t>
            </w:r>
          </w:p>
        </w:tc>
      </w:tr>
      <w:tr w14:paraId="39207E2A">
        <w:tblPrEx>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335AE2">
            <w:pPr>
              <w:jc w:val="left"/>
              <w:rPr>
                <w:rFonts w:hint="eastAsia" w:ascii="宋体" w:hAnsi="宋体" w:eastAsia="宋体" w:cs="宋体"/>
                <w:i w:val="0"/>
                <w:color w:val="000000"/>
                <w:sz w:val="22"/>
                <w:szCs w:val="22"/>
                <w:u w:val="none"/>
              </w:rPr>
            </w:pPr>
          </w:p>
        </w:tc>
        <w:tc>
          <w:tcPr>
            <w:tcW w:w="9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003CAC4">
            <w:pPr>
              <w:jc w:val="right"/>
              <w:rPr>
                <w:rFonts w:hint="default" w:ascii="Arial" w:hAnsi="Arial" w:eastAsia="宋体" w:cs="Arial"/>
                <w:i w:val="0"/>
                <w:color w:val="000000"/>
                <w:sz w:val="20"/>
                <w:szCs w:val="20"/>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FB0138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5EFE0C">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3EC08252">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6D6F799">
            <w:pPr>
              <w:jc w:val="left"/>
              <w:rPr>
                <w:rFonts w:hint="eastAsia" w:ascii="宋体" w:hAnsi="宋体" w:eastAsia="宋体" w:cs="宋体"/>
                <w:i w:val="0"/>
                <w:color w:val="000000"/>
                <w:sz w:val="22"/>
                <w:szCs w:val="22"/>
                <w:u w:val="none"/>
              </w:rPr>
            </w:pPr>
          </w:p>
        </w:tc>
        <w:tc>
          <w:tcPr>
            <w:tcW w:w="9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9D131E9">
            <w:pPr>
              <w:jc w:val="right"/>
              <w:rPr>
                <w:rFonts w:hint="default" w:ascii="Arial" w:hAnsi="Arial" w:eastAsia="宋体" w:cs="Arial"/>
                <w:i w:val="0"/>
                <w:color w:val="000000"/>
                <w:sz w:val="20"/>
                <w:szCs w:val="20"/>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8CA07F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50F3AC8">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13FD9731">
        <w:tblPrEx>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78B890">
            <w:pPr>
              <w:jc w:val="left"/>
              <w:rPr>
                <w:rFonts w:hint="eastAsia" w:ascii="宋体" w:hAnsi="宋体" w:eastAsia="宋体" w:cs="宋体"/>
                <w:i w:val="0"/>
                <w:color w:val="000000"/>
                <w:sz w:val="22"/>
                <w:szCs w:val="22"/>
                <w:u w:val="none"/>
              </w:rPr>
            </w:pPr>
          </w:p>
        </w:tc>
        <w:tc>
          <w:tcPr>
            <w:tcW w:w="9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DF9D866">
            <w:pPr>
              <w:jc w:val="right"/>
              <w:rPr>
                <w:rFonts w:hint="default" w:ascii="Arial" w:hAnsi="Arial" w:eastAsia="宋体" w:cs="Arial"/>
                <w:i w:val="0"/>
                <w:color w:val="000000"/>
                <w:sz w:val="20"/>
                <w:szCs w:val="20"/>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183A74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F98CED">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49C1DC48">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BF9A0B">
            <w:pPr>
              <w:jc w:val="left"/>
              <w:rPr>
                <w:rFonts w:hint="eastAsia" w:ascii="宋体" w:hAnsi="宋体" w:eastAsia="宋体" w:cs="宋体"/>
                <w:i w:val="0"/>
                <w:color w:val="000000"/>
                <w:sz w:val="22"/>
                <w:szCs w:val="22"/>
                <w:u w:val="none"/>
              </w:rPr>
            </w:pPr>
          </w:p>
        </w:tc>
        <w:tc>
          <w:tcPr>
            <w:tcW w:w="9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9A96D1">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6ADA0A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CA9BA9">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29DD767E">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E5D608">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B3C040">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8D7A9D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十四、资源勘探工业信息等支出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0A40FD">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58465C33">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943796">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2734218">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FEDB6B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21433E">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18FD11E1">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C674C2">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4F36AE">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808B79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65994B9">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620B310B">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8F4D44">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118F1A">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A69BAD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2151AA">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00359DF8">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BB6D23">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A3D114B">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C33091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十八、自然资源海洋气象等支出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49BD7D">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48E71F06">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DE2C8C">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0A5E9A8">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465C65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AE41F08">
            <w:pPr>
              <w:wordWrap w:val="0"/>
              <w:jc w:val="right"/>
              <w:textAlignment w:val="center"/>
              <w:rPr>
                <w:rFonts w:hint="eastAsia" w:ascii="宋体" w:hAnsi="宋体" w:eastAsia="宋体" w:cs="宋体"/>
                <w:b w:val="0"/>
                <w:bCs w:val="0"/>
                <w:i w:val="0"/>
                <w:color w:val="000000"/>
                <w:sz w:val="22"/>
                <w:szCs w:val="22"/>
                <w:u w:val="none"/>
                <w:lang w:val="en-US" w:eastAsia="zh-CN"/>
              </w:rPr>
            </w:pPr>
            <w:r>
              <w:rPr>
                <w:rFonts w:hint="eastAsia" w:ascii="宋体" w:hAnsi="宋体" w:eastAsia="宋体" w:cs="宋体"/>
                <w:b w:val="0"/>
                <w:bCs w:val="0"/>
                <w:color w:val="000000"/>
                <w:sz w:val="21"/>
                <w:szCs w:val="21"/>
                <w:lang w:bidi="ar"/>
              </w:rPr>
              <w:t>4.29</w:t>
            </w:r>
            <w:r>
              <w:rPr>
                <w:rFonts w:hint="eastAsia" w:cs="宋体"/>
                <w:b w:val="0"/>
                <w:bCs w:val="0"/>
                <w:color w:val="000000"/>
                <w:sz w:val="21"/>
                <w:szCs w:val="21"/>
                <w:lang w:val="en-US" w:eastAsia="zh-CN" w:bidi="ar"/>
              </w:rPr>
              <w:t xml:space="preserve"> </w:t>
            </w:r>
          </w:p>
        </w:tc>
      </w:tr>
      <w:tr w14:paraId="2413F60B">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571745">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216E0D">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5F6665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4D9E1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BF0D493">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CC934F">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94D811">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54176C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二十一、国有资本经营预算支出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190BB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197E6969">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F027EE">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53E818">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6F1B13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二十二、灾害防治及应急管理支出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393DA1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2BD6272B">
        <w:tblPrEx>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CE657E">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76C475F">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0B97F6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二十三、其他支出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84958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13F3897B">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2E0B7D">
            <w:pPr>
              <w:jc w:val="center"/>
              <w:rPr>
                <w:rFonts w:hint="eastAsia" w:ascii="宋体" w:hAnsi="宋体" w:eastAsia="宋体" w:cs="宋体"/>
                <w:b/>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2C2124">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7B7FE0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二十四、债务还本支出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A86AB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290D4F1">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A61FFD">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8C10BAF">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74C144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二十五、债务付息支出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183DCE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ED15EF8">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742810">
            <w:pPr>
              <w:jc w:val="left"/>
              <w:rPr>
                <w:rFonts w:hint="eastAsia" w:ascii="宋体" w:hAnsi="宋体" w:eastAsia="宋体" w:cs="宋体"/>
                <w:i w:val="0"/>
                <w:color w:val="000000"/>
                <w:sz w:val="22"/>
                <w:szCs w:val="22"/>
                <w:u w:val="none"/>
              </w:rPr>
            </w:pP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2782EE">
            <w:pPr>
              <w:jc w:val="right"/>
              <w:rPr>
                <w:rFonts w:hint="eastAsia" w:ascii="宋体" w:hAnsi="宋体" w:eastAsia="宋体" w:cs="宋体"/>
                <w:i w:val="0"/>
                <w:color w:val="000000"/>
                <w:sz w:val="22"/>
                <w:szCs w:val="22"/>
                <w:u w:val="none"/>
              </w:rPr>
            </w:pP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7FE26F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二十六、抗疫特别国债安排的支出</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2F68E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878CF0A">
        <w:tblPrEx>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7CA84F">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E723E1">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282DF28">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CBB313F">
            <w:pPr>
              <w:wordWrap w:val="0"/>
              <w:jc w:val="right"/>
              <w:textAlignment w:val="center"/>
              <w:rPr>
                <w:rFonts w:hint="default"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r>
      <w:tr w14:paraId="76C13E50">
        <w:tblPrEx>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8FCCC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使用非财政拨款结余和专用结余</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4BA54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7327E5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结余分配</w:t>
            </w:r>
          </w:p>
        </w:tc>
        <w:tc>
          <w:tcPr>
            <w:tcW w:w="85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325D1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13DA618">
        <w:tblPrEx>
          <w:shd w:val="clear" w:color="auto" w:fill="auto"/>
          <w:tblCellMar>
            <w:top w:w="0" w:type="dxa"/>
            <w:left w:w="0" w:type="dxa"/>
            <w:bottom w:w="0" w:type="dxa"/>
            <w:right w:w="0" w:type="dxa"/>
          </w:tblCellMar>
        </w:tblPrEx>
        <w:trPr>
          <w:trHeight w:val="298"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2B4A4C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977"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1A187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F06DE5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c>
          <w:tcPr>
            <w:tcW w:w="856" w:type="pct"/>
            <w:tcBorders>
              <w:top w:val="nil"/>
              <w:left w:val="nil"/>
              <w:bottom w:val="single" w:color="auto" w:sz="4" w:space="0"/>
              <w:right w:val="single" w:color="000000" w:sz="4" w:space="0"/>
            </w:tcBorders>
            <w:shd w:val="clear" w:color="auto" w:fill="auto"/>
            <w:noWrap/>
            <w:tcMar>
              <w:top w:w="15" w:type="dxa"/>
              <w:left w:w="15" w:type="dxa"/>
              <w:right w:w="15" w:type="dxa"/>
            </w:tcMar>
            <w:vAlign w:val="center"/>
          </w:tcPr>
          <w:p w14:paraId="750D66C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5A9E527">
        <w:tblPrEx>
          <w:tblCellMar>
            <w:top w:w="0" w:type="dxa"/>
            <w:left w:w="0" w:type="dxa"/>
            <w:bottom w:w="0" w:type="dxa"/>
            <w:right w:w="0" w:type="dxa"/>
          </w:tblCellMar>
        </w:tblPrEx>
        <w:trPr>
          <w:trHeight w:val="307" w:hRule="atLeast"/>
        </w:trPr>
        <w:tc>
          <w:tcPr>
            <w:tcW w:w="1475" w:type="pc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E2451C">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97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846295">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1690" w:type="pct"/>
            <w:tcBorders>
              <w:top w:val="nil"/>
              <w:left w:val="nil"/>
              <w:bottom w:val="single" w:color="000000" w:sz="4" w:space="0"/>
              <w:right w:val="single" w:color="auto" w:sz="4" w:space="0"/>
            </w:tcBorders>
            <w:shd w:val="clear" w:color="FFFFFF" w:fill="C0C0C0"/>
            <w:noWrap/>
            <w:tcMar>
              <w:top w:w="15" w:type="dxa"/>
              <w:left w:w="15" w:type="dxa"/>
              <w:right w:w="15" w:type="dxa"/>
            </w:tcMar>
            <w:vAlign w:val="center"/>
          </w:tcPr>
          <w:p w14:paraId="7E777215">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856" w:type="pct"/>
            <w:tcBorders>
              <w:top w:val="single" w:color="auto" w:sz="4" w:space="0"/>
              <w:left w:val="single" w:color="auto" w:sz="4" w:space="0"/>
              <w:bottom w:val="single" w:color="auto" w:sz="4" w:space="0"/>
              <w:right w:val="single" w:color="auto" w:sz="4" w:space="0"/>
            </w:tcBorders>
            <w:shd w:val="clear" w:color="auto" w:fill="auto"/>
            <w:noWrap/>
            <w:tcMar>
              <w:top w:w="15" w:type="dxa"/>
              <w:left w:w="15" w:type="dxa"/>
              <w:right w:w="15" w:type="dxa"/>
            </w:tcMar>
            <w:vAlign w:val="center"/>
          </w:tcPr>
          <w:p w14:paraId="26BB16A3">
            <w:pPr>
              <w:keepNext w:val="0"/>
              <w:keepLines w:val="0"/>
              <w:widowControl/>
              <w:suppressLineNumbers w:val="0"/>
              <w:wordWrap w:val="0"/>
              <w:jc w:val="right"/>
              <w:textAlignment w:val="center"/>
              <w:rPr>
                <w:rFonts w:hint="eastAsia" w:ascii="宋体" w:hAnsi="宋体" w:eastAsia="宋体" w:cs="宋体"/>
                <w:i w:val="0"/>
                <w:color w:val="000000"/>
                <w:sz w:val="20"/>
                <w:szCs w:val="20"/>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r>
    </w:tbl>
    <w:p w14:paraId="7FA7DB05">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备注：1.本表反映单位本年度的总收支和年末结转结余情况。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14:paraId="7197E753">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br w:type="page"/>
      </w:r>
    </w:p>
    <w:p w14:paraId="0B4E22EB">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方正黑体_GBK" w:hAnsi="方正黑体_GBK" w:eastAsia="方正黑体_GBK" w:cs="方正黑体_GBK"/>
          <w:b w:val="0"/>
          <w:bCs w:val="0"/>
          <w:sz w:val="32"/>
          <w:szCs w:val="32"/>
          <w:lang w:val="en-US" w:eastAsia="zh-CN"/>
        </w:rPr>
        <w:t>附件2</w:t>
      </w:r>
    </w:p>
    <w:tbl>
      <w:tblPr>
        <w:tblStyle w:val="6"/>
        <w:tblW w:w="5000" w:type="pct"/>
        <w:tblInd w:w="0" w:type="dxa"/>
        <w:shd w:val="clear" w:color="auto" w:fill="auto"/>
        <w:tblLayout w:type="autofit"/>
        <w:tblCellMar>
          <w:top w:w="0" w:type="dxa"/>
          <w:left w:w="0" w:type="dxa"/>
          <w:bottom w:w="0" w:type="dxa"/>
          <w:right w:w="0" w:type="dxa"/>
        </w:tblCellMar>
      </w:tblPr>
      <w:tblGrid>
        <w:gridCol w:w="2313"/>
        <w:gridCol w:w="3957"/>
        <w:gridCol w:w="1337"/>
        <w:gridCol w:w="1328"/>
        <w:gridCol w:w="1027"/>
        <w:gridCol w:w="1027"/>
        <w:gridCol w:w="1030"/>
        <w:gridCol w:w="1027"/>
        <w:gridCol w:w="1027"/>
        <w:gridCol w:w="1304"/>
      </w:tblGrid>
      <w:tr w14:paraId="38563CC5">
        <w:tblPrEx>
          <w:shd w:val="clear" w:color="auto" w:fill="auto"/>
          <w:tblCellMar>
            <w:top w:w="0" w:type="dxa"/>
            <w:left w:w="0" w:type="dxa"/>
            <w:bottom w:w="0" w:type="dxa"/>
            <w:right w:w="0" w:type="dxa"/>
          </w:tblCellMar>
        </w:tblPrEx>
        <w:trPr>
          <w:trHeight w:val="641" w:hRule="atLeast"/>
        </w:trPr>
        <w:tc>
          <w:tcPr>
            <w:tcW w:w="5000" w:type="pct"/>
            <w:gridSpan w:val="10"/>
            <w:tcBorders>
              <w:top w:val="nil"/>
              <w:left w:val="nil"/>
              <w:bottom w:val="nil"/>
              <w:right w:val="nil"/>
            </w:tcBorders>
            <w:shd w:val="clear" w:color="auto" w:fill="auto"/>
            <w:noWrap/>
            <w:tcMar>
              <w:top w:w="15" w:type="dxa"/>
              <w:left w:w="15" w:type="dxa"/>
              <w:right w:w="15" w:type="dxa"/>
            </w:tcMar>
            <w:vAlign w:val="bottom"/>
          </w:tcPr>
          <w:p w14:paraId="457D7F20">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收入决算表</w:t>
            </w:r>
          </w:p>
        </w:tc>
      </w:tr>
      <w:tr w14:paraId="604CE121">
        <w:tblPrEx>
          <w:shd w:val="clear" w:color="auto" w:fill="auto"/>
          <w:tblCellMar>
            <w:top w:w="0" w:type="dxa"/>
            <w:left w:w="0" w:type="dxa"/>
            <w:bottom w:w="0" w:type="dxa"/>
            <w:right w:w="0" w:type="dxa"/>
          </w:tblCellMar>
        </w:tblPrEx>
        <w:trPr>
          <w:trHeight w:val="328" w:hRule="atLeast"/>
        </w:trPr>
        <w:tc>
          <w:tcPr>
            <w:tcW w:w="1182" w:type="pct"/>
            <w:gridSpan w:val="2"/>
            <w:vMerge w:val="restart"/>
            <w:tcBorders>
              <w:top w:val="nil"/>
              <w:left w:val="nil"/>
              <w:right w:val="nil"/>
            </w:tcBorders>
            <w:shd w:val="clear" w:color="auto" w:fill="auto"/>
            <w:noWrap/>
            <w:tcMar>
              <w:top w:w="15" w:type="dxa"/>
              <w:left w:w="15" w:type="dxa"/>
              <w:right w:w="15" w:type="dxa"/>
            </w:tcMar>
            <w:vAlign w:val="bottom"/>
          </w:tcPr>
          <w:p w14:paraId="17DD6076">
            <w:pPr>
              <w:rPr>
                <w:rFonts w:hint="default" w:ascii="Arial" w:hAnsi="Arial" w:eastAsia="宋体" w:cs="Arial"/>
                <w:i w:val="0"/>
                <w:color w:val="000000"/>
                <w:sz w:val="22"/>
                <w:szCs w:val="22"/>
                <w:u w:val="none"/>
              </w:rPr>
            </w:pPr>
            <w:r>
              <w:rPr>
                <w:rFonts w:hint="eastAsia" w:cs="宋体"/>
                <w:sz w:val="24"/>
                <w:szCs w:val="24"/>
                <w:lang w:eastAsia="zh-CN"/>
              </w:rPr>
              <w:t>公开单位</w:t>
            </w:r>
            <w:r>
              <w:rPr>
                <w:rFonts w:hint="eastAsia" w:ascii="宋体" w:hAnsi="宋体" w:eastAsia="宋体" w:cs="宋体"/>
                <w:sz w:val="24"/>
                <w:szCs w:val="24"/>
              </w:rPr>
              <w:t>：</w:t>
            </w:r>
            <w:r>
              <w:rPr>
                <w:rFonts w:ascii="宋体" w:hAnsi="宋体" w:eastAsia="宋体" w:cs="宋体"/>
                <w:sz w:val="24"/>
                <w:u w:color="auto"/>
              </w:rPr>
              <w:t>重庆市潼南区田家镇劳动就业和社会保障服务所</w:t>
            </w:r>
          </w:p>
        </w:tc>
        <w:tc>
          <w:tcPr>
            <w:tcW w:w="542" w:type="pct"/>
            <w:tcBorders>
              <w:top w:val="nil"/>
              <w:left w:val="nil"/>
              <w:bottom w:val="nil"/>
              <w:right w:val="nil"/>
            </w:tcBorders>
            <w:shd w:val="clear" w:color="auto" w:fill="auto"/>
            <w:noWrap/>
            <w:tcMar>
              <w:top w:w="15" w:type="dxa"/>
              <w:left w:w="15" w:type="dxa"/>
              <w:right w:w="15" w:type="dxa"/>
            </w:tcMar>
            <w:vAlign w:val="bottom"/>
          </w:tcPr>
          <w:p w14:paraId="7128B1DB">
            <w:pPr>
              <w:rPr>
                <w:rFonts w:hint="default" w:ascii="Arial" w:hAnsi="Arial" w:eastAsia="宋体" w:cs="Arial"/>
                <w:i w:val="0"/>
                <w:color w:val="000000"/>
                <w:sz w:val="20"/>
                <w:szCs w:val="20"/>
                <w:u w:val="none"/>
              </w:rPr>
            </w:pPr>
          </w:p>
        </w:tc>
        <w:tc>
          <w:tcPr>
            <w:tcW w:w="539" w:type="pct"/>
            <w:tcBorders>
              <w:top w:val="nil"/>
              <w:left w:val="nil"/>
              <w:bottom w:val="nil"/>
              <w:right w:val="nil"/>
            </w:tcBorders>
            <w:shd w:val="clear" w:color="auto" w:fill="auto"/>
            <w:noWrap/>
            <w:tcMar>
              <w:top w:w="15" w:type="dxa"/>
              <w:left w:w="15" w:type="dxa"/>
              <w:right w:w="15" w:type="dxa"/>
            </w:tcMar>
            <w:vAlign w:val="bottom"/>
          </w:tcPr>
          <w:p w14:paraId="7275CD06">
            <w:pPr>
              <w:rPr>
                <w:rFonts w:hint="default" w:ascii="Arial" w:hAnsi="Arial" w:eastAsia="宋体" w:cs="Arial"/>
                <w:i w:val="0"/>
                <w:color w:val="000000"/>
                <w:sz w:val="20"/>
                <w:szCs w:val="20"/>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53A12C9C">
            <w:pPr>
              <w:rPr>
                <w:rFonts w:hint="default" w:ascii="Arial" w:hAnsi="Arial" w:eastAsia="宋体" w:cs="Arial"/>
                <w:i w:val="0"/>
                <w:color w:val="000000"/>
                <w:sz w:val="20"/>
                <w:szCs w:val="20"/>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1C602D94">
            <w:pPr>
              <w:rPr>
                <w:rFonts w:hint="default" w:ascii="Arial" w:hAnsi="Arial" w:eastAsia="宋体" w:cs="Arial"/>
                <w:i w:val="0"/>
                <w:color w:val="000000"/>
                <w:sz w:val="20"/>
                <w:szCs w:val="20"/>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705F7BAB">
            <w:pPr>
              <w:rPr>
                <w:rFonts w:hint="default" w:ascii="Arial" w:hAnsi="Arial" w:eastAsia="宋体" w:cs="Arial"/>
                <w:i w:val="0"/>
                <w:color w:val="000000"/>
                <w:sz w:val="20"/>
                <w:szCs w:val="20"/>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417ABDB9">
            <w:pPr>
              <w:rPr>
                <w:rFonts w:hint="default" w:ascii="Arial" w:hAnsi="Arial" w:eastAsia="宋体" w:cs="Arial"/>
                <w:i w:val="0"/>
                <w:color w:val="000000"/>
                <w:sz w:val="20"/>
                <w:szCs w:val="20"/>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7367412E">
            <w:pPr>
              <w:rPr>
                <w:rFonts w:hint="default" w:ascii="Arial" w:hAnsi="Arial" w:eastAsia="宋体" w:cs="Arial"/>
                <w:i w:val="0"/>
                <w:color w:val="000000"/>
                <w:sz w:val="20"/>
                <w:szCs w:val="20"/>
                <w:u w:val="none"/>
              </w:rPr>
            </w:pPr>
          </w:p>
        </w:tc>
        <w:tc>
          <w:tcPr>
            <w:tcW w:w="526" w:type="pct"/>
            <w:tcBorders>
              <w:top w:val="nil"/>
              <w:left w:val="nil"/>
              <w:bottom w:val="nil"/>
              <w:right w:val="nil"/>
            </w:tcBorders>
            <w:shd w:val="clear" w:color="auto" w:fill="auto"/>
            <w:noWrap/>
            <w:tcMar>
              <w:top w:w="15" w:type="dxa"/>
              <w:left w:w="15" w:type="dxa"/>
              <w:right w:w="15" w:type="dxa"/>
            </w:tcMar>
            <w:vAlign w:val="bottom"/>
          </w:tcPr>
          <w:p w14:paraId="05407FA4">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公开02表</w:t>
            </w:r>
          </w:p>
        </w:tc>
      </w:tr>
      <w:tr w14:paraId="409B3F9A">
        <w:tblPrEx>
          <w:tblCellMar>
            <w:top w:w="0" w:type="dxa"/>
            <w:left w:w="0" w:type="dxa"/>
            <w:bottom w:w="0" w:type="dxa"/>
            <w:right w:w="0" w:type="dxa"/>
          </w:tblCellMar>
        </w:tblPrEx>
        <w:trPr>
          <w:trHeight w:val="328" w:hRule="atLeast"/>
        </w:trPr>
        <w:tc>
          <w:tcPr>
            <w:tcW w:w="1182" w:type="pct"/>
            <w:gridSpan w:val="2"/>
            <w:vMerge w:val="continue"/>
            <w:tcBorders>
              <w:left w:val="nil"/>
              <w:bottom w:val="nil"/>
              <w:right w:val="nil"/>
            </w:tcBorders>
            <w:shd w:val="clear" w:color="auto" w:fill="auto"/>
            <w:noWrap/>
            <w:tcMar>
              <w:top w:w="15" w:type="dxa"/>
              <w:left w:w="15" w:type="dxa"/>
              <w:right w:w="15" w:type="dxa"/>
            </w:tcMar>
            <w:vAlign w:val="bottom"/>
          </w:tcPr>
          <w:p w14:paraId="3F40D0C4">
            <w:pPr>
              <w:rPr>
                <w:rFonts w:hint="default" w:ascii="Arial" w:hAnsi="Arial" w:eastAsia="宋体" w:cs="Arial"/>
                <w:i w:val="0"/>
                <w:color w:val="000000"/>
                <w:sz w:val="22"/>
                <w:szCs w:val="22"/>
                <w:u w:val="none"/>
              </w:rPr>
            </w:pPr>
          </w:p>
        </w:tc>
        <w:tc>
          <w:tcPr>
            <w:tcW w:w="542" w:type="pct"/>
            <w:tcBorders>
              <w:top w:val="nil"/>
              <w:left w:val="nil"/>
              <w:bottom w:val="nil"/>
              <w:right w:val="nil"/>
            </w:tcBorders>
            <w:shd w:val="clear" w:color="auto" w:fill="auto"/>
            <w:noWrap/>
            <w:tcMar>
              <w:top w:w="15" w:type="dxa"/>
              <w:left w:w="15" w:type="dxa"/>
              <w:right w:w="15" w:type="dxa"/>
            </w:tcMar>
            <w:vAlign w:val="bottom"/>
          </w:tcPr>
          <w:p w14:paraId="3D542A32">
            <w:pPr>
              <w:rPr>
                <w:rFonts w:hint="default" w:ascii="Arial" w:hAnsi="Arial" w:eastAsia="宋体" w:cs="Arial"/>
                <w:i w:val="0"/>
                <w:color w:val="000000"/>
                <w:sz w:val="22"/>
                <w:szCs w:val="22"/>
                <w:u w:val="none"/>
              </w:rPr>
            </w:pPr>
          </w:p>
        </w:tc>
        <w:tc>
          <w:tcPr>
            <w:tcW w:w="539" w:type="pct"/>
            <w:tcBorders>
              <w:top w:val="nil"/>
              <w:left w:val="nil"/>
              <w:bottom w:val="nil"/>
              <w:right w:val="nil"/>
            </w:tcBorders>
            <w:shd w:val="clear" w:color="auto" w:fill="auto"/>
            <w:noWrap/>
            <w:tcMar>
              <w:top w:w="15" w:type="dxa"/>
              <w:left w:w="15" w:type="dxa"/>
              <w:right w:w="15" w:type="dxa"/>
            </w:tcMar>
            <w:vAlign w:val="bottom"/>
          </w:tcPr>
          <w:p w14:paraId="09CC4F45">
            <w:pPr>
              <w:rPr>
                <w:rFonts w:hint="default" w:ascii="Arial" w:hAnsi="Arial" w:eastAsia="宋体" w:cs="Arial"/>
                <w:i w:val="0"/>
                <w:color w:val="000000"/>
                <w:sz w:val="22"/>
                <w:szCs w:val="2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3F5666B6">
            <w:pPr>
              <w:rPr>
                <w:rFonts w:hint="default" w:ascii="Arial" w:hAnsi="Arial" w:eastAsia="宋体" w:cs="Arial"/>
                <w:i w:val="0"/>
                <w:color w:val="000000"/>
                <w:sz w:val="22"/>
                <w:szCs w:val="2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0AE92195">
            <w:pPr>
              <w:rPr>
                <w:rFonts w:hint="default" w:ascii="Arial" w:hAnsi="Arial" w:eastAsia="宋体" w:cs="Arial"/>
                <w:i w:val="0"/>
                <w:color w:val="000000"/>
                <w:sz w:val="22"/>
                <w:szCs w:val="2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22746945">
            <w:pPr>
              <w:rPr>
                <w:rFonts w:hint="default" w:ascii="Arial" w:hAnsi="Arial" w:eastAsia="宋体" w:cs="Arial"/>
                <w:i w:val="0"/>
                <w:color w:val="000000"/>
                <w:sz w:val="22"/>
                <w:szCs w:val="2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68A4B665">
            <w:pPr>
              <w:rPr>
                <w:rFonts w:hint="default" w:ascii="Arial" w:hAnsi="Arial" w:eastAsia="宋体" w:cs="Arial"/>
                <w:i w:val="0"/>
                <w:color w:val="000000"/>
                <w:sz w:val="22"/>
                <w:szCs w:val="22"/>
                <w:u w:val="none"/>
              </w:rPr>
            </w:pPr>
          </w:p>
        </w:tc>
        <w:tc>
          <w:tcPr>
            <w:tcW w:w="441" w:type="pct"/>
            <w:tcBorders>
              <w:top w:val="nil"/>
              <w:left w:val="nil"/>
              <w:bottom w:val="nil"/>
              <w:right w:val="nil"/>
            </w:tcBorders>
            <w:shd w:val="clear" w:color="auto" w:fill="auto"/>
            <w:noWrap/>
            <w:tcMar>
              <w:top w:w="15" w:type="dxa"/>
              <w:left w:w="15" w:type="dxa"/>
              <w:right w:w="15" w:type="dxa"/>
            </w:tcMar>
            <w:vAlign w:val="bottom"/>
          </w:tcPr>
          <w:p w14:paraId="7977FE8F">
            <w:pPr>
              <w:rPr>
                <w:rFonts w:hint="default" w:ascii="Arial" w:hAnsi="Arial" w:eastAsia="宋体" w:cs="Arial"/>
                <w:i w:val="0"/>
                <w:color w:val="000000"/>
                <w:sz w:val="22"/>
                <w:szCs w:val="22"/>
                <w:u w:val="none"/>
              </w:rPr>
            </w:pPr>
          </w:p>
        </w:tc>
        <w:tc>
          <w:tcPr>
            <w:tcW w:w="526" w:type="pct"/>
            <w:tcBorders>
              <w:top w:val="nil"/>
              <w:left w:val="nil"/>
              <w:bottom w:val="nil"/>
              <w:right w:val="nil"/>
            </w:tcBorders>
            <w:shd w:val="clear" w:color="auto" w:fill="auto"/>
            <w:noWrap/>
            <w:tcMar>
              <w:top w:w="15" w:type="dxa"/>
              <w:left w:w="15" w:type="dxa"/>
              <w:right w:w="15" w:type="dxa"/>
            </w:tcMar>
            <w:vAlign w:val="bottom"/>
          </w:tcPr>
          <w:p w14:paraId="13EE5EAD">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5E6E35A1">
        <w:tblPrEx>
          <w:tblCellMar>
            <w:top w:w="0" w:type="dxa"/>
            <w:left w:w="0" w:type="dxa"/>
            <w:bottom w:w="0" w:type="dxa"/>
            <w:right w:w="0" w:type="dxa"/>
          </w:tblCellMar>
        </w:tblPrEx>
        <w:trPr>
          <w:trHeight w:val="431" w:hRule="atLeast"/>
        </w:trPr>
        <w:tc>
          <w:tcPr>
            <w:tcW w:w="1182" w:type="pct"/>
            <w:gridSpan w:val="2"/>
            <w:tcBorders>
              <w:top w:val="single" w:color="000000" w:sz="4" w:space="0"/>
              <w:left w:val="single" w:color="000000" w:sz="4" w:space="0"/>
              <w:bottom w:val="single" w:color="000000" w:sz="4" w:space="0"/>
              <w:right w:val="nil"/>
            </w:tcBorders>
            <w:shd w:val="clear" w:color="auto" w:fill="D0CECE"/>
            <w:noWrap/>
            <w:tcMar>
              <w:top w:w="15" w:type="dxa"/>
              <w:left w:w="15" w:type="dxa"/>
              <w:right w:w="15" w:type="dxa"/>
            </w:tcMar>
            <w:vAlign w:val="bottom"/>
          </w:tcPr>
          <w:p w14:paraId="02DF567B">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54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397640">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539"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B61C18">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财政拨款收入</w:t>
            </w: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BDE652A">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上级补助收入</w:t>
            </w:r>
          </w:p>
        </w:tc>
        <w:tc>
          <w:tcPr>
            <w:tcW w:w="883"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11FE16D1">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事业收入</w:t>
            </w: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79C152">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经营收入</w:t>
            </w: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39DC3A">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附属单位上缴收入</w:t>
            </w:r>
          </w:p>
        </w:tc>
        <w:tc>
          <w:tcPr>
            <w:tcW w:w="526"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8F328D3">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其他收入</w:t>
            </w:r>
          </w:p>
        </w:tc>
      </w:tr>
      <w:tr w14:paraId="668CECCC">
        <w:tblPrEx>
          <w:shd w:val="clear" w:color="auto" w:fill="auto"/>
          <w:tblCellMar>
            <w:top w:w="0" w:type="dxa"/>
            <w:left w:w="0" w:type="dxa"/>
            <w:bottom w:w="0" w:type="dxa"/>
            <w:right w:w="0" w:type="dxa"/>
          </w:tblCellMar>
        </w:tblPrEx>
        <w:trPr>
          <w:trHeight w:val="334" w:hRule="atLeast"/>
        </w:trPr>
        <w:tc>
          <w:tcPr>
            <w:tcW w:w="436"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D9527D">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746"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04577813">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项目（按“项”级功能分类科目）</w:t>
            </w:r>
          </w:p>
        </w:tc>
        <w:tc>
          <w:tcPr>
            <w:tcW w:w="54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852D36">
            <w:pPr>
              <w:jc w:val="center"/>
              <w:rPr>
                <w:rFonts w:hint="eastAsia" w:ascii="宋体" w:hAnsi="宋体" w:eastAsia="宋体" w:cs="宋体"/>
                <w:b/>
                <w:i w:val="0"/>
                <w:color w:val="000000"/>
                <w:sz w:val="22"/>
                <w:szCs w:val="2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0EC04CB">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E0E42A">
            <w:pPr>
              <w:jc w:val="center"/>
              <w:rPr>
                <w:rFonts w:hint="eastAsia" w:ascii="宋体" w:hAnsi="宋体" w:eastAsia="宋体" w:cs="宋体"/>
                <w:b/>
                <w:i w:val="0"/>
                <w:color w:val="000000"/>
                <w:sz w:val="22"/>
                <w:szCs w:val="22"/>
                <w:u w:val="none"/>
              </w:rPr>
            </w:pP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440DF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小计</w:t>
            </w:r>
          </w:p>
        </w:tc>
        <w:tc>
          <w:tcPr>
            <w:tcW w:w="441"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E4F8DB5">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其中：教育收费</w:t>
            </w: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262499">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C0E117">
            <w:pPr>
              <w:jc w:val="center"/>
              <w:rPr>
                <w:rFonts w:hint="eastAsia" w:ascii="宋体" w:hAnsi="宋体" w:eastAsia="宋体" w:cs="宋体"/>
                <w:b/>
                <w:i w:val="0"/>
                <w:color w:val="000000"/>
                <w:sz w:val="22"/>
                <w:szCs w:val="22"/>
                <w:u w:val="none"/>
              </w:rPr>
            </w:pPr>
          </w:p>
        </w:tc>
        <w:tc>
          <w:tcPr>
            <w:tcW w:w="526"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5C7C680">
            <w:pPr>
              <w:jc w:val="center"/>
              <w:rPr>
                <w:rFonts w:hint="eastAsia" w:ascii="宋体" w:hAnsi="宋体" w:eastAsia="宋体" w:cs="宋体"/>
                <w:b/>
                <w:i w:val="0"/>
                <w:color w:val="000000"/>
                <w:sz w:val="22"/>
                <w:szCs w:val="22"/>
                <w:u w:val="none"/>
              </w:rPr>
            </w:pPr>
          </w:p>
        </w:tc>
      </w:tr>
      <w:tr w14:paraId="19A99E8F">
        <w:tblPrEx>
          <w:shd w:val="clear" w:color="auto" w:fill="auto"/>
          <w:tblCellMar>
            <w:top w:w="0" w:type="dxa"/>
            <w:left w:w="0" w:type="dxa"/>
            <w:bottom w:w="0" w:type="dxa"/>
            <w:right w:w="0" w:type="dxa"/>
          </w:tblCellMar>
        </w:tblPrEx>
        <w:trPr>
          <w:trHeight w:val="334" w:hRule="atLeast"/>
        </w:trPr>
        <w:tc>
          <w:tcPr>
            <w:tcW w:w="43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0AAC38">
            <w:pPr>
              <w:jc w:val="center"/>
              <w:rPr>
                <w:rFonts w:hint="eastAsia" w:ascii="宋体" w:hAnsi="宋体" w:eastAsia="宋体" w:cs="宋体"/>
                <w:b/>
                <w:i w:val="0"/>
                <w:color w:val="000000"/>
                <w:sz w:val="22"/>
                <w:szCs w:val="22"/>
                <w:u w:val="none"/>
              </w:rPr>
            </w:pPr>
          </w:p>
        </w:tc>
        <w:tc>
          <w:tcPr>
            <w:tcW w:w="746"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3C4C73D">
            <w:pPr>
              <w:jc w:val="center"/>
              <w:rPr>
                <w:rFonts w:hint="eastAsia" w:ascii="宋体" w:hAnsi="宋体" w:eastAsia="宋体" w:cs="宋体"/>
                <w:b/>
                <w:i w:val="0"/>
                <w:color w:val="000000"/>
                <w:sz w:val="22"/>
                <w:szCs w:val="22"/>
                <w:u w:val="none"/>
              </w:rPr>
            </w:pPr>
          </w:p>
        </w:tc>
        <w:tc>
          <w:tcPr>
            <w:tcW w:w="54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AAF49D1">
            <w:pPr>
              <w:jc w:val="center"/>
              <w:rPr>
                <w:rFonts w:hint="eastAsia" w:ascii="宋体" w:hAnsi="宋体" w:eastAsia="宋体" w:cs="宋体"/>
                <w:b/>
                <w:i w:val="0"/>
                <w:color w:val="000000"/>
                <w:sz w:val="22"/>
                <w:szCs w:val="2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753C2A1">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5FF97D0">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31D01F3">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127E7C">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B692CA">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19A113">
            <w:pPr>
              <w:jc w:val="center"/>
              <w:rPr>
                <w:rFonts w:hint="eastAsia" w:ascii="宋体" w:hAnsi="宋体" w:eastAsia="宋体" w:cs="宋体"/>
                <w:b/>
                <w:i w:val="0"/>
                <w:color w:val="000000"/>
                <w:sz w:val="22"/>
                <w:szCs w:val="22"/>
                <w:u w:val="none"/>
              </w:rPr>
            </w:pPr>
          </w:p>
        </w:tc>
        <w:tc>
          <w:tcPr>
            <w:tcW w:w="526"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504109">
            <w:pPr>
              <w:jc w:val="center"/>
              <w:rPr>
                <w:rFonts w:hint="eastAsia" w:ascii="宋体" w:hAnsi="宋体" w:eastAsia="宋体" w:cs="宋体"/>
                <w:b/>
                <w:i w:val="0"/>
                <w:color w:val="000000"/>
                <w:sz w:val="22"/>
                <w:szCs w:val="22"/>
                <w:u w:val="none"/>
              </w:rPr>
            </w:pPr>
          </w:p>
        </w:tc>
      </w:tr>
      <w:tr w14:paraId="376887D3">
        <w:tblPrEx>
          <w:shd w:val="clear" w:color="auto" w:fill="auto"/>
          <w:tblCellMar>
            <w:top w:w="0" w:type="dxa"/>
            <w:left w:w="0" w:type="dxa"/>
            <w:bottom w:w="0" w:type="dxa"/>
            <w:right w:w="0" w:type="dxa"/>
          </w:tblCellMar>
        </w:tblPrEx>
        <w:trPr>
          <w:trHeight w:val="334" w:hRule="atLeast"/>
        </w:trPr>
        <w:tc>
          <w:tcPr>
            <w:tcW w:w="43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D8EFE3">
            <w:pPr>
              <w:jc w:val="center"/>
              <w:rPr>
                <w:rFonts w:hint="eastAsia" w:ascii="宋体" w:hAnsi="宋体" w:eastAsia="宋体" w:cs="宋体"/>
                <w:b/>
                <w:i w:val="0"/>
                <w:color w:val="000000"/>
                <w:sz w:val="22"/>
                <w:szCs w:val="22"/>
                <w:u w:val="none"/>
              </w:rPr>
            </w:pPr>
          </w:p>
        </w:tc>
        <w:tc>
          <w:tcPr>
            <w:tcW w:w="746"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08A00E98">
            <w:pPr>
              <w:jc w:val="center"/>
              <w:rPr>
                <w:rFonts w:hint="eastAsia" w:ascii="宋体" w:hAnsi="宋体" w:eastAsia="宋体" w:cs="宋体"/>
                <w:b/>
                <w:i w:val="0"/>
                <w:color w:val="000000"/>
                <w:sz w:val="22"/>
                <w:szCs w:val="22"/>
                <w:u w:val="none"/>
              </w:rPr>
            </w:pPr>
          </w:p>
        </w:tc>
        <w:tc>
          <w:tcPr>
            <w:tcW w:w="54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51B70C9">
            <w:pPr>
              <w:jc w:val="center"/>
              <w:rPr>
                <w:rFonts w:hint="eastAsia" w:ascii="宋体" w:hAnsi="宋体" w:eastAsia="宋体" w:cs="宋体"/>
                <w:b/>
                <w:i w:val="0"/>
                <w:color w:val="000000"/>
                <w:sz w:val="22"/>
                <w:szCs w:val="2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7E6433C">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B68080">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77E54F">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F915F8">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8246ADF">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9559E8C">
            <w:pPr>
              <w:jc w:val="center"/>
              <w:rPr>
                <w:rFonts w:hint="eastAsia" w:ascii="宋体" w:hAnsi="宋体" w:eastAsia="宋体" w:cs="宋体"/>
                <w:b/>
                <w:i w:val="0"/>
                <w:color w:val="000000"/>
                <w:sz w:val="22"/>
                <w:szCs w:val="22"/>
                <w:u w:val="none"/>
              </w:rPr>
            </w:pPr>
          </w:p>
        </w:tc>
        <w:tc>
          <w:tcPr>
            <w:tcW w:w="526"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C17AD1">
            <w:pPr>
              <w:jc w:val="center"/>
              <w:rPr>
                <w:rFonts w:hint="eastAsia" w:ascii="宋体" w:hAnsi="宋体" w:eastAsia="宋体" w:cs="宋体"/>
                <w:b/>
                <w:i w:val="0"/>
                <w:color w:val="000000"/>
                <w:sz w:val="22"/>
                <w:szCs w:val="22"/>
                <w:u w:val="none"/>
              </w:rPr>
            </w:pPr>
          </w:p>
        </w:tc>
      </w:tr>
      <w:tr w14:paraId="751010E3">
        <w:tblPrEx>
          <w:shd w:val="clear" w:color="auto" w:fill="auto"/>
          <w:tblCellMar>
            <w:top w:w="0" w:type="dxa"/>
            <w:left w:w="0" w:type="dxa"/>
            <w:bottom w:w="0" w:type="dxa"/>
            <w:right w:w="0" w:type="dxa"/>
          </w:tblCellMar>
        </w:tblPrEx>
        <w:trPr>
          <w:trHeight w:val="334" w:hRule="atLeast"/>
        </w:trPr>
        <w:tc>
          <w:tcPr>
            <w:tcW w:w="436"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5D44EE">
            <w:pPr>
              <w:jc w:val="center"/>
              <w:rPr>
                <w:rFonts w:hint="eastAsia" w:ascii="宋体" w:hAnsi="宋体" w:eastAsia="宋体" w:cs="宋体"/>
                <w:b/>
                <w:i w:val="0"/>
                <w:color w:val="000000"/>
                <w:sz w:val="22"/>
                <w:szCs w:val="22"/>
                <w:u w:val="none"/>
              </w:rPr>
            </w:pPr>
          </w:p>
        </w:tc>
        <w:tc>
          <w:tcPr>
            <w:tcW w:w="746"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437D227A">
            <w:pPr>
              <w:jc w:val="center"/>
              <w:rPr>
                <w:rFonts w:hint="eastAsia" w:ascii="宋体" w:hAnsi="宋体" w:eastAsia="宋体" w:cs="宋体"/>
                <w:b/>
                <w:i w:val="0"/>
                <w:color w:val="000000"/>
                <w:sz w:val="22"/>
                <w:szCs w:val="22"/>
                <w:u w:val="none"/>
              </w:rPr>
            </w:pPr>
          </w:p>
        </w:tc>
        <w:tc>
          <w:tcPr>
            <w:tcW w:w="54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1EE5B0">
            <w:pPr>
              <w:jc w:val="center"/>
              <w:rPr>
                <w:rFonts w:hint="eastAsia" w:ascii="宋体" w:hAnsi="宋体" w:eastAsia="宋体" w:cs="宋体"/>
                <w:b/>
                <w:i w:val="0"/>
                <w:color w:val="000000"/>
                <w:sz w:val="22"/>
                <w:szCs w:val="22"/>
                <w:u w:val="none"/>
              </w:rPr>
            </w:pPr>
          </w:p>
        </w:tc>
        <w:tc>
          <w:tcPr>
            <w:tcW w:w="53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9DF668">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BBB320">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1EB45E">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3F94DEA">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6D8E26">
            <w:pPr>
              <w:jc w:val="center"/>
              <w:rPr>
                <w:rFonts w:hint="eastAsia" w:ascii="宋体" w:hAnsi="宋体" w:eastAsia="宋体" w:cs="宋体"/>
                <w:b/>
                <w:i w:val="0"/>
                <w:color w:val="000000"/>
                <w:sz w:val="22"/>
                <w:szCs w:val="22"/>
                <w:u w:val="none"/>
              </w:rPr>
            </w:pPr>
          </w:p>
        </w:tc>
        <w:tc>
          <w:tcPr>
            <w:tcW w:w="441"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2FE0CC4">
            <w:pPr>
              <w:jc w:val="center"/>
              <w:rPr>
                <w:rFonts w:hint="eastAsia" w:ascii="宋体" w:hAnsi="宋体" w:eastAsia="宋体" w:cs="宋体"/>
                <w:b/>
                <w:i w:val="0"/>
                <w:color w:val="000000"/>
                <w:sz w:val="22"/>
                <w:szCs w:val="22"/>
                <w:u w:val="none"/>
              </w:rPr>
            </w:pPr>
          </w:p>
        </w:tc>
        <w:tc>
          <w:tcPr>
            <w:tcW w:w="526"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4BA40C">
            <w:pPr>
              <w:jc w:val="center"/>
              <w:rPr>
                <w:rFonts w:hint="eastAsia" w:ascii="宋体" w:hAnsi="宋体" w:eastAsia="宋体" w:cs="宋体"/>
                <w:b/>
                <w:i w:val="0"/>
                <w:color w:val="000000"/>
                <w:sz w:val="22"/>
                <w:szCs w:val="22"/>
                <w:u w:val="none"/>
              </w:rPr>
            </w:pPr>
          </w:p>
        </w:tc>
      </w:tr>
      <w:tr w14:paraId="71A1742E">
        <w:tblPrEx>
          <w:shd w:val="clear" w:color="auto" w:fill="auto"/>
          <w:tblCellMar>
            <w:top w:w="0" w:type="dxa"/>
            <w:left w:w="0" w:type="dxa"/>
            <w:bottom w:w="0" w:type="dxa"/>
            <w:right w:w="0" w:type="dxa"/>
          </w:tblCellMar>
        </w:tblPrEx>
        <w:trPr>
          <w:trHeight w:val="338" w:hRule="atLeast"/>
        </w:trPr>
        <w:tc>
          <w:tcPr>
            <w:tcW w:w="1182"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0901D4">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54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FAC8E5">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65.67</w:t>
            </w:r>
            <w:r>
              <w:rPr>
                <w:rFonts w:hint="eastAsia" w:cs="宋体"/>
                <w:b/>
                <w:bCs/>
                <w:color w:val="000000"/>
                <w:sz w:val="21"/>
                <w:szCs w:val="21"/>
                <w:lang w:val="en-US" w:eastAsia="zh-CN" w:bidi="ar"/>
              </w:rPr>
              <w:t xml:space="preserve"> </w:t>
            </w:r>
          </w:p>
        </w:tc>
        <w:tc>
          <w:tcPr>
            <w:tcW w:w="53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7E6489">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65.67</w:t>
            </w:r>
            <w:r>
              <w:rPr>
                <w:rFonts w:hint="eastAsia" w:cs="宋体"/>
                <w:b/>
                <w:bCs/>
                <w:color w:val="000000"/>
                <w:sz w:val="21"/>
                <w:szCs w:val="21"/>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3AEAB0">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9989E1C">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2F59FE">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A55FD4">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44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2E7F08">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52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2D5D60C">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r w14:paraId="6C123800">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D45894">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B08ED5">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社会保障和就业支出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C66478">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58.00</w:t>
            </w:r>
            <w:r>
              <w:rPr>
                <w:rFonts w:hint="eastAsia" w:cs="宋体"/>
                <w:b/>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10D12E">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58.00</w:t>
            </w:r>
            <w:r>
              <w:rPr>
                <w:rFonts w:hint="eastAsia" w:cs="宋体"/>
                <w:b/>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77C963">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1AACD0">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63FC9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FDF85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0BE4B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5ABFC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337CD182">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BD581E">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D3A9A14">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人力资源和社会保障管理事务</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219335">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51.41</w:t>
            </w:r>
            <w:r>
              <w:rPr>
                <w:rFonts w:hint="eastAsia" w:cs="宋体"/>
                <w:b/>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3BA71C">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51.41</w:t>
            </w:r>
            <w:r>
              <w:rPr>
                <w:rFonts w:hint="eastAsia" w:cs="宋体"/>
                <w:b/>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1C64B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33678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050E8C">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182560">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A83F93">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47F7643">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618FA733">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273562">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2080104</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979A40">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综合业务管理</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E52493">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49.12</w:t>
            </w:r>
            <w:r>
              <w:rPr>
                <w:rFonts w:hint="eastAsia" w:cs="宋体"/>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993836">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49.12</w:t>
            </w: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07696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B9D74B">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8759E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14CFF7">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C5FCE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6B6D3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649F8A0C">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340EA6">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2080150</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CA7FDB">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事业运行</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7CAB00">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2.29</w:t>
            </w:r>
            <w:r>
              <w:rPr>
                <w:rFonts w:hint="eastAsia" w:cs="宋体"/>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7571D8">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2.29</w:t>
            </w: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BDD62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4A7B04">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B595F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51AD6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37EA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90124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2A23A807">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C1C940">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20805</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31EDA9">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行政事业单位养老支出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49BF59">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6.59</w:t>
            </w:r>
            <w:r>
              <w:rPr>
                <w:rFonts w:hint="eastAsia" w:cs="宋体"/>
                <w:b/>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9577FB">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6.59</w:t>
            </w:r>
            <w:r>
              <w:rPr>
                <w:rFonts w:hint="eastAsia" w:cs="宋体"/>
                <w:b/>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2AF696">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3A15B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197034">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2A5BB77">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DD105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38083C">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65B15CCB">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76A210">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2080505</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059B9F3">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机关事业单位基本养老保险缴费支出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606E9F">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4.39</w:t>
            </w:r>
            <w:r>
              <w:rPr>
                <w:rFonts w:hint="eastAsia" w:cs="宋体"/>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9713C9">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4.39</w:t>
            </w: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CC49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C46A9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973D5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C5AB1C">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204970">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B44E3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7169B1C1">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605C46">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2080506</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E04017">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机关事业单位职业年金缴费支出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00A44A">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2.20</w:t>
            </w:r>
            <w:r>
              <w:rPr>
                <w:rFonts w:hint="eastAsia" w:cs="宋体"/>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B4C32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2.20</w:t>
            </w: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6BD396">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06D44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C6F1A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9D6F7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1512A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0F1CD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5A6FA702">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D6CDBE">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90BB6F">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卫生健康支出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61D6F9">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3.39</w:t>
            </w:r>
            <w:r>
              <w:rPr>
                <w:rFonts w:hint="eastAsia" w:cs="宋体"/>
                <w:b/>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DEB2C9">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3.39</w:t>
            </w:r>
            <w:r>
              <w:rPr>
                <w:rFonts w:hint="eastAsia" w:cs="宋体"/>
                <w:b/>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CC91E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E1689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3F26E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FD25C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4F6B4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8BBF3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494FD13D">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CA84CB">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21011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79522DF">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行政事业单位医疗</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B85132">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3.39</w:t>
            </w:r>
            <w:r>
              <w:rPr>
                <w:rFonts w:hint="eastAsia" w:cs="宋体"/>
                <w:b/>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7A1199">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3.39</w:t>
            </w:r>
            <w:r>
              <w:rPr>
                <w:rFonts w:hint="eastAsia" w:cs="宋体"/>
                <w:b/>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5D6B77">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03303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EB4A3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909A35">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BA07C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20A2B6">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338823F9">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D52206">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2101102</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C7AD77">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事业单位医疗</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021D1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2.75</w:t>
            </w:r>
            <w:r>
              <w:rPr>
                <w:rFonts w:hint="eastAsia" w:cs="宋体"/>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E95437">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2.75</w:t>
            </w: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D119D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558FCB">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F2BAC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FAFC4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89FA16">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89EBC0">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73B99AED">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5BD68E">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2101199</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D6FCBA">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其他行政事业单位医疗支出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131E7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0.64</w:t>
            </w:r>
            <w:r>
              <w:rPr>
                <w:rFonts w:hint="eastAsia" w:cs="宋体"/>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A6753F">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0.64</w:t>
            </w: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82119C">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389AB">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5F0DF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972C4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A3DE6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447A6C">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151DFC40">
        <w:tblPrEx>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B7A773">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7E49F3">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住房保障支出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AC920C">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4.29</w:t>
            </w:r>
            <w:r>
              <w:rPr>
                <w:rFonts w:hint="eastAsia" w:cs="宋体"/>
                <w:b/>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3865CF">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4.29</w:t>
            </w:r>
            <w:r>
              <w:rPr>
                <w:rFonts w:hint="eastAsia" w:cs="宋体"/>
                <w:b/>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C9A0C6">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616CC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B4C2C3">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04B79C">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A728C5">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6D327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44B28671">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F30534">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22102</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773463">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住房改革支出</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03A5159">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4.29</w:t>
            </w:r>
            <w:r>
              <w:rPr>
                <w:rFonts w:hint="eastAsia" w:cs="宋体"/>
                <w:b/>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753AE00">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4.29</w:t>
            </w:r>
            <w:r>
              <w:rPr>
                <w:rFonts w:hint="eastAsia" w:cs="宋体"/>
                <w:b/>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2C458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AC895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B2198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B6EAD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A20C9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33FB1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73EEF7CE">
        <w:tblPrEx>
          <w:shd w:val="clear" w:color="auto" w:fill="auto"/>
          <w:tblCellMar>
            <w:top w:w="0" w:type="dxa"/>
            <w:left w:w="0" w:type="dxa"/>
            <w:bottom w:w="0" w:type="dxa"/>
            <w:right w:w="0" w:type="dxa"/>
          </w:tblCellMar>
        </w:tblPrEx>
        <w:trPr>
          <w:trHeight w:val="348" w:hRule="atLeast"/>
        </w:trPr>
        <w:tc>
          <w:tcPr>
            <w:tcW w:w="436"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E3C046">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2210201</w:t>
            </w:r>
          </w:p>
        </w:tc>
        <w:tc>
          <w:tcPr>
            <w:tcW w:w="746"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4FA350E">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住房公积金</w:t>
            </w:r>
          </w:p>
        </w:tc>
        <w:tc>
          <w:tcPr>
            <w:tcW w:w="54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1A7372">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4.29</w:t>
            </w:r>
            <w:r>
              <w:rPr>
                <w:rFonts w:hint="eastAsia" w:cs="宋体"/>
                <w:color w:val="000000"/>
                <w:sz w:val="21"/>
                <w:szCs w:val="21"/>
                <w:lang w:val="en-US" w:eastAsia="zh-CN" w:bidi="ar"/>
              </w:rPr>
              <w:t xml:space="preserve"> </w:t>
            </w:r>
          </w:p>
        </w:tc>
        <w:tc>
          <w:tcPr>
            <w:tcW w:w="539"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F05C2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4.29</w:t>
            </w: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FC712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D791A0">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92C75AB">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BEAB17">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441"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86372C">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52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77AD3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bl>
    <w:p w14:paraId="7E325968">
      <w:pPr>
        <w:ind w:left="630" w:hanging="630" w:hangingChars="300"/>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备注：1.本表反映单位本年度取得的各项收入情况。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p>
    <w:p w14:paraId="3409DF52">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br w:type="page"/>
      </w:r>
    </w:p>
    <w:p w14:paraId="00627107">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方正黑体_GBK" w:hAnsi="方正黑体_GBK" w:eastAsia="方正黑体_GBK" w:cs="方正黑体_GBK"/>
          <w:b w:val="0"/>
          <w:bCs w:val="0"/>
          <w:sz w:val="32"/>
          <w:szCs w:val="32"/>
          <w:lang w:val="en-US" w:eastAsia="zh-CN"/>
        </w:rPr>
        <w:t>附件3</w:t>
      </w:r>
    </w:p>
    <w:tbl>
      <w:tblPr>
        <w:tblStyle w:val="6"/>
        <w:tblW w:w="5000" w:type="pct"/>
        <w:tblInd w:w="0" w:type="dxa"/>
        <w:shd w:val="clear" w:color="auto" w:fill="auto"/>
        <w:tblLayout w:type="autofit"/>
        <w:tblCellMar>
          <w:top w:w="0" w:type="dxa"/>
          <w:left w:w="0" w:type="dxa"/>
          <w:bottom w:w="0" w:type="dxa"/>
          <w:right w:w="0" w:type="dxa"/>
        </w:tblCellMar>
      </w:tblPr>
      <w:tblGrid>
        <w:gridCol w:w="2371"/>
        <w:gridCol w:w="4019"/>
        <w:gridCol w:w="1495"/>
        <w:gridCol w:w="1496"/>
        <w:gridCol w:w="1496"/>
        <w:gridCol w:w="1496"/>
        <w:gridCol w:w="1496"/>
        <w:gridCol w:w="1508"/>
      </w:tblGrid>
      <w:tr w14:paraId="7DBFCE24">
        <w:tblPrEx>
          <w:shd w:val="clear" w:color="auto" w:fill="auto"/>
        </w:tblPrEx>
        <w:trPr>
          <w:trHeight w:val="65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0159D5A2">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支出决算表</w:t>
            </w:r>
          </w:p>
        </w:tc>
      </w:tr>
      <w:tr w14:paraId="372FE9E7">
        <w:tblPrEx>
          <w:tblCellMar>
            <w:top w:w="0" w:type="dxa"/>
            <w:left w:w="0" w:type="dxa"/>
            <w:bottom w:w="0" w:type="dxa"/>
            <w:right w:w="0" w:type="dxa"/>
          </w:tblCellMar>
        </w:tblPrEx>
        <w:trPr>
          <w:trHeight w:val="342" w:hRule="atLeast"/>
        </w:trPr>
        <w:tc>
          <w:tcPr>
            <w:tcW w:w="1264" w:type="pct"/>
            <w:gridSpan w:val="2"/>
            <w:vMerge w:val="restart"/>
            <w:tcBorders>
              <w:top w:val="nil"/>
              <w:left w:val="nil"/>
              <w:right w:val="nil"/>
            </w:tcBorders>
            <w:shd w:val="clear" w:color="auto" w:fill="auto"/>
            <w:noWrap/>
            <w:tcMar>
              <w:top w:w="15" w:type="dxa"/>
              <w:left w:w="15" w:type="dxa"/>
              <w:right w:w="15" w:type="dxa"/>
            </w:tcMar>
            <w:vAlign w:val="bottom"/>
          </w:tcPr>
          <w:p w14:paraId="3B7E9D9A">
            <w:pPr>
              <w:rPr>
                <w:rFonts w:hint="default" w:ascii="Arial" w:hAnsi="Arial" w:eastAsia="宋体" w:cs="Arial"/>
                <w:i w:val="0"/>
                <w:color w:val="000000"/>
                <w:sz w:val="20"/>
                <w:szCs w:val="20"/>
                <w:u w:val="none"/>
              </w:rPr>
            </w:pPr>
            <w:r>
              <w:rPr>
                <w:rFonts w:hint="eastAsia" w:asciiTheme="minorEastAsia" w:hAnsiTheme="minorEastAsia" w:eastAsiaTheme="minorEastAsia" w:cstheme="minorEastAsia"/>
                <w:sz w:val="24"/>
                <w:szCs w:val="24"/>
                <w:lang w:eastAsia="zh-CN"/>
              </w:rPr>
              <w:t>公开单位</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 xml:space="preserve">重庆市潼南区田家镇劳动就业和社会保障服务所 </w:t>
            </w:r>
          </w:p>
        </w:tc>
        <w:tc>
          <w:tcPr>
            <w:tcW w:w="622" w:type="pct"/>
            <w:tcBorders>
              <w:top w:val="nil"/>
              <w:left w:val="nil"/>
              <w:bottom w:val="nil"/>
              <w:right w:val="nil"/>
            </w:tcBorders>
            <w:shd w:val="clear" w:color="auto" w:fill="auto"/>
            <w:noWrap/>
            <w:tcMar>
              <w:top w:w="15" w:type="dxa"/>
              <w:left w:w="15" w:type="dxa"/>
              <w:right w:w="15" w:type="dxa"/>
            </w:tcMar>
            <w:vAlign w:val="bottom"/>
          </w:tcPr>
          <w:p w14:paraId="18F927D5">
            <w:pPr>
              <w:rPr>
                <w:rFonts w:hint="default" w:ascii="Arial" w:hAnsi="Arial" w:eastAsia="宋体" w:cs="Arial"/>
                <w:i w:val="0"/>
                <w:color w:val="000000"/>
                <w:sz w:val="20"/>
                <w:szCs w:val="20"/>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319FFD56">
            <w:pPr>
              <w:rPr>
                <w:rFonts w:hint="default" w:ascii="Arial" w:hAnsi="Arial" w:eastAsia="宋体" w:cs="Arial"/>
                <w:i w:val="0"/>
                <w:color w:val="000000"/>
                <w:sz w:val="20"/>
                <w:szCs w:val="20"/>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3343DD8C">
            <w:pPr>
              <w:rPr>
                <w:rFonts w:hint="default" w:ascii="Arial" w:hAnsi="Arial" w:eastAsia="宋体" w:cs="Arial"/>
                <w:i w:val="0"/>
                <w:color w:val="000000"/>
                <w:sz w:val="20"/>
                <w:szCs w:val="20"/>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13099CA3">
            <w:pPr>
              <w:rPr>
                <w:rFonts w:hint="default" w:ascii="Arial" w:hAnsi="Arial" w:eastAsia="宋体" w:cs="Arial"/>
                <w:i w:val="0"/>
                <w:color w:val="000000"/>
                <w:sz w:val="20"/>
                <w:szCs w:val="20"/>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519A6C9F">
            <w:pPr>
              <w:rPr>
                <w:rFonts w:hint="default" w:ascii="Arial" w:hAnsi="Arial" w:eastAsia="宋体" w:cs="Arial"/>
                <w:i w:val="0"/>
                <w:color w:val="000000"/>
                <w:sz w:val="20"/>
                <w:szCs w:val="20"/>
                <w:u w:val="none"/>
              </w:rPr>
            </w:pPr>
          </w:p>
        </w:tc>
        <w:tc>
          <w:tcPr>
            <w:tcW w:w="625" w:type="pct"/>
            <w:tcBorders>
              <w:top w:val="nil"/>
              <w:left w:val="nil"/>
              <w:bottom w:val="nil"/>
              <w:right w:val="nil"/>
            </w:tcBorders>
            <w:shd w:val="clear" w:color="auto" w:fill="auto"/>
            <w:noWrap/>
            <w:tcMar>
              <w:top w:w="15" w:type="dxa"/>
              <w:left w:w="15" w:type="dxa"/>
              <w:right w:w="15" w:type="dxa"/>
            </w:tcMar>
            <w:vAlign w:val="bottom"/>
          </w:tcPr>
          <w:p w14:paraId="7443DD14">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公开03表</w:t>
            </w:r>
          </w:p>
        </w:tc>
      </w:tr>
      <w:tr w14:paraId="3ADF575A">
        <w:tblPrEx>
          <w:tblCellMar>
            <w:top w:w="0" w:type="dxa"/>
            <w:left w:w="0" w:type="dxa"/>
            <w:bottom w:w="0" w:type="dxa"/>
            <w:right w:w="0" w:type="dxa"/>
          </w:tblCellMar>
        </w:tblPrEx>
        <w:trPr>
          <w:trHeight w:val="342" w:hRule="atLeast"/>
        </w:trPr>
        <w:tc>
          <w:tcPr>
            <w:tcW w:w="1264" w:type="pct"/>
            <w:gridSpan w:val="2"/>
            <w:vMerge w:val="continue"/>
            <w:tcBorders>
              <w:left w:val="nil"/>
              <w:bottom w:val="nil"/>
              <w:right w:val="nil"/>
            </w:tcBorders>
            <w:shd w:val="clear" w:color="auto" w:fill="auto"/>
            <w:noWrap/>
            <w:tcMar>
              <w:top w:w="15" w:type="dxa"/>
              <w:left w:w="15" w:type="dxa"/>
              <w:right w:w="15" w:type="dxa"/>
            </w:tcMar>
            <w:vAlign w:val="bottom"/>
          </w:tcPr>
          <w:p w14:paraId="7C6D0D4A">
            <w:pPr>
              <w:rPr>
                <w:rFonts w:hint="default" w:ascii="Arial" w:hAnsi="Arial" w:eastAsia="宋体" w:cs="Arial"/>
                <w:i w:val="0"/>
                <w:color w:val="000000"/>
                <w:sz w:val="22"/>
                <w:szCs w:val="2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27006E2A">
            <w:pPr>
              <w:rPr>
                <w:rFonts w:hint="default" w:ascii="Arial" w:hAnsi="Arial" w:eastAsia="宋体" w:cs="Arial"/>
                <w:i w:val="0"/>
                <w:color w:val="000000"/>
                <w:sz w:val="22"/>
                <w:szCs w:val="2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54E0EA5A">
            <w:pPr>
              <w:rPr>
                <w:rFonts w:hint="default" w:ascii="Arial" w:hAnsi="Arial" w:eastAsia="宋体" w:cs="Arial"/>
                <w:i w:val="0"/>
                <w:color w:val="000000"/>
                <w:sz w:val="22"/>
                <w:szCs w:val="2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2FE65FDD">
            <w:pPr>
              <w:rPr>
                <w:rFonts w:hint="default" w:ascii="Arial" w:hAnsi="Arial" w:eastAsia="宋体" w:cs="Arial"/>
                <w:i w:val="0"/>
                <w:color w:val="000000"/>
                <w:sz w:val="22"/>
                <w:szCs w:val="2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52E3E353">
            <w:pPr>
              <w:rPr>
                <w:rFonts w:hint="default" w:ascii="Arial" w:hAnsi="Arial" w:eastAsia="宋体" w:cs="Arial"/>
                <w:i w:val="0"/>
                <w:color w:val="000000"/>
                <w:sz w:val="22"/>
                <w:szCs w:val="22"/>
                <w:u w:val="none"/>
              </w:rPr>
            </w:pPr>
          </w:p>
        </w:tc>
        <w:tc>
          <w:tcPr>
            <w:tcW w:w="622" w:type="pct"/>
            <w:tcBorders>
              <w:top w:val="nil"/>
              <w:left w:val="nil"/>
              <w:bottom w:val="nil"/>
              <w:right w:val="nil"/>
            </w:tcBorders>
            <w:shd w:val="clear" w:color="auto" w:fill="auto"/>
            <w:noWrap/>
            <w:tcMar>
              <w:top w:w="15" w:type="dxa"/>
              <w:left w:w="15" w:type="dxa"/>
              <w:right w:w="15" w:type="dxa"/>
            </w:tcMar>
            <w:vAlign w:val="bottom"/>
          </w:tcPr>
          <w:p w14:paraId="0962C2B9">
            <w:pPr>
              <w:rPr>
                <w:rFonts w:hint="default" w:ascii="Arial" w:hAnsi="Arial" w:eastAsia="宋体" w:cs="Arial"/>
                <w:i w:val="0"/>
                <w:color w:val="000000"/>
                <w:sz w:val="22"/>
                <w:szCs w:val="22"/>
                <w:u w:val="none"/>
              </w:rPr>
            </w:pPr>
          </w:p>
        </w:tc>
        <w:tc>
          <w:tcPr>
            <w:tcW w:w="625" w:type="pct"/>
            <w:tcBorders>
              <w:top w:val="nil"/>
              <w:left w:val="nil"/>
              <w:bottom w:val="nil"/>
              <w:right w:val="nil"/>
            </w:tcBorders>
            <w:shd w:val="clear" w:color="auto" w:fill="auto"/>
            <w:noWrap/>
            <w:tcMar>
              <w:top w:w="15" w:type="dxa"/>
              <w:left w:w="15" w:type="dxa"/>
              <w:right w:w="15" w:type="dxa"/>
            </w:tcMar>
            <w:vAlign w:val="bottom"/>
          </w:tcPr>
          <w:p w14:paraId="34A963A1">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05453C7A">
        <w:tblPrEx>
          <w:shd w:val="clear" w:color="auto" w:fill="auto"/>
          <w:tblCellMar>
            <w:top w:w="0" w:type="dxa"/>
            <w:left w:w="0" w:type="dxa"/>
            <w:bottom w:w="0" w:type="dxa"/>
            <w:right w:w="0" w:type="dxa"/>
          </w:tblCellMar>
        </w:tblPrEx>
        <w:trPr>
          <w:trHeight w:val="362" w:hRule="atLeast"/>
        </w:trPr>
        <w:tc>
          <w:tcPr>
            <w:tcW w:w="1264"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76B767D3">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082F8FA">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4C39B2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基本支出</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7FA5C44">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项目支出</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B2FEA83">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上缴上级支出</w:t>
            </w:r>
          </w:p>
        </w:tc>
        <w:tc>
          <w:tcPr>
            <w:tcW w:w="622"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F87E8FF">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经营支出</w:t>
            </w:r>
          </w:p>
        </w:tc>
        <w:tc>
          <w:tcPr>
            <w:tcW w:w="62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DA2CA7">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对附属单位补助支出</w:t>
            </w:r>
          </w:p>
        </w:tc>
      </w:tr>
      <w:tr w14:paraId="439F135F">
        <w:tblPrEx>
          <w:shd w:val="clear" w:color="auto" w:fill="auto"/>
          <w:tblCellMar>
            <w:top w:w="0" w:type="dxa"/>
            <w:left w:w="0" w:type="dxa"/>
            <w:bottom w:w="0" w:type="dxa"/>
            <w:right w:w="0" w:type="dxa"/>
          </w:tblCellMar>
        </w:tblPrEx>
        <w:trPr>
          <w:trHeight w:val="338" w:hRule="atLeast"/>
        </w:trPr>
        <w:tc>
          <w:tcPr>
            <w:tcW w:w="469" w:type="pct"/>
            <w:vMerge w:val="restart"/>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0A59E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795" w:type="pct"/>
            <w:vMerge w:val="restart"/>
            <w:tcBorders>
              <w:top w:val="nil"/>
              <w:left w:val="nil"/>
              <w:bottom w:val="single" w:color="000000" w:sz="4" w:space="0"/>
              <w:right w:val="nil"/>
            </w:tcBorders>
            <w:shd w:val="clear" w:color="FFFFFF" w:fill="C0C0C0"/>
            <w:noWrap/>
            <w:tcMar>
              <w:top w:w="15" w:type="dxa"/>
              <w:left w:w="15" w:type="dxa"/>
              <w:right w:w="15" w:type="dxa"/>
            </w:tcMar>
            <w:vAlign w:val="center"/>
          </w:tcPr>
          <w:p w14:paraId="5A04B6A5">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项目（按“项”级功能分类科目）</w:t>
            </w: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8C2148B">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A5E43B">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4E0D1C">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198B04">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455A51">
            <w:pPr>
              <w:jc w:val="center"/>
              <w:rPr>
                <w:rFonts w:hint="eastAsia" w:ascii="宋体" w:hAnsi="宋体" w:eastAsia="宋体" w:cs="宋体"/>
                <w:b/>
                <w:i w:val="0"/>
                <w:color w:val="000000"/>
                <w:sz w:val="22"/>
                <w:szCs w:val="22"/>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198210">
            <w:pPr>
              <w:jc w:val="center"/>
              <w:rPr>
                <w:rFonts w:hint="eastAsia" w:ascii="宋体" w:hAnsi="宋体" w:eastAsia="宋体" w:cs="宋体"/>
                <w:b/>
                <w:i w:val="0"/>
                <w:color w:val="000000"/>
                <w:sz w:val="22"/>
                <w:szCs w:val="22"/>
                <w:u w:val="none"/>
              </w:rPr>
            </w:pPr>
          </w:p>
        </w:tc>
      </w:tr>
      <w:tr w14:paraId="71224C9A">
        <w:tblPrEx>
          <w:shd w:val="clear" w:color="auto" w:fill="auto"/>
          <w:tblCellMar>
            <w:top w:w="0" w:type="dxa"/>
            <w:left w:w="0" w:type="dxa"/>
            <w:bottom w:w="0" w:type="dxa"/>
            <w:right w:w="0" w:type="dxa"/>
          </w:tblCellMar>
        </w:tblPrEx>
        <w:trPr>
          <w:trHeight w:val="338" w:hRule="atLeast"/>
        </w:trPr>
        <w:tc>
          <w:tcPr>
            <w:tcW w:w="469"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1B92FA">
            <w:pPr>
              <w:jc w:val="center"/>
              <w:rPr>
                <w:rFonts w:hint="eastAsia" w:ascii="宋体" w:hAnsi="宋体" w:eastAsia="宋体" w:cs="宋体"/>
                <w:b/>
                <w:i w:val="0"/>
                <w:color w:val="000000"/>
                <w:sz w:val="22"/>
                <w:szCs w:val="22"/>
                <w:u w:val="none"/>
              </w:rPr>
            </w:pPr>
          </w:p>
        </w:tc>
        <w:tc>
          <w:tcPr>
            <w:tcW w:w="795"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1599314D">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C8FFE04">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A5C05E">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2C76BF">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1F46C7D">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CD44D27">
            <w:pPr>
              <w:jc w:val="center"/>
              <w:rPr>
                <w:rFonts w:hint="eastAsia" w:ascii="宋体" w:hAnsi="宋体" w:eastAsia="宋体" w:cs="宋体"/>
                <w:b/>
                <w:i w:val="0"/>
                <w:color w:val="000000"/>
                <w:sz w:val="22"/>
                <w:szCs w:val="22"/>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B341B2E">
            <w:pPr>
              <w:jc w:val="center"/>
              <w:rPr>
                <w:rFonts w:hint="eastAsia" w:ascii="宋体" w:hAnsi="宋体" w:eastAsia="宋体" w:cs="宋体"/>
                <w:b/>
                <w:i w:val="0"/>
                <w:color w:val="000000"/>
                <w:sz w:val="22"/>
                <w:szCs w:val="22"/>
                <w:u w:val="none"/>
              </w:rPr>
            </w:pPr>
          </w:p>
        </w:tc>
      </w:tr>
      <w:tr w14:paraId="29590944">
        <w:tblPrEx>
          <w:tblCellMar>
            <w:top w:w="0" w:type="dxa"/>
            <w:left w:w="0" w:type="dxa"/>
            <w:bottom w:w="0" w:type="dxa"/>
            <w:right w:w="0" w:type="dxa"/>
          </w:tblCellMar>
        </w:tblPrEx>
        <w:trPr>
          <w:trHeight w:val="338" w:hRule="atLeast"/>
        </w:trPr>
        <w:tc>
          <w:tcPr>
            <w:tcW w:w="469"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D08982">
            <w:pPr>
              <w:jc w:val="center"/>
              <w:rPr>
                <w:rFonts w:hint="eastAsia" w:ascii="宋体" w:hAnsi="宋体" w:eastAsia="宋体" w:cs="宋体"/>
                <w:b/>
                <w:i w:val="0"/>
                <w:color w:val="000000"/>
                <w:sz w:val="22"/>
                <w:szCs w:val="22"/>
                <w:u w:val="none"/>
              </w:rPr>
            </w:pPr>
          </w:p>
        </w:tc>
        <w:tc>
          <w:tcPr>
            <w:tcW w:w="795"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7C21E3A7">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C08B28E">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FD5A239">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B6CFE08">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5309124">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7C3D34B">
            <w:pPr>
              <w:jc w:val="center"/>
              <w:rPr>
                <w:rFonts w:hint="eastAsia" w:ascii="宋体" w:hAnsi="宋体" w:eastAsia="宋体" w:cs="宋体"/>
                <w:b/>
                <w:i w:val="0"/>
                <w:color w:val="000000"/>
                <w:sz w:val="22"/>
                <w:szCs w:val="22"/>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A3C7843">
            <w:pPr>
              <w:jc w:val="center"/>
              <w:rPr>
                <w:rFonts w:hint="eastAsia" w:ascii="宋体" w:hAnsi="宋体" w:eastAsia="宋体" w:cs="宋体"/>
                <w:b/>
                <w:i w:val="0"/>
                <w:color w:val="000000"/>
                <w:sz w:val="22"/>
                <w:szCs w:val="22"/>
                <w:u w:val="none"/>
              </w:rPr>
            </w:pPr>
          </w:p>
        </w:tc>
      </w:tr>
      <w:tr w14:paraId="59970156">
        <w:tblPrEx>
          <w:shd w:val="clear" w:color="auto" w:fill="auto"/>
          <w:tblCellMar>
            <w:top w:w="0" w:type="dxa"/>
            <w:left w:w="0" w:type="dxa"/>
            <w:bottom w:w="0" w:type="dxa"/>
            <w:right w:w="0" w:type="dxa"/>
          </w:tblCellMar>
        </w:tblPrEx>
        <w:trPr>
          <w:trHeight w:val="338" w:hRule="atLeast"/>
        </w:trPr>
        <w:tc>
          <w:tcPr>
            <w:tcW w:w="469" w:type="pct"/>
            <w:vMerge w:val="continue"/>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2AF731">
            <w:pPr>
              <w:jc w:val="center"/>
              <w:rPr>
                <w:rFonts w:hint="eastAsia" w:ascii="宋体" w:hAnsi="宋体" w:eastAsia="宋体" w:cs="宋体"/>
                <w:b/>
                <w:i w:val="0"/>
                <w:color w:val="000000"/>
                <w:sz w:val="22"/>
                <w:szCs w:val="22"/>
                <w:u w:val="none"/>
              </w:rPr>
            </w:pPr>
          </w:p>
        </w:tc>
        <w:tc>
          <w:tcPr>
            <w:tcW w:w="795" w:type="pct"/>
            <w:vMerge w:val="continue"/>
            <w:tcBorders>
              <w:top w:val="nil"/>
              <w:left w:val="nil"/>
              <w:bottom w:val="single" w:color="000000" w:sz="4" w:space="0"/>
              <w:right w:val="nil"/>
            </w:tcBorders>
            <w:shd w:val="clear" w:color="FFFFFF" w:fill="C0C0C0"/>
            <w:noWrap/>
            <w:tcMar>
              <w:top w:w="15" w:type="dxa"/>
              <w:left w:w="15" w:type="dxa"/>
              <w:right w:w="15" w:type="dxa"/>
            </w:tcMar>
            <w:vAlign w:val="center"/>
          </w:tcPr>
          <w:p w14:paraId="26BF1A9C">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2B872D9">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D013D0E">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4661699">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D7C049E">
            <w:pPr>
              <w:jc w:val="center"/>
              <w:rPr>
                <w:rFonts w:hint="eastAsia" w:ascii="宋体" w:hAnsi="宋体" w:eastAsia="宋体" w:cs="宋体"/>
                <w:b/>
                <w:i w:val="0"/>
                <w:color w:val="000000"/>
                <w:sz w:val="22"/>
                <w:szCs w:val="22"/>
                <w:u w:val="none"/>
              </w:rPr>
            </w:pPr>
          </w:p>
        </w:tc>
        <w:tc>
          <w:tcPr>
            <w:tcW w:w="622"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E198E66">
            <w:pPr>
              <w:jc w:val="center"/>
              <w:rPr>
                <w:rFonts w:hint="eastAsia" w:ascii="宋体" w:hAnsi="宋体" w:eastAsia="宋体" w:cs="宋体"/>
                <w:b/>
                <w:i w:val="0"/>
                <w:color w:val="000000"/>
                <w:sz w:val="22"/>
                <w:szCs w:val="22"/>
                <w:u w:val="none"/>
              </w:rPr>
            </w:pPr>
          </w:p>
        </w:tc>
        <w:tc>
          <w:tcPr>
            <w:tcW w:w="62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9A603E">
            <w:pPr>
              <w:jc w:val="center"/>
              <w:rPr>
                <w:rFonts w:hint="eastAsia" w:ascii="宋体" w:hAnsi="宋体" w:eastAsia="宋体" w:cs="宋体"/>
                <w:b/>
                <w:i w:val="0"/>
                <w:color w:val="000000"/>
                <w:sz w:val="22"/>
                <w:szCs w:val="22"/>
                <w:u w:val="none"/>
              </w:rPr>
            </w:pPr>
          </w:p>
        </w:tc>
      </w:tr>
      <w:tr w14:paraId="1815780A">
        <w:tblPrEx>
          <w:shd w:val="clear" w:color="auto" w:fill="auto"/>
          <w:tblCellMar>
            <w:top w:w="0" w:type="dxa"/>
            <w:left w:w="0" w:type="dxa"/>
            <w:bottom w:w="0" w:type="dxa"/>
            <w:right w:w="0" w:type="dxa"/>
          </w:tblCellMar>
        </w:tblPrEx>
        <w:trPr>
          <w:trHeight w:val="362" w:hRule="atLeast"/>
        </w:trPr>
        <w:tc>
          <w:tcPr>
            <w:tcW w:w="1264"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FAAD80">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C704A4">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65.67</w:t>
            </w:r>
            <w:r>
              <w:rPr>
                <w:rFonts w:hint="eastAsia" w:cs="宋体"/>
                <w:b/>
                <w:bCs/>
                <w:color w:val="000000"/>
                <w:sz w:val="21"/>
                <w:szCs w:val="21"/>
                <w:lang w:val="en-US" w:eastAsia="zh-CN" w:bidi="ar"/>
              </w:rPr>
              <w:t xml:space="preserve"> </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449CB8C">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65.67</w:t>
            </w:r>
            <w:r>
              <w:rPr>
                <w:rFonts w:hint="eastAsia" w:cs="宋体"/>
                <w:b/>
                <w:bCs/>
                <w:color w:val="000000"/>
                <w:sz w:val="21"/>
                <w:szCs w:val="21"/>
                <w:lang w:val="en-US" w:eastAsia="zh-CN" w:bidi="ar"/>
              </w:rPr>
              <w:t xml:space="preserve"> </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6A1A2EF">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8018926">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62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CFD7722">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62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0027D5">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r w14:paraId="195E3A2E">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7EB8FD">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836131">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社会保障和就业支出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EB5073A">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58.00</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0AD260">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58.00</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0EA26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66DCE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AE2D4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C5B06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63B40A1B">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5410844">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D01A282">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人力资源和社会保障管理事务</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65ED1A">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51.41</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0A4367">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51.41</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118A95">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3C2414">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90493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E01A8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222EDBCD">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B1A35C">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2080104</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002FF5">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综合业务管理</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B0DB01">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49.12</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A652E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49.12</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CD359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A13BE74">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816D64">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8FB9F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4EE73D8C">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739181">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2080150</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B660276">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事业运行</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E07D58">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2.29</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036C1D">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2.29</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50C317">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99D2A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E18F4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2396E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7CE95CCB">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2C0F79">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20805</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DD59715">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行政事业单位养老支出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9CACFC">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6.59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426FE2">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6.59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F1C85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D8C215">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ECC17B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57C27B">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4F08B657">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688827">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2080505</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FE3CB2D">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机关事业单位基本养老保险缴费支出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06BF4E">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4.39</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F56E83">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4.39</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45544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71DE3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D4E76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6B9CCC">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53B36343">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DBC61B">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2080506</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41E639">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机关事业单位职业年金缴费支出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9302841">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2.20</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A1446B">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2.20</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AE5A25">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2F7919">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4AEEF6">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25A210">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0C7B0F0E">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6601DE">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DE7D751">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卫生健康支出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ABF197">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3.39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D5C2C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3.39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D569A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A65D92">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906243">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DF3A3B">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23837719">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8BE6A58">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21011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760CB4">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行政事业单位医疗</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C77BD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3.39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A272AA">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3.39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BDD374">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190EC5">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9E9DC3">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5F7F04">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1CAE6C02">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07526D">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2101102</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E0588D0">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事业单位医疗</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FA9E66">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2.75</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136778">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2.75</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096F2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1584A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75F64D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0BAEE5">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7705BA39">
        <w:tblPrEx>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29F509">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2101199</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B31C526">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其他行政事业单位医疗支出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C14905">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0.64</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287CC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0.64</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E0BD16">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F032C5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84D13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CB23F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6A77B16E">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24EAED">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54F2639">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住房保障支出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4E0F53">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4.29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F8866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4.29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8475A5">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12C93A">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13D1B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F1AB14">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4417F4C5">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2BF0D7">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22102</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71D660">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住房改革支出</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7FF80F">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4.29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23F9DF">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b/>
                <w:color w:val="000000"/>
                <w:sz w:val="21"/>
                <w:szCs w:val="21"/>
                <w:lang w:bidi="ar"/>
              </w:rPr>
              <w:t>4.29</w:t>
            </w:r>
            <w:r>
              <w:rPr>
                <w:rFonts w:hint="eastAsia" w:cs="宋体"/>
                <w:b/>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1B797B">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B8CA78">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7B75D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DFAC8F">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r w14:paraId="3C5993F7">
        <w:tblPrEx>
          <w:shd w:val="clear" w:color="auto" w:fill="auto"/>
          <w:tblCellMar>
            <w:top w:w="0" w:type="dxa"/>
            <w:left w:w="0" w:type="dxa"/>
            <w:bottom w:w="0" w:type="dxa"/>
            <w:right w:w="0" w:type="dxa"/>
          </w:tblCellMar>
        </w:tblPrEx>
        <w:trPr>
          <w:trHeight w:val="382" w:hRule="atLeast"/>
        </w:trPr>
        <w:tc>
          <w:tcPr>
            <w:tcW w:w="469"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5E2ADA">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2210201</w:t>
            </w:r>
          </w:p>
        </w:tc>
        <w:tc>
          <w:tcPr>
            <w:tcW w:w="79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8281AE7">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住房公积金</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C0A14A">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4.29</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54CA04">
            <w:pPr>
              <w:wordWrap w:val="0"/>
              <w:jc w:val="right"/>
              <w:textAlignment w:val="center"/>
              <w:rPr>
                <w:rFonts w:hint="eastAsia" w:ascii="宋体" w:hAnsi="宋体" w:eastAsia="宋体" w:cs="宋体"/>
                <w:i w:val="0"/>
                <w:color w:val="000000"/>
                <w:sz w:val="18"/>
                <w:szCs w:val="18"/>
                <w:u w:val="none"/>
                <w:lang w:val="en-US" w:eastAsia="zh-CN"/>
              </w:rPr>
            </w:pPr>
            <w:r>
              <w:rPr>
                <w:rFonts w:hint="eastAsia" w:ascii="宋体" w:hAnsi="宋体" w:eastAsia="宋体" w:cs="宋体"/>
                <w:color w:val="000000"/>
                <w:sz w:val="21"/>
                <w:szCs w:val="21"/>
                <w:lang w:bidi="ar"/>
              </w:rPr>
              <w:t>4.29</w:t>
            </w: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56923E">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02BAA1">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2"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C361AD">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c>
          <w:tcPr>
            <w:tcW w:w="625"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4160FA6">
            <w:pPr>
              <w:wordWrap w:val="0"/>
              <w:jc w:val="right"/>
              <w:textAlignment w:val="center"/>
              <w:rPr>
                <w:rFonts w:hint="eastAsia" w:ascii="宋体" w:hAnsi="宋体" w:eastAsia="宋体" w:cs="宋体"/>
                <w:i w:val="0"/>
                <w:color w:val="000000"/>
                <w:sz w:val="18"/>
                <w:szCs w:val="18"/>
                <w:u w:val="none"/>
                <w:lang w:val="en-US" w:eastAsia="zh-CN"/>
              </w:rPr>
            </w:pPr>
            <w:r>
              <w:rPr>
                <w:rFonts w:hint="eastAsia" w:cs="宋体"/>
                <w:color w:val="000000"/>
                <w:sz w:val="21"/>
                <w:szCs w:val="21"/>
                <w:lang w:val="en-US" w:eastAsia="zh-CN" w:bidi="ar"/>
              </w:rPr>
              <w:t xml:space="preserve"> </w:t>
            </w:r>
          </w:p>
        </w:tc>
      </w:tr>
    </w:tbl>
    <w:p w14:paraId="220BA6A1">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备注：1.本表反映单位本年度取得的各项收入情况。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14:paraId="0C2185C8">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br w:type="page"/>
      </w:r>
    </w:p>
    <w:p w14:paraId="4AA4F39E">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方正黑体_GBK" w:hAnsi="方正黑体_GBK" w:eastAsia="方正黑体_GBK" w:cs="方正黑体_GBK"/>
          <w:b w:val="0"/>
          <w:bCs w:val="0"/>
          <w:sz w:val="32"/>
          <w:szCs w:val="32"/>
          <w:lang w:val="en-US" w:eastAsia="zh-CN"/>
        </w:rPr>
        <w:t>附件4</w:t>
      </w:r>
    </w:p>
    <w:tbl>
      <w:tblPr>
        <w:tblStyle w:val="6"/>
        <w:tblW w:w="5000" w:type="pct"/>
        <w:tblInd w:w="0" w:type="dxa"/>
        <w:shd w:val="clear" w:color="auto" w:fill="auto"/>
        <w:tblLayout w:type="autofit"/>
        <w:tblCellMar>
          <w:top w:w="0" w:type="dxa"/>
          <w:left w:w="0" w:type="dxa"/>
          <w:bottom w:w="0" w:type="dxa"/>
          <w:right w:w="0" w:type="dxa"/>
        </w:tblCellMar>
      </w:tblPr>
      <w:tblGrid>
        <w:gridCol w:w="3854"/>
        <w:gridCol w:w="2536"/>
        <w:gridCol w:w="3330"/>
        <w:gridCol w:w="1402"/>
        <w:gridCol w:w="1403"/>
        <w:gridCol w:w="1403"/>
        <w:gridCol w:w="1449"/>
      </w:tblGrid>
      <w:tr w14:paraId="5780DE90">
        <w:tblPrEx>
          <w:shd w:val="clear" w:color="auto" w:fill="auto"/>
          <w:tblCellMar>
            <w:top w:w="0" w:type="dxa"/>
            <w:left w:w="0" w:type="dxa"/>
            <w:bottom w:w="0" w:type="dxa"/>
            <w:right w:w="0" w:type="dxa"/>
          </w:tblCellMar>
        </w:tblPrEx>
        <w:trPr>
          <w:trHeight w:val="90" w:hRule="atLeast"/>
        </w:trPr>
        <w:tc>
          <w:tcPr>
            <w:tcW w:w="5000" w:type="pct"/>
            <w:gridSpan w:val="7"/>
            <w:tcBorders>
              <w:top w:val="nil"/>
              <w:left w:val="nil"/>
              <w:bottom w:val="nil"/>
              <w:right w:val="nil"/>
            </w:tcBorders>
            <w:shd w:val="clear" w:color="auto" w:fill="auto"/>
            <w:noWrap/>
            <w:tcMar>
              <w:top w:w="15" w:type="dxa"/>
              <w:left w:w="15" w:type="dxa"/>
              <w:right w:w="15" w:type="dxa"/>
            </w:tcMar>
            <w:vAlign w:val="bottom"/>
          </w:tcPr>
          <w:p w14:paraId="3B087D3A">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财政拨款收入支出决算总表</w:t>
            </w:r>
          </w:p>
        </w:tc>
      </w:tr>
      <w:tr w14:paraId="689595EF">
        <w:tblPrEx>
          <w:tblCellMar>
            <w:top w:w="0" w:type="dxa"/>
            <w:left w:w="0" w:type="dxa"/>
            <w:bottom w:w="0" w:type="dxa"/>
            <w:right w:w="0" w:type="dxa"/>
          </w:tblCellMar>
        </w:tblPrEx>
        <w:trPr>
          <w:trHeight w:val="90" w:hRule="atLeast"/>
        </w:trPr>
        <w:tc>
          <w:tcPr>
            <w:tcW w:w="1507" w:type="pct"/>
            <w:gridSpan w:val="2"/>
            <w:vMerge w:val="restart"/>
            <w:tcBorders>
              <w:top w:val="nil"/>
              <w:left w:val="nil"/>
              <w:right w:val="nil"/>
            </w:tcBorders>
            <w:shd w:val="clear" w:color="auto" w:fill="auto"/>
            <w:noWrap/>
            <w:tcMar>
              <w:top w:w="15" w:type="dxa"/>
              <w:left w:w="15" w:type="dxa"/>
              <w:right w:w="15" w:type="dxa"/>
            </w:tcMar>
            <w:vAlign w:val="bottom"/>
          </w:tcPr>
          <w:p w14:paraId="6B5F23C5">
            <w:pPr>
              <w:rPr>
                <w:rFonts w:hint="default" w:ascii="Arial" w:hAnsi="Arial" w:eastAsia="宋体" w:cs="Arial"/>
                <w:i w:val="0"/>
                <w:color w:val="000000"/>
                <w:sz w:val="22"/>
                <w:szCs w:val="22"/>
                <w:u w:val="none"/>
              </w:rPr>
            </w:pPr>
            <w:r>
              <w:rPr>
                <w:rFonts w:hint="eastAsia" w:asciiTheme="minorEastAsia" w:hAnsiTheme="minorEastAsia" w:eastAsiaTheme="minorEastAsia" w:cstheme="minorEastAsia"/>
                <w:sz w:val="24"/>
                <w:szCs w:val="24"/>
                <w:lang w:eastAsia="zh-CN"/>
              </w:rPr>
              <w:t>公开单位</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重庆市潼南区田家镇劳动就业和社会保障服务所</w:t>
            </w:r>
          </w:p>
        </w:tc>
        <w:tc>
          <w:tcPr>
            <w:tcW w:w="838" w:type="pct"/>
            <w:tcBorders>
              <w:top w:val="nil"/>
              <w:left w:val="nil"/>
              <w:bottom w:val="nil"/>
              <w:right w:val="nil"/>
            </w:tcBorders>
            <w:shd w:val="clear" w:color="auto" w:fill="auto"/>
            <w:noWrap/>
            <w:tcMar>
              <w:top w:w="15" w:type="dxa"/>
              <w:left w:w="15" w:type="dxa"/>
              <w:right w:w="15" w:type="dxa"/>
            </w:tcMar>
            <w:vAlign w:val="bottom"/>
          </w:tcPr>
          <w:p w14:paraId="267F4C8F">
            <w:pPr>
              <w:rPr>
                <w:rFonts w:hint="default" w:ascii="Arial" w:hAnsi="Arial" w:eastAsia="宋体" w:cs="Arial"/>
                <w:i w:val="0"/>
                <w:color w:val="000000"/>
                <w:sz w:val="20"/>
                <w:szCs w:val="20"/>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2C8B04FF">
            <w:pPr>
              <w:rPr>
                <w:rFonts w:hint="default" w:ascii="Arial" w:hAnsi="Arial" w:eastAsia="宋体" w:cs="Arial"/>
                <w:i w:val="0"/>
                <w:color w:val="000000"/>
                <w:sz w:val="20"/>
                <w:szCs w:val="20"/>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00A42235">
            <w:pPr>
              <w:rPr>
                <w:rFonts w:hint="default" w:ascii="Arial" w:hAnsi="Arial" w:eastAsia="宋体" w:cs="Arial"/>
                <w:i w:val="0"/>
                <w:color w:val="000000"/>
                <w:sz w:val="20"/>
                <w:szCs w:val="20"/>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70C50388">
            <w:pPr>
              <w:rPr>
                <w:rFonts w:hint="default" w:ascii="Arial" w:hAnsi="Arial" w:eastAsia="宋体" w:cs="Arial"/>
                <w:i w:val="0"/>
                <w:color w:val="000000"/>
                <w:sz w:val="20"/>
                <w:szCs w:val="20"/>
                <w:u w:val="none"/>
              </w:rPr>
            </w:pPr>
          </w:p>
        </w:tc>
        <w:tc>
          <w:tcPr>
            <w:tcW w:w="673" w:type="pct"/>
            <w:tcBorders>
              <w:top w:val="nil"/>
              <w:left w:val="nil"/>
              <w:bottom w:val="nil"/>
              <w:right w:val="nil"/>
            </w:tcBorders>
            <w:shd w:val="clear" w:color="auto" w:fill="auto"/>
            <w:noWrap/>
            <w:tcMar>
              <w:top w:w="15" w:type="dxa"/>
              <w:left w:w="15" w:type="dxa"/>
              <w:right w:w="15" w:type="dxa"/>
            </w:tcMar>
            <w:vAlign w:val="bottom"/>
          </w:tcPr>
          <w:p w14:paraId="139659D2">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公开04表</w:t>
            </w:r>
          </w:p>
        </w:tc>
      </w:tr>
      <w:tr w14:paraId="353BC972">
        <w:tblPrEx>
          <w:shd w:val="clear" w:color="auto" w:fill="auto"/>
          <w:tblCellMar>
            <w:top w:w="0" w:type="dxa"/>
            <w:left w:w="0" w:type="dxa"/>
            <w:bottom w:w="0" w:type="dxa"/>
            <w:right w:w="0" w:type="dxa"/>
          </w:tblCellMar>
        </w:tblPrEx>
        <w:trPr>
          <w:trHeight w:val="90" w:hRule="atLeast"/>
        </w:trPr>
        <w:tc>
          <w:tcPr>
            <w:tcW w:w="1507" w:type="pct"/>
            <w:gridSpan w:val="2"/>
            <w:vMerge w:val="continue"/>
            <w:tcBorders>
              <w:left w:val="nil"/>
              <w:bottom w:val="nil"/>
              <w:right w:val="nil"/>
            </w:tcBorders>
            <w:shd w:val="clear" w:color="auto" w:fill="auto"/>
            <w:noWrap/>
            <w:tcMar>
              <w:top w:w="15" w:type="dxa"/>
              <w:left w:w="15" w:type="dxa"/>
              <w:right w:w="15" w:type="dxa"/>
            </w:tcMar>
            <w:vAlign w:val="bottom"/>
          </w:tcPr>
          <w:p w14:paraId="3CB75482">
            <w:pPr>
              <w:rPr>
                <w:rFonts w:hint="default" w:ascii="Arial" w:hAnsi="Arial" w:eastAsia="宋体" w:cs="Arial"/>
                <w:i w:val="0"/>
                <w:color w:val="000000"/>
                <w:sz w:val="22"/>
                <w:szCs w:val="22"/>
                <w:u w:val="none"/>
              </w:rPr>
            </w:pPr>
          </w:p>
        </w:tc>
        <w:tc>
          <w:tcPr>
            <w:tcW w:w="838" w:type="pct"/>
            <w:tcBorders>
              <w:top w:val="nil"/>
              <w:left w:val="nil"/>
              <w:bottom w:val="nil"/>
              <w:right w:val="nil"/>
            </w:tcBorders>
            <w:shd w:val="clear" w:color="auto" w:fill="auto"/>
            <w:noWrap/>
            <w:tcMar>
              <w:top w:w="15" w:type="dxa"/>
              <w:left w:w="15" w:type="dxa"/>
              <w:right w:w="15" w:type="dxa"/>
            </w:tcMar>
            <w:vAlign w:val="bottom"/>
          </w:tcPr>
          <w:p w14:paraId="571137CA">
            <w:pPr>
              <w:rPr>
                <w:rFonts w:hint="default" w:ascii="Arial" w:hAnsi="Arial" w:eastAsia="宋体" w:cs="Arial"/>
                <w:i w:val="0"/>
                <w:color w:val="000000"/>
                <w:sz w:val="22"/>
                <w:szCs w:val="2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4F275CAA">
            <w:pPr>
              <w:rPr>
                <w:rFonts w:hint="default" w:ascii="Arial" w:hAnsi="Arial" w:eastAsia="宋体" w:cs="Arial"/>
                <w:i w:val="0"/>
                <w:color w:val="000000"/>
                <w:sz w:val="22"/>
                <w:szCs w:val="2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4AAA0009">
            <w:pPr>
              <w:rPr>
                <w:rFonts w:hint="default" w:ascii="Arial" w:hAnsi="Arial" w:eastAsia="宋体" w:cs="Arial"/>
                <w:i w:val="0"/>
                <w:color w:val="000000"/>
                <w:sz w:val="22"/>
                <w:szCs w:val="22"/>
                <w:u w:val="none"/>
              </w:rPr>
            </w:pPr>
          </w:p>
        </w:tc>
        <w:tc>
          <w:tcPr>
            <w:tcW w:w="660" w:type="pct"/>
            <w:tcBorders>
              <w:top w:val="nil"/>
              <w:left w:val="nil"/>
              <w:bottom w:val="nil"/>
              <w:right w:val="nil"/>
            </w:tcBorders>
            <w:shd w:val="clear" w:color="auto" w:fill="auto"/>
            <w:noWrap/>
            <w:tcMar>
              <w:top w:w="15" w:type="dxa"/>
              <w:left w:w="15" w:type="dxa"/>
              <w:right w:w="15" w:type="dxa"/>
            </w:tcMar>
            <w:vAlign w:val="bottom"/>
          </w:tcPr>
          <w:p w14:paraId="30E812E5">
            <w:pPr>
              <w:rPr>
                <w:rFonts w:hint="default" w:ascii="Arial" w:hAnsi="Arial" w:eastAsia="宋体" w:cs="Arial"/>
                <w:i w:val="0"/>
                <w:color w:val="000000"/>
                <w:sz w:val="22"/>
                <w:szCs w:val="22"/>
                <w:u w:val="none"/>
              </w:rPr>
            </w:pPr>
          </w:p>
        </w:tc>
        <w:tc>
          <w:tcPr>
            <w:tcW w:w="673" w:type="pct"/>
            <w:tcBorders>
              <w:top w:val="nil"/>
              <w:left w:val="nil"/>
              <w:bottom w:val="nil"/>
              <w:right w:val="nil"/>
            </w:tcBorders>
            <w:shd w:val="clear" w:color="auto" w:fill="auto"/>
            <w:noWrap/>
            <w:tcMar>
              <w:top w:w="15" w:type="dxa"/>
              <w:left w:w="15" w:type="dxa"/>
              <w:right w:w="15" w:type="dxa"/>
            </w:tcMar>
            <w:vAlign w:val="bottom"/>
          </w:tcPr>
          <w:p w14:paraId="697159C8">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06E30664">
        <w:tblPrEx>
          <w:tblCellMar>
            <w:top w:w="0" w:type="dxa"/>
            <w:left w:w="0" w:type="dxa"/>
            <w:bottom w:w="0" w:type="dxa"/>
            <w:right w:w="0" w:type="dxa"/>
          </w:tblCellMar>
        </w:tblPrEx>
        <w:trPr>
          <w:trHeight w:val="90" w:hRule="atLeast"/>
        </w:trPr>
        <w:tc>
          <w:tcPr>
            <w:tcW w:w="1507" w:type="pct"/>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A51EEB">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收     入</w:t>
            </w:r>
          </w:p>
        </w:tc>
        <w:tc>
          <w:tcPr>
            <w:tcW w:w="3492" w:type="pct"/>
            <w:gridSpan w:val="5"/>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142B19">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支     出</w:t>
            </w:r>
          </w:p>
        </w:tc>
      </w:tr>
      <w:tr w14:paraId="3325AC60">
        <w:tblPrEx>
          <w:shd w:val="clear" w:color="auto" w:fill="auto"/>
          <w:tblCellMar>
            <w:top w:w="0" w:type="dxa"/>
            <w:left w:w="0" w:type="dxa"/>
            <w:bottom w:w="0" w:type="dxa"/>
            <w:right w:w="0" w:type="dxa"/>
          </w:tblCellMar>
        </w:tblPrEx>
        <w:trPr>
          <w:trHeight w:val="90" w:hRule="atLeast"/>
        </w:trPr>
        <w:tc>
          <w:tcPr>
            <w:tcW w:w="909"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82272E5">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597"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6AB4069">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c>
          <w:tcPr>
            <w:tcW w:w="838"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BCA92AB">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w:t>
            </w:r>
          </w:p>
        </w:tc>
        <w:tc>
          <w:tcPr>
            <w:tcW w:w="2653" w:type="pct"/>
            <w:gridSpan w:val="4"/>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D63F513">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r>
      <w:tr w14:paraId="778B22AE">
        <w:tblPrEx>
          <w:shd w:val="clear" w:color="auto" w:fill="auto"/>
          <w:tblCellMar>
            <w:top w:w="0" w:type="dxa"/>
            <w:left w:w="0" w:type="dxa"/>
            <w:bottom w:w="0" w:type="dxa"/>
            <w:right w:w="0" w:type="dxa"/>
          </w:tblCellMar>
        </w:tblPrEx>
        <w:trPr>
          <w:trHeight w:val="90" w:hRule="atLeast"/>
        </w:trPr>
        <w:tc>
          <w:tcPr>
            <w:tcW w:w="909"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840373C">
            <w:pPr>
              <w:jc w:val="center"/>
              <w:rPr>
                <w:rFonts w:hint="eastAsia" w:ascii="宋体" w:hAnsi="宋体" w:eastAsia="宋体" w:cs="宋体"/>
                <w:b/>
                <w:i w:val="0"/>
                <w:color w:val="000000"/>
                <w:sz w:val="22"/>
                <w:szCs w:val="22"/>
                <w:u w:val="none"/>
              </w:rPr>
            </w:pPr>
          </w:p>
        </w:tc>
        <w:tc>
          <w:tcPr>
            <w:tcW w:w="597"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04C6F87">
            <w:pPr>
              <w:jc w:val="center"/>
              <w:rPr>
                <w:rFonts w:hint="eastAsia" w:ascii="宋体" w:hAnsi="宋体" w:eastAsia="宋体" w:cs="宋体"/>
                <w:b/>
                <w:i w:val="0"/>
                <w:color w:val="000000"/>
                <w:sz w:val="22"/>
                <w:szCs w:val="22"/>
                <w:u w:val="none"/>
              </w:rPr>
            </w:pPr>
          </w:p>
        </w:tc>
        <w:tc>
          <w:tcPr>
            <w:tcW w:w="838"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4AF569D">
            <w:pPr>
              <w:jc w:val="center"/>
              <w:rPr>
                <w:rFonts w:hint="eastAsia" w:ascii="宋体" w:hAnsi="宋体" w:eastAsia="宋体" w:cs="宋体"/>
                <w:b/>
                <w:i w:val="0"/>
                <w:color w:val="000000"/>
                <w:sz w:val="22"/>
                <w:szCs w:val="22"/>
                <w:u w:val="none"/>
              </w:rPr>
            </w:pPr>
          </w:p>
        </w:tc>
        <w:tc>
          <w:tcPr>
            <w:tcW w:w="660"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40D75EF">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小计</w:t>
            </w:r>
          </w:p>
        </w:tc>
        <w:tc>
          <w:tcPr>
            <w:tcW w:w="660"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D23DCCE">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一般公共预算财政拨款</w:t>
            </w:r>
          </w:p>
        </w:tc>
        <w:tc>
          <w:tcPr>
            <w:tcW w:w="660"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772601F">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政府性基金预算财政拨款</w:t>
            </w:r>
          </w:p>
        </w:tc>
        <w:tc>
          <w:tcPr>
            <w:tcW w:w="673" w:type="pc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34230CA">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国有资本经营预算财政拨款</w:t>
            </w:r>
          </w:p>
        </w:tc>
      </w:tr>
      <w:tr w14:paraId="4062D5CB">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2EEDF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B1F7C4">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C5257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一、一般公共服务支出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9A488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FAEFA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4A596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03D89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2FEDA9E0">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C4CDA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二、政府性基金预算财政拨款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B47DD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61B99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二、外交支出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10046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271F9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C312E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EC51F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03772C3A">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7D57CB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三、国有资本经营预算财政拨款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7009D6">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AA23C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三、国防支出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546263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AD51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C8E696">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D6FCB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3662820C">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C09484">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7C8E0A7">
            <w:pPr>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5EBA26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四、公共安全支出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8A908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21815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F77FC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EDDD72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2F9D8087">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1C7172">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D119C97">
            <w:pPr>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1A209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五、教育支出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E60FE5">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663EC6">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54EF45">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33054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ED06EF7">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BB867E">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1EC5D07">
            <w:pPr>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BDDE6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六、科学技术支出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02E4ED5">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B3408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98AFA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AD9CF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DF7EFAA">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14A2EB">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2EB330C">
            <w:pPr>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04B5F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七、文化旅游体育与传媒支出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66731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2048C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BF555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83B077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E9E2E2B">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6546E5">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E111943">
            <w:pPr>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5A4D7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八、社会保障和就业支出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C9DC66F">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58.00</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0DB0B0">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58.00</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7F7EB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EDA3B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0A3ECE65">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42D77A">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9F4472A">
            <w:pPr>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D5F27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九、卫生健康支出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528758">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3.39</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3C8FF9">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3.39</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CD82EE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6039E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0CDE3586">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E55E7B5">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512F84">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8BB02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十、节能环保支出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04854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5C127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6E99E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2CD93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6AAB838">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640138">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AB83249">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5B95D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十一、城乡社区支出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F361C6">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16786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E5701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5B95D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94B5AD7">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584D36">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4034FC">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BF4D8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十二、农林水支出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FA02C2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09E01D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3092A7">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B8FCC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3B9E69E5">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FDF0E9">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B8F66D">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F57D4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十三、交通运输支出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2DB8C1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04BFE6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99D38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6C2A6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F131F1E">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145DFB5">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3A2606">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37C99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十四、资源勘探工业信息等支出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E7788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3323BF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84F30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82CE9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31702A5">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C0B1770">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38085F">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7B87B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十五、商业服务业等支出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BBB6E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F45AF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964F27">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42FD5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01C38F01">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97B5E9">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C0A508">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6F87C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十六、金融支出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1E8277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6F1DA7">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814FD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96457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AD9E6AF">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3CAEA8">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D7E8F3">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4432F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十七、援助其他地区支出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21A68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BAD16E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12A5D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D56F76">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24E313E">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7421A4">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41F31C">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C07A3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十八、自然资源海洋气象等支出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D3C9E5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67DAD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D2B69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BC0B77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2ECCBC0A">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B49AD8">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C5DFAA">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A33896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十九、住房保障支出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B9ED9B">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4.29</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7CC1AD">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4.29</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BAFE4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B15F8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04531BD5">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E34355">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BACEFC4">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334F53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二十、粮油物资储备支出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C20B46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EA938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A1E21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95D60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0982E216">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24D02BC">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859065">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967B7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二十一、国有资本经营预算支出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6214E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906B5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17EF4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50A86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E0BC6C7">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F79D36">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BE7A02">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1EC983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二十二、灾害防治及应急管理支出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393B6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F139B1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4B8A74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33CC45">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1852ED5D">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9AD4DA">
            <w:pPr>
              <w:jc w:val="left"/>
              <w:rPr>
                <w:rFonts w:hint="eastAsia" w:ascii="宋体" w:hAnsi="宋体" w:eastAsia="宋体" w:cs="宋体"/>
                <w:i w:val="0"/>
                <w:color w:val="000000"/>
                <w:sz w:val="22"/>
                <w:szCs w:val="22"/>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8BD106">
            <w:pPr>
              <w:jc w:val="right"/>
              <w:rPr>
                <w:rFonts w:hint="eastAsia" w:ascii="宋体" w:hAnsi="宋体" w:eastAsia="宋体" w:cs="宋体"/>
                <w:i w:val="0"/>
                <w:color w:val="000000"/>
                <w:sz w:val="22"/>
                <w:szCs w:val="22"/>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5B2DE7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二十三、其他支出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F9D83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DAB8E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A9A49D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A4B12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40CC2B3A">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1A640CF1">
            <w:pPr>
              <w:rPr>
                <w:rFonts w:hint="default" w:ascii="Arial" w:hAnsi="Arial" w:eastAsia="宋体" w:cs="Arial"/>
                <w:i w:val="0"/>
                <w:color w:val="000000"/>
                <w:sz w:val="20"/>
                <w:szCs w:val="20"/>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29A5804">
            <w:pPr>
              <w:jc w:val="right"/>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186AB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二十四、债务还本支出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8C5AB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E3A68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636180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2A71B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41214A5">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42DC41CC">
            <w:pPr>
              <w:rPr>
                <w:rFonts w:hint="default" w:ascii="Arial" w:hAnsi="Arial" w:eastAsia="宋体" w:cs="Arial"/>
                <w:i w:val="0"/>
                <w:color w:val="000000"/>
                <w:sz w:val="20"/>
                <w:szCs w:val="20"/>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F856777">
            <w:pPr>
              <w:jc w:val="right"/>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BAA02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二十五、债务付息支出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46E35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42CF77">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31DFE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BAA05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681D738">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75541B34">
            <w:pPr>
              <w:rPr>
                <w:rFonts w:hint="default" w:ascii="Arial" w:hAnsi="Arial" w:eastAsia="宋体" w:cs="Arial"/>
                <w:i w:val="0"/>
                <w:color w:val="000000"/>
                <w:sz w:val="20"/>
                <w:szCs w:val="20"/>
                <w:u w:val="none"/>
              </w:rPr>
            </w:pP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43D531">
            <w:pPr>
              <w:jc w:val="right"/>
              <w:rPr>
                <w:rFonts w:hint="default" w:ascii="Arial" w:hAnsi="Arial" w:eastAsia="宋体" w:cs="Arial"/>
                <w:i w:val="0"/>
                <w:color w:val="000000"/>
                <w:sz w:val="20"/>
                <w:szCs w:val="20"/>
                <w:u w:val="none"/>
              </w:rPr>
            </w:pP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0D4B9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二十六、抗疫特别国债安排的支出</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06365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0B8DB1">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FAB31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9CD45F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3A87FC93">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B5ACB7">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本年收入合计</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3B280A7">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E084559">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本年支出合计</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E36F03">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2C6EA67">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8B212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533888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9D4475C">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F40B4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年初财政拨款结转和结余</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19ED4B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E4F12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年末财政拨款结转和结余</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A7C93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72A02C7">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42FA015">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6ACBE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432529AC">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4293AF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一般公共预算财政拨款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8A53A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2E0BC8C">
            <w:pPr>
              <w:rPr>
                <w:rFonts w:hint="default" w:ascii="Arial" w:hAnsi="Arial" w:eastAsia="宋体" w:cs="Arial"/>
                <w:i w:val="0"/>
                <w:color w:val="000000"/>
                <w:sz w:val="20"/>
                <w:szCs w:val="20"/>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F51C5EF">
            <w:pPr>
              <w:rPr>
                <w:rFonts w:hint="default" w:ascii="Arial" w:hAnsi="Arial" w:eastAsia="宋体" w:cs="Arial"/>
                <w:i w:val="0"/>
                <w:color w:val="000000"/>
                <w:sz w:val="20"/>
                <w:szCs w:val="20"/>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5D6B768">
            <w:pPr>
              <w:rPr>
                <w:rFonts w:hint="default" w:ascii="Arial" w:hAnsi="Arial" w:eastAsia="宋体" w:cs="Arial"/>
                <w:i w:val="0"/>
                <w:color w:val="000000"/>
                <w:sz w:val="20"/>
                <w:szCs w:val="20"/>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1ECE62B">
            <w:pPr>
              <w:rPr>
                <w:rFonts w:hint="default" w:ascii="Arial" w:hAnsi="Arial" w:eastAsia="宋体" w:cs="Arial"/>
                <w:i w:val="0"/>
                <w:color w:val="000000"/>
                <w:sz w:val="20"/>
                <w:szCs w:val="20"/>
                <w:u w:val="none"/>
              </w:rPr>
            </w:pP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BCFD035">
            <w:pPr>
              <w:rPr>
                <w:rFonts w:hint="default" w:ascii="Arial" w:hAnsi="Arial" w:eastAsia="宋体" w:cs="Arial"/>
                <w:i w:val="0"/>
                <w:color w:val="000000"/>
                <w:sz w:val="20"/>
                <w:szCs w:val="20"/>
                <w:u w:val="none"/>
              </w:rPr>
            </w:pPr>
          </w:p>
        </w:tc>
      </w:tr>
      <w:tr w14:paraId="21496D82">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84588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政府性基金预算财政拨款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B73B1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5C8E045">
            <w:pPr>
              <w:jc w:val="center"/>
              <w:rPr>
                <w:rFonts w:hint="eastAsia" w:ascii="宋体" w:hAnsi="宋体" w:eastAsia="宋体" w:cs="宋体"/>
                <w:b/>
                <w:i w:val="0"/>
                <w:color w:val="000000"/>
                <w:sz w:val="22"/>
                <w:szCs w:val="2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7B362D7">
            <w:pPr>
              <w:jc w:val="right"/>
              <w:rPr>
                <w:rFonts w:hint="eastAsia" w:ascii="宋体" w:hAnsi="宋体" w:eastAsia="宋体" w:cs="宋体"/>
                <w:i w:val="0"/>
                <w:color w:val="000000"/>
                <w:sz w:val="20"/>
                <w:szCs w:val="20"/>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C7B93D">
            <w:pPr>
              <w:jc w:val="right"/>
              <w:rPr>
                <w:rFonts w:hint="eastAsia" w:ascii="宋体" w:hAnsi="宋体" w:eastAsia="宋体" w:cs="宋体"/>
                <w:i w:val="0"/>
                <w:color w:val="000000"/>
                <w:sz w:val="20"/>
                <w:szCs w:val="20"/>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61E27A">
            <w:pPr>
              <w:jc w:val="right"/>
              <w:rPr>
                <w:rFonts w:hint="eastAsia" w:ascii="宋体" w:hAnsi="宋体" w:eastAsia="宋体" w:cs="宋体"/>
                <w:i w:val="0"/>
                <w:color w:val="000000"/>
                <w:sz w:val="20"/>
                <w:szCs w:val="20"/>
                <w:u w:val="none"/>
              </w:rPr>
            </w:pP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E5729BE">
            <w:pPr>
              <w:jc w:val="right"/>
              <w:rPr>
                <w:rFonts w:hint="eastAsia" w:ascii="宋体" w:hAnsi="宋体" w:eastAsia="宋体" w:cs="宋体"/>
                <w:i w:val="0"/>
                <w:color w:val="000000"/>
                <w:sz w:val="22"/>
                <w:szCs w:val="22"/>
                <w:u w:val="none"/>
              </w:rPr>
            </w:pPr>
          </w:p>
        </w:tc>
      </w:tr>
      <w:tr w14:paraId="6BB5A411">
        <w:tblPrEx>
          <w:shd w:val="clear" w:color="auto" w:fill="auto"/>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D26BC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国有资本经营预算财政拨款</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8E52871">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269A07">
            <w:pPr>
              <w:jc w:val="center"/>
              <w:rPr>
                <w:rFonts w:hint="eastAsia" w:ascii="宋体" w:hAnsi="宋体" w:eastAsia="宋体" w:cs="宋体"/>
                <w:b/>
                <w:i w:val="0"/>
                <w:color w:val="000000"/>
                <w:sz w:val="22"/>
                <w:szCs w:val="22"/>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693B54C">
            <w:pPr>
              <w:jc w:val="right"/>
              <w:rPr>
                <w:rFonts w:hint="eastAsia" w:ascii="宋体" w:hAnsi="宋体" w:eastAsia="宋体" w:cs="宋体"/>
                <w:i w:val="0"/>
                <w:color w:val="000000"/>
                <w:sz w:val="20"/>
                <w:szCs w:val="20"/>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2EBB61A">
            <w:pPr>
              <w:jc w:val="right"/>
              <w:rPr>
                <w:rFonts w:hint="eastAsia" w:ascii="宋体" w:hAnsi="宋体" w:eastAsia="宋体" w:cs="宋体"/>
                <w:i w:val="0"/>
                <w:color w:val="000000"/>
                <w:sz w:val="20"/>
                <w:szCs w:val="20"/>
                <w:u w:val="none"/>
              </w:rPr>
            </w:pP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D4D9DB">
            <w:pPr>
              <w:jc w:val="right"/>
              <w:rPr>
                <w:rFonts w:hint="eastAsia" w:ascii="宋体" w:hAnsi="宋体" w:eastAsia="宋体" w:cs="宋体"/>
                <w:i w:val="0"/>
                <w:color w:val="000000"/>
                <w:sz w:val="20"/>
                <w:szCs w:val="20"/>
                <w:u w:val="none"/>
              </w:rPr>
            </w:pP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AD75E8">
            <w:pPr>
              <w:jc w:val="right"/>
              <w:rPr>
                <w:rFonts w:hint="eastAsia" w:ascii="宋体" w:hAnsi="宋体" w:eastAsia="宋体" w:cs="宋体"/>
                <w:i w:val="0"/>
                <w:color w:val="000000"/>
                <w:sz w:val="22"/>
                <w:szCs w:val="22"/>
                <w:u w:val="none"/>
              </w:rPr>
            </w:pPr>
          </w:p>
        </w:tc>
      </w:tr>
      <w:tr w14:paraId="3A438DDC">
        <w:tblPrEx>
          <w:tblCellMar>
            <w:top w:w="0" w:type="dxa"/>
            <w:left w:w="0" w:type="dxa"/>
            <w:bottom w:w="0" w:type="dxa"/>
            <w:right w:w="0" w:type="dxa"/>
          </w:tblCellMar>
        </w:tblPrEx>
        <w:trPr>
          <w:trHeight w:val="90" w:hRule="atLeast"/>
        </w:trPr>
        <w:tc>
          <w:tcPr>
            <w:tcW w:w="90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B87CECC">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597"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84890A">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8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85C3423">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总计</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045E0AE">
            <w:pPr>
              <w:wordWrap w:val="0"/>
              <w:jc w:val="right"/>
              <w:textAlignment w:val="center"/>
              <w:rPr>
                <w:rFonts w:hint="eastAsia" w:ascii="宋体" w:hAnsi="宋体" w:eastAsia="宋体" w:cs="宋体"/>
                <w:i w:val="0"/>
                <w:color w:val="000000"/>
                <w:sz w:val="20"/>
                <w:szCs w:val="20"/>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DD1C43">
            <w:pPr>
              <w:wordWrap w:val="0"/>
              <w:jc w:val="right"/>
              <w:textAlignment w:val="center"/>
              <w:rPr>
                <w:rFonts w:hint="eastAsia" w:ascii="宋体" w:hAnsi="宋体" w:eastAsia="宋体" w:cs="宋体"/>
                <w:i w:val="0"/>
                <w:color w:val="000000"/>
                <w:sz w:val="20"/>
                <w:szCs w:val="20"/>
                <w:u w:val="none"/>
                <w:lang w:val="en-US" w:eastAsia="zh-CN"/>
              </w:rPr>
            </w:pPr>
            <w:r>
              <w:rPr>
                <w:rFonts w:hint="eastAsia" w:ascii="宋体" w:hAnsi="宋体" w:eastAsia="宋体" w:cs="宋体"/>
                <w:color w:val="000000"/>
                <w:sz w:val="21"/>
                <w:szCs w:val="21"/>
                <w:lang w:bidi="ar"/>
              </w:rPr>
              <w:t>65.67</w:t>
            </w:r>
            <w:r>
              <w:rPr>
                <w:rFonts w:hint="eastAsia" w:cs="宋体"/>
                <w:color w:val="000000"/>
                <w:sz w:val="21"/>
                <w:szCs w:val="21"/>
                <w:lang w:val="en-US" w:eastAsia="zh-CN" w:bidi="ar"/>
              </w:rPr>
              <w:t xml:space="preserve"> </w:t>
            </w:r>
          </w:p>
        </w:tc>
        <w:tc>
          <w:tcPr>
            <w:tcW w:w="6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1C2F47">
            <w:pPr>
              <w:wordWrap w:val="0"/>
              <w:jc w:val="right"/>
              <w:textAlignment w:val="center"/>
              <w:rPr>
                <w:rFonts w:hint="eastAsia" w:ascii="宋体" w:hAnsi="宋体" w:eastAsia="宋体" w:cs="宋体"/>
                <w:i w:val="0"/>
                <w:color w:val="000000"/>
                <w:sz w:val="20"/>
                <w:szCs w:val="20"/>
                <w:u w:val="none"/>
                <w:lang w:val="en-US" w:eastAsia="zh-CN"/>
              </w:rPr>
            </w:pPr>
            <w:r>
              <w:rPr>
                <w:rFonts w:hint="eastAsia" w:cs="宋体"/>
                <w:color w:val="000000"/>
                <w:sz w:val="21"/>
                <w:szCs w:val="21"/>
                <w:lang w:val="en-US" w:eastAsia="zh-CN" w:bidi="ar"/>
              </w:rPr>
              <w:t xml:space="preserve"> </w:t>
            </w:r>
          </w:p>
        </w:tc>
        <w:tc>
          <w:tcPr>
            <w:tcW w:w="673"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40F2B6">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bl>
    <w:p w14:paraId="3A51C0BF">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备注：1.本表反映单位本年度一般公共预算财政拨款、政府性基金预算财政拨款及国有资本经营预算财政拨款的总收支和年末结转结余情况。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14:paraId="41FDD2B6">
      <w:pPr>
        <w:rPr>
          <w:rFonts w:hint="eastAsia" w:ascii="宋体" w:hAnsi="宋体" w:eastAsia="宋体" w:cs="宋体"/>
          <w:sz w:val="21"/>
          <w:szCs w:val="21"/>
        </w:rPr>
      </w:pPr>
      <w:r>
        <w:rPr>
          <w:rFonts w:hint="eastAsia" w:ascii="宋体" w:hAnsi="宋体" w:eastAsia="宋体" w:cs="宋体"/>
          <w:sz w:val="21"/>
          <w:szCs w:val="21"/>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2192"/>
        <w:gridCol w:w="4198"/>
        <w:gridCol w:w="2990"/>
        <w:gridCol w:w="2990"/>
        <w:gridCol w:w="3007"/>
      </w:tblGrid>
      <w:tr w14:paraId="0637F39A">
        <w:tblPrEx>
          <w:shd w:val="clear" w:color="auto" w:fill="auto"/>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71EE09A7">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宋体" w:hAnsi="宋体" w:eastAsia="宋体" w:cs="宋体"/>
                <w:b/>
                <w:i w:val="0"/>
                <w:color w:val="000000"/>
                <w:kern w:val="0"/>
                <w:sz w:val="44"/>
                <w:szCs w:val="44"/>
                <w:u w:val="none"/>
                <w:lang w:val="en-US" w:eastAsia="zh-CN" w:bidi="ar"/>
              </w:rPr>
            </w:pPr>
            <w:r>
              <w:rPr>
                <w:rFonts w:hint="eastAsia" w:ascii="方正黑体_GBK" w:hAnsi="方正黑体_GBK" w:eastAsia="方正黑体_GBK" w:cs="方正黑体_GBK"/>
                <w:b w:val="0"/>
                <w:bCs w:val="0"/>
                <w:sz w:val="32"/>
                <w:szCs w:val="32"/>
                <w:lang w:val="en-US" w:eastAsia="zh-CN"/>
              </w:rPr>
              <w:t>附件5</w:t>
            </w:r>
          </w:p>
          <w:p w14:paraId="34CF29CB">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一般公共预算财政拨款支出决算表</w:t>
            </w:r>
          </w:p>
        </w:tc>
      </w:tr>
      <w:tr w14:paraId="19D5A3C0">
        <w:tblPrEx>
          <w:tblCellMar>
            <w:top w:w="0" w:type="dxa"/>
            <w:left w:w="0" w:type="dxa"/>
            <w:bottom w:w="0" w:type="dxa"/>
            <w:right w:w="0" w:type="dxa"/>
          </w:tblCellMar>
        </w:tblPrEx>
        <w:trPr>
          <w:trHeight w:val="255" w:hRule="atLeast"/>
        </w:trPr>
        <w:tc>
          <w:tcPr>
            <w:tcW w:w="1758" w:type="pct"/>
            <w:gridSpan w:val="2"/>
            <w:vMerge w:val="restart"/>
            <w:tcBorders>
              <w:top w:val="nil"/>
              <w:left w:val="nil"/>
              <w:right w:val="nil"/>
            </w:tcBorders>
            <w:shd w:val="clear" w:color="auto" w:fill="auto"/>
            <w:noWrap/>
            <w:tcMar>
              <w:top w:w="15" w:type="dxa"/>
              <w:left w:w="15" w:type="dxa"/>
              <w:right w:w="15" w:type="dxa"/>
            </w:tcMar>
            <w:vAlign w:val="bottom"/>
          </w:tcPr>
          <w:p w14:paraId="49316227">
            <w:pPr>
              <w:rPr>
                <w:rFonts w:hint="default" w:ascii="Arial" w:hAnsi="Arial" w:eastAsia="宋体" w:cs="Arial"/>
                <w:i w:val="0"/>
                <w:color w:val="000000"/>
                <w:sz w:val="20"/>
                <w:szCs w:val="20"/>
                <w:u w:val="none"/>
              </w:rPr>
            </w:pPr>
            <w:r>
              <w:rPr>
                <w:rFonts w:hint="eastAsia" w:asciiTheme="minorEastAsia" w:hAnsiTheme="minorEastAsia" w:eastAsiaTheme="minorEastAsia" w:cstheme="minorEastAsia"/>
                <w:sz w:val="24"/>
                <w:szCs w:val="24"/>
                <w:lang w:eastAsia="zh-CN"/>
              </w:rPr>
              <w:t>公开单位</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重庆市潼南区田家镇劳动就业和社会保障服务所</w:t>
            </w:r>
          </w:p>
        </w:tc>
        <w:tc>
          <w:tcPr>
            <w:tcW w:w="1079" w:type="pct"/>
            <w:tcBorders>
              <w:top w:val="nil"/>
              <w:left w:val="nil"/>
              <w:bottom w:val="nil"/>
              <w:right w:val="nil"/>
            </w:tcBorders>
            <w:shd w:val="clear" w:color="auto" w:fill="auto"/>
            <w:noWrap/>
            <w:tcMar>
              <w:top w:w="15" w:type="dxa"/>
              <w:left w:w="15" w:type="dxa"/>
              <w:right w:w="15" w:type="dxa"/>
            </w:tcMar>
            <w:vAlign w:val="bottom"/>
          </w:tcPr>
          <w:p w14:paraId="5F5B31EF">
            <w:pPr>
              <w:rPr>
                <w:rFonts w:hint="default" w:ascii="Arial" w:hAnsi="Arial" w:eastAsia="宋体" w:cs="Arial"/>
                <w:i w:val="0"/>
                <w:color w:val="000000"/>
                <w:sz w:val="20"/>
                <w:szCs w:val="20"/>
                <w:u w:val="none"/>
              </w:rPr>
            </w:pPr>
          </w:p>
        </w:tc>
        <w:tc>
          <w:tcPr>
            <w:tcW w:w="1079" w:type="pct"/>
            <w:tcBorders>
              <w:top w:val="nil"/>
              <w:left w:val="nil"/>
              <w:bottom w:val="nil"/>
              <w:right w:val="nil"/>
            </w:tcBorders>
            <w:shd w:val="clear" w:color="auto" w:fill="auto"/>
            <w:noWrap/>
            <w:tcMar>
              <w:top w:w="15" w:type="dxa"/>
              <w:left w:w="15" w:type="dxa"/>
              <w:right w:w="15" w:type="dxa"/>
            </w:tcMar>
            <w:vAlign w:val="bottom"/>
          </w:tcPr>
          <w:p w14:paraId="61FE502D">
            <w:pPr>
              <w:rPr>
                <w:rFonts w:hint="default" w:ascii="Arial" w:hAnsi="Arial" w:eastAsia="宋体" w:cs="Arial"/>
                <w:i w:val="0"/>
                <w:color w:val="000000"/>
                <w:sz w:val="20"/>
                <w:szCs w:val="20"/>
                <w:u w:val="none"/>
              </w:rPr>
            </w:pPr>
          </w:p>
        </w:tc>
        <w:tc>
          <w:tcPr>
            <w:tcW w:w="1081" w:type="pct"/>
            <w:tcBorders>
              <w:top w:val="nil"/>
              <w:left w:val="nil"/>
              <w:bottom w:val="nil"/>
              <w:right w:val="nil"/>
            </w:tcBorders>
            <w:shd w:val="clear" w:color="auto" w:fill="auto"/>
            <w:noWrap/>
            <w:tcMar>
              <w:top w:w="15" w:type="dxa"/>
              <w:left w:w="15" w:type="dxa"/>
              <w:right w:w="15" w:type="dxa"/>
            </w:tcMar>
            <w:vAlign w:val="bottom"/>
          </w:tcPr>
          <w:p w14:paraId="0E78A79E">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公开05表</w:t>
            </w:r>
          </w:p>
        </w:tc>
      </w:tr>
      <w:tr w14:paraId="0B723716">
        <w:tblPrEx>
          <w:tblCellMar>
            <w:top w:w="0" w:type="dxa"/>
            <w:left w:w="0" w:type="dxa"/>
            <w:bottom w:w="0" w:type="dxa"/>
            <w:right w:w="0" w:type="dxa"/>
          </w:tblCellMar>
        </w:tblPrEx>
        <w:trPr>
          <w:trHeight w:val="285" w:hRule="atLeast"/>
        </w:trPr>
        <w:tc>
          <w:tcPr>
            <w:tcW w:w="1758" w:type="pct"/>
            <w:gridSpan w:val="2"/>
            <w:vMerge w:val="continue"/>
            <w:tcBorders>
              <w:left w:val="nil"/>
              <w:bottom w:val="nil"/>
              <w:right w:val="nil"/>
            </w:tcBorders>
            <w:shd w:val="clear" w:color="auto" w:fill="auto"/>
            <w:noWrap/>
            <w:tcMar>
              <w:top w:w="15" w:type="dxa"/>
              <w:left w:w="15" w:type="dxa"/>
              <w:right w:w="15" w:type="dxa"/>
            </w:tcMar>
            <w:vAlign w:val="bottom"/>
          </w:tcPr>
          <w:p w14:paraId="3C13A48D">
            <w:pPr>
              <w:rPr>
                <w:rFonts w:hint="default" w:ascii="Arial" w:hAnsi="Arial" w:eastAsia="宋体" w:cs="Arial"/>
                <w:i w:val="0"/>
                <w:color w:val="000000"/>
                <w:sz w:val="22"/>
                <w:szCs w:val="22"/>
                <w:u w:val="none"/>
              </w:rPr>
            </w:pPr>
          </w:p>
        </w:tc>
        <w:tc>
          <w:tcPr>
            <w:tcW w:w="1079" w:type="pct"/>
            <w:tcBorders>
              <w:top w:val="nil"/>
              <w:left w:val="nil"/>
              <w:bottom w:val="nil"/>
              <w:right w:val="nil"/>
            </w:tcBorders>
            <w:shd w:val="clear" w:color="auto" w:fill="auto"/>
            <w:noWrap/>
            <w:tcMar>
              <w:top w:w="15" w:type="dxa"/>
              <w:left w:w="15" w:type="dxa"/>
              <w:right w:w="15" w:type="dxa"/>
            </w:tcMar>
            <w:vAlign w:val="bottom"/>
          </w:tcPr>
          <w:p w14:paraId="340F8E29">
            <w:pPr>
              <w:rPr>
                <w:rFonts w:hint="default" w:ascii="Arial" w:hAnsi="Arial" w:eastAsia="宋体" w:cs="Arial"/>
                <w:i w:val="0"/>
                <w:color w:val="000000"/>
                <w:sz w:val="22"/>
                <w:szCs w:val="22"/>
                <w:u w:val="none"/>
              </w:rPr>
            </w:pPr>
          </w:p>
        </w:tc>
        <w:tc>
          <w:tcPr>
            <w:tcW w:w="1079" w:type="pct"/>
            <w:tcBorders>
              <w:top w:val="nil"/>
              <w:left w:val="nil"/>
              <w:bottom w:val="nil"/>
              <w:right w:val="nil"/>
            </w:tcBorders>
            <w:shd w:val="clear" w:color="auto" w:fill="auto"/>
            <w:noWrap/>
            <w:tcMar>
              <w:top w:w="15" w:type="dxa"/>
              <w:left w:w="15" w:type="dxa"/>
              <w:right w:w="15" w:type="dxa"/>
            </w:tcMar>
            <w:vAlign w:val="bottom"/>
          </w:tcPr>
          <w:p w14:paraId="646E0849">
            <w:pPr>
              <w:rPr>
                <w:rFonts w:hint="default" w:ascii="Arial" w:hAnsi="Arial" w:eastAsia="宋体" w:cs="Arial"/>
                <w:i w:val="0"/>
                <w:color w:val="000000"/>
                <w:sz w:val="22"/>
                <w:szCs w:val="22"/>
                <w:u w:val="none"/>
              </w:rPr>
            </w:pPr>
          </w:p>
        </w:tc>
        <w:tc>
          <w:tcPr>
            <w:tcW w:w="1081" w:type="pct"/>
            <w:tcBorders>
              <w:top w:val="nil"/>
              <w:left w:val="nil"/>
              <w:bottom w:val="nil"/>
              <w:right w:val="nil"/>
            </w:tcBorders>
            <w:shd w:val="clear" w:color="auto" w:fill="auto"/>
            <w:noWrap/>
            <w:tcMar>
              <w:top w:w="15" w:type="dxa"/>
              <w:left w:w="15" w:type="dxa"/>
              <w:right w:w="15" w:type="dxa"/>
            </w:tcMar>
            <w:vAlign w:val="bottom"/>
          </w:tcPr>
          <w:p w14:paraId="432CB465">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46E24EA1">
        <w:tblPrEx>
          <w:shd w:val="clear" w:color="auto" w:fill="auto"/>
          <w:tblCellMar>
            <w:top w:w="0" w:type="dxa"/>
            <w:left w:w="0" w:type="dxa"/>
            <w:bottom w:w="0" w:type="dxa"/>
            <w:right w:w="0" w:type="dxa"/>
          </w:tblCellMar>
        </w:tblPrEx>
        <w:trPr>
          <w:trHeight w:val="308" w:hRule="atLeast"/>
        </w:trPr>
        <w:tc>
          <w:tcPr>
            <w:tcW w:w="175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C81AC3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3241"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6133AAA">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w:t>
            </w:r>
          </w:p>
        </w:tc>
      </w:tr>
      <w:tr w14:paraId="431022B5">
        <w:tblPrEx>
          <w:shd w:val="clear" w:color="auto" w:fill="auto"/>
          <w:tblCellMar>
            <w:top w:w="0" w:type="dxa"/>
            <w:left w:w="0" w:type="dxa"/>
            <w:bottom w:w="0" w:type="dxa"/>
            <w:right w:w="0" w:type="dxa"/>
          </w:tblCellMar>
        </w:tblPrEx>
        <w:trPr>
          <w:trHeight w:val="308" w:hRule="atLeast"/>
        </w:trPr>
        <w:tc>
          <w:tcPr>
            <w:tcW w:w="60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3A4A09A">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115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C6AFC8C">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项目（按“项”级功能分类科目）</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47CDBD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1079"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A5E5519">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基本支出</w:t>
            </w:r>
          </w:p>
        </w:tc>
        <w:tc>
          <w:tcPr>
            <w:tcW w:w="108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70703C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项目支出</w:t>
            </w:r>
          </w:p>
        </w:tc>
      </w:tr>
      <w:tr w14:paraId="5DBA30AA">
        <w:tblPrEx>
          <w:tblCellMar>
            <w:top w:w="0" w:type="dxa"/>
            <w:left w:w="0" w:type="dxa"/>
            <w:bottom w:w="0" w:type="dxa"/>
            <w:right w:w="0" w:type="dxa"/>
          </w:tblCellMar>
        </w:tblPrEx>
        <w:trPr>
          <w:trHeight w:val="278" w:hRule="atLeast"/>
        </w:trPr>
        <w:tc>
          <w:tcPr>
            <w:tcW w:w="60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E26F1D3">
            <w:pPr>
              <w:jc w:val="center"/>
              <w:rPr>
                <w:rFonts w:hint="eastAsia" w:ascii="宋体" w:hAnsi="宋体" w:eastAsia="宋体" w:cs="宋体"/>
                <w:b/>
                <w:i w:val="0"/>
                <w:color w:val="000000"/>
                <w:sz w:val="22"/>
                <w:szCs w:val="22"/>
                <w:u w:val="none"/>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DE94F6F">
            <w:pPr>
              <w:jc w:val="center"/>
              <w:rPr>
                <w:rFonts w:hint="eastAsia" w:ascii="宋体" w:hAnsi="宋体" w:eastAsia="宋体" w:cs="宋体"/>
                <w:b/>
                <w:i w:val="0"/>
                <w:color w:val="000000"/>
                <w:sz w:val="22"/>
                <w:szCs w:val="22"/>
                <w:u w:val="none"/>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2738759">
            <w:pPr>
              <w:jc w:val="center"/>
              <w:rPr>
                <w:rFonts w:hint="eastAsia" w:ascii="宋体" w:hAnsi="宋体" w:eastAsia="宋体" w:cs="宋体"/>
                <w:b/>
                <w:i w:val="0"/>
                <w:color w:val="000000"/>
                <w:sz w:val="22"/>
                <w:szCs w:val="22"/>
                <w:u w:val="none"/>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D26FBBD">
            <w:pPr>
              <w:jc w:val="center"/>
              <w:rPr>
                <w:rFonts w:hint="eastAsia" w:ascii="宋体" w:hAnsi="宋体" w:eastAsia="宋体" w:cs="宋体"/>
                <w:b/>
                <w:i w:val="0"/>
                <w:color w:val="000000"/>
                <w:sz w:val="22"/>
                <w:szCs w:val="22"/>
                <w:u w:val="none"/>
              </w:rPr>
            </w:pPr>
          </w:p>
        </w:tc>
        <w:tc>
          <w:tcPr>
            <w:tcW w:w="108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116092E">
            <w:pPr>
              <w:jc w:val="center"/>
              <w:rPr>
                <w:rFonts w:hint="eastAsia" w:ascii="宋体" w:hAnsi="宋体" w:eastAsia="宋体" w:cs="宋体"/>
                <w:b/>
                <w:i w:val="0"/>
                <w:color w:val="000000"/>
                <w:sz w:val="22"/>
                <w:szCs w:val="22"/>
                <w:u w:val="none"/>
              </w:rPr>
            </w:pPr>
          </w:p>
        </w:tc>
      </w:tr>
      <w:tr w14:paraId="08EF5F3E">
        <w:tblPrEx>
          <w:shd w:val="clear" w:color="auto" w:fill="auto"/>
          <w:tblCellMar>
            <w:top w:w="0" w:type="dxa"/>
            <w:left w:w="0" w:type="dxa"/>
            <w:bottom w:w="0" w:type="dxa"/>
            <w:right w:w="0" w:type="dxa"/>
          </w:tblCellMar>
        </w:tblPrEx>
        <w:trPr>
          <w:trHeight w:val="615" w:hRule="atLeast"/>
        </w:trPr>
        <w:tc>
          <w:tcPr>
            <w:tcW w:w="60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0D3FD6">
            <w:pPr>
              <w:jc w:val="center"/>
              <w:rPr>
                <w:rFonts w:hint="eastAsia" w:ascii="宋体" w:hAnsi="宋体" w:eastAsia="宋体" w:cs="宋体"/>
                <w:b/>
                <w:i w:val="0"/>
                <w:color w:val="000000"/>
                <w:sz w:val="22"/>
                <w:szCs w:val="22"/>
                <w:u w:val="none"/>
              </w:rPr>
            </w:pPr>
          </w:p>
        </w:tc>
        <w:tc>
          <w:tcPr>
            <w:tcW w:w="115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A3D6758">
            <w:pPr>
              <w:jc w:val="center"/>
              <w:rPr>
                <w:rFonts w:hint="eastAsia" w:ascii="宋体" w:hAnsi="宋体" w:eastAsia="宋体" w:cs="宋体"/>
                <w:b/>
                <w:i w:val="0"/>
                <w:color w:val="000000"/>
                <w:sz w:val="22"/>
                <w:szCs w:val="22"/>
                <w:u w:val="none"/>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506E408">
            <w:pPr>
              <w:jc w:val="center"/>
              <w:rPr>
                <w:rFonts w:hint="eastAsia" w:ascii="宋体" w:hAnsi="宋体" w:eastAsia="宋体" w:cs="宋体"/>
                <w:b/>
                <w:i w:val="0"/>
                <w:color w:val="000000"/>
                <w:sz w:val="22"/>
                <w:szCs w:val="22"/>
                <w:u w:val="none"/>
              </w:rPr>
            </w:pPr>
          </w:p>
        </w:tc>
        <w:tc>
          <w:tcPr>
            <w:tcW w:w="1079"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5CFB266">
            <w:pPr>
              <w:jc w:val="center"/>
              <w:rPr>
                <w:rFonts w:hint="eastAsia" w:ascii="宋体" w:hAnsi="宋体" w:eastAsia="宋体" w:cs="宋体"/>
                <w:b/>
                <w:i w:val="0"/>
                <w:color w:val="000000"/>
                <w:sz w:val="22"/>
                <w:szCs w:val="22"/>
                <w:u w:val="none"/>
              </w:rPr>
            </w:pPr>
          </w:p>
        </w:tc>
        <w:tc>
          <w:tcPr>
            <w:tcW w:w="108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56365CC">
            <w:pPr>
              <w:jc w:val="center"/>
              <w:rPr>
                <w:rFonts w:hint="eastAsia" w:ascii="宋体" w:hAnsi="宋体" w:eastAsia="宋体" w:cs="宋体"/>
                <w:b/>
                <w:i w:val="0"/>
                <w:color w:val="000000"/>
                <w:sz w:val="22"/>
                <w:szCs w:val="22"/>
                <w:u w:val="none"/>
              </w:rPr>
            </w:pPr>
          </w:p>
        </w:tc>
      </w:tr>
      <w:tr w14:paraId="23837D98">
        <w:tblPrEx>
          <w:shd w:val="clear" w:color="auto" w:fill="auto"/>
          <w:tblCellMar>
            <w:top w:w="0" w:type="dxa"/>
            <w:left w:w="0" w:type="dxa"/>
            <w:bottom w:w="0" w:type="dxa"/>
            <w:right w:w="0" w:type="dxa"/>
          </w:tblCellMar>
        </w:tblPrEx>
        <w:trPr>
          <w:trHeight w:val="308" w:hRule="atLeast"/>
        </w:trPr>
        <w:tc>
          <w:tcPr>
            <w:tcW w:w="1758"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43E9C4C">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CF45F06">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65.67</w:t>
            </w:r>
            <w:r>
              <w:rPr>
                <w:rFonts w:hint="eastAsia" w:cs="宋体"/>
                <w:b/>
                <w:bCs/>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8446C0">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color w:val="000000"/>
                <w:sz w:val="21"/>
                <w:szCs w:val="21"/>
                <w:lang w:bidi="ar"/>
              </w:rPr>
              <w:t>65.67</w:t>
            </w:r>
            <w:r>
              <w:rPr>
                <w:rFonts w:hint="eastAsia" w:cs="宋体"/>
                <w:b/>
                <w:bCs/>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ED7B4B3">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r w14:paraId="117DF011">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AFA729">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3825E8">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社会保障和就业支出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8BEA5BB">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58.00</w:t>
            </w:r>
            <w:r>
              <w:rPr>
                <w:rFonts w:hint="eastAsia" w:cs="宋体"/>
                <w:b/>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0BA6EA0">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58.00</w:t>
            </w:r>
            <w:r>
              <w:rPr>
                <w:rFonts w:hint="eastAsia" w:cs="宋体"/>
                <w:b/>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12885D">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5ACA58E2">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2921EF8">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DDEDE3">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人力资源和社会保障管理事务</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08F0F41">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51.41</w:t>
            </w:r>
            <w:r>
              <w:rPr>
                <w:rFonts w:hint="eastAsia" w:cs="宋体"/>
                <w:b/>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EFB6918">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51.41</w:t>
            </w:r>
            <w:r>
              <w:rPr>
                <w:rFonts w:hint="eastAsia" w:cs="宋体"/>
                <w:b/>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A07294">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1BFD6B7B">
        <w:tblPrEx>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0EF91AB">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2080104</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0F90070">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综合业务管理</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3B9A368">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49.12</w:t>
            </w:r>
            <w:r>
              <w:rPr>
                <w:rFonts w:hint="eastAsia" w:cs="宋体"/>
                <w:b w:val="0"/>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289C97">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49.12</w:t>
            </w:r>
            <w:r>
              <w:rPr>
                <w:rFonts w:hint="eastAsia" w:cs="宋体"/>
                <w:b w:val="0"/>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A0331B">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2C40E344">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6EA2CF4">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2080150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6E5845">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事业运行</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7CB12C4">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2.29</w:t>
            </w:r>
            <w:r>
              <w:rPr>
                <w:rFonts w:hint="eastAsia" w:cs="宋体"/>
                <w:b w:val="0"/>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699E031">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2.29</w:t>
            </w:r>
            <w:r>
              <w:rPr>
                <w:rFonts w:hint="eastAsia" w:cs="宋体"/>
                <w:b w:val="0"/>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6E76BA">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4BD3F22F">
        <w:tblPrEx>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764340">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20805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490CD39">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行政事业单位养老支出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8F1F47C">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6.59</w:t>
            </w:r>
            <w:r>
              <w:rPr>
                <w:rFonts w:hint="eastAsia" w:cs="宋体"/>
                <w:b/>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5A270E">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6.59</w:t>
            </w:r>
            <w:r>
              <w:rPr>
                <w:rFonts w:hint="eastAsia" w:cs="宋体"/>
                <w:b/>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FDE52E">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49DA4017">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DBC7837">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2080505</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3520EF">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机关事业单位基本养老保险缴费支出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8FAAA74">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4.39</w:t>
            </w:r>
            <w:r>
              <w:rPr>
                <w:rFonts w:hint="eastAsia" w:cs="宋体"/>
                <w:b w:val="0"/>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F92B88">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4.39</w:t>
            </w:r>
            <w:r>
              <w:rPr>
                <w:rFonts w:hint="eastAsia" w:cs="宋体"/>
                <w:b w:val="0"/>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18B400D">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4CB31A1D">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5FFA47F">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2080506</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E6C0C5">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机关事业单位职业年金缴费支出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6C4C900">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2.20</w:t>
            </w:r>
            <w:r>
              <w:rPr>
                <w:rFonts w:hint="eastAsia" w:cs="宋体"/>
                <w:b w:val="0"/>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C22432">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2.20</w:t>
            </w:r>
            <w:r>
              <w:rPr>
                <w:rFonts w:hint="eastAsia" w:cs="宋体"/>
                <w:b w:val="0"/>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7483F44">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69A19749">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58613B">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2C4089">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卫生健康支出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5CA0034">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3.39</w:t>
            </w:r>
            <w:r>
              <w:rPr>
                <w:rFonts w:hint="eastAsia" w:cs="宋体"/>
                <w:b/>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18F90E">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3.39</w:t>
            </w:r>
            <w:r>
              <w:rPr>
                <w:rFonts w:hint="eastAsia" w:cs="宋体"/>
                <w:b/>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5E9EC0">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17755D90">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4B949D">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21011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2813791">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行政事业单位医疗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CD4D8BF">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3.39</w:t>
            </w:r>
            <w:r>
              <w:rPr>
                <w:rFonts w:hint="eastAsia" w:cs="宋体"/>
                <w:b/>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B923DA0">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3.39</w:t>
            </w:r>
            <w:r>
              <w:rPr>
                <w:rFonts w:hint="eastAsia" w:cs="宋体"/>
                <w:b/>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25680CA">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694B8A9A">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E71E77">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61E55B1">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事业单位医疗</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CCCC661">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2.75</w:t>
            </w:r>
            <w:r>
              <w:rPr>
                <w:rFonts w:hint="eastAsia" w:cs="宋体"/>
                <w:b w:val="0"/>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F48372">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2.75</w:t>
            </w:r>
            <w:r>
              <w:rPr>
                <w:rFonts w:hint="eastAsia" w:cs="宋体"/>
                <w:b w:val="0"/>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3B375C0">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2E5538C2">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B81B00">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2101199</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5FE8713">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其他行政事业单位医疗支出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FCB1729">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0.64</w:t>
            </w:r>
            <w:r>
              <w:rPr>
                <w:rFonts w:hint="eastAsia" w:cs="宋体"/>
                <w:b w:val="0"/>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4CD2365">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0.64</w:t>
            </w:r>
            <w:r>
              <w:rPr>
                <w:rFonts w:hint="eastAsia" w:cs="宋体"/>
                <w:b w:val="0"/>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6B53B1E">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0EC03A59">
        <w:tblPrEx>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6C7ADE">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3EEFE2">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住房保障支出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E2D9CBF">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4.29</w:t>
            </w:r>
            <w:r>
              <w:rPr>
                <w:rFonts w:hint="eastAsia" w:cs="宋体"/>
                <w:b/>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5FE5420">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4.29</w:t>
            </w:r>
            <w:r>
              <w:rPr>
                <w:rFonts w:hint="eastAsia" w:cs="宋体"/>
                <w:b/>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07362B0">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1E2FC816">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D2FB15D">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22102</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25CDE5">
            <w:pPr>
              <w:textAlignment w:val="center"/>
              <w:rPr>
                <w:rFonts w:hint="eastAsia" w:ascii="宋体" w:hAnsi="宋体" w:eastAsia="宋体" w:cs="宋体"/>
                <w:i w:val="0"/>
                <w:color w:val="000000"/>
                <w:sz w:val="22"/>
                <w:szCs w:val="22"/>
                <w:u w:val="none"/>
              </w:rPr>
            </w:pPr>
            <w:r>
              <w:rPr>
                <w:rFonts w:hint="eastAsia" w:ascii="宋体" w:hAnsi="宋体" w:eastAsia="宋体" w:cs="宋体"/>
                <w:b/>
                <w:color w:val="000000"/>
                <w:sz w:val="21"/>
                <w:szCs w:val="21"/>
                <w:lang w:bidi="ar"/>
              </w:rPr>
              <w:t>住房改革支出</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F3010E">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4.29</w:t>
            </w:r>
            <w:r>
              <w:rPr>
                <w:rFonts w:hint="eastAsia" w:cs="宋体"/>
                <w:b/>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D657C5C">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bCs w:val="0"/>
                <w:color w:val="000000"/>
                <w:sz w:val="21"/>
                <w:szCs w:val="21"/>
                <w:lang w:bidi="ar"/>
              </w:rPr>
              <w:t>4.29</w:t>
            </w:r>
            <w:r>
              <w:rPr>
                <w:rFonts w:hint="eastAsia" w:cs="宋体"/>
                <w:b/>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E87D35A">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r w14:paraId="7E132C4D">
        <w:tblPrEx>
          <w:shd w:val="clear" w:color="auto" w:fill="auto"/>
          <w:tblCellMar>
            <w:top w:w="0" w:type="dxa"/>
            <w:left w:w="0" w:type="dxa"/>
            <w:bottom w:w="0" w:type="dxa"/>
            <w:right w:w="0" w:type="dxa"/>
          </w:tblCellMar>
        </w:tblPrEx>
        <w:trPr>
          <w:trHeight w:val="308" w:hRule="atLeast"/>
        </w:trPr>
        <w:tc>
          <w:tcPr>
            <w:tcW w:w="603"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18AD4E">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2210201</w:t>
            </w:r>
          </w:p>
        </w:tc>
        <w:tc>
          <w:tcPr>
            <w:tcW w:w="115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65E869">
            <w:pPr>
              <w:textAlignment w:val="center"/>
              <w:rPr>
                <w:rFonts w:hint="eastAsia" w:ascii="宋体" w:hAnsi="宋体" w:eastAsia="宋体" w:cs="宋体"/>
                <w:i w:val="0"/>
                <w:color w:val="000000"/>
                <w:sz w:val="22"/>
                <w:szCs w:val="22"/>
                <w:u w:val="none"/>
              </w:rPr>
            </w:pPr>
            <w:r>
              <w:rPr>
                <w:rFonts w:hint="eastAsia" w:ascii="宋体" w:hAnsi="宋体" w:eastAsia="宋体" w:cs="宋体"/>
                <w:color w:val="000000"/>
                <w:sz w:val="21"/>
                <w:szCs w:val="21"/>
                <w:lang w:bidi="ar"/>
              </w:rPr>
              <w:t>住房公积金</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95D50F">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4.29</w:t>
            </w:r>
            <w:r>
              <w:rPr>
                <w:rFonts w:hint="eastAsia" w:cs="宋体"/>
                <w:b w:val="0"/>
                <w:bCs w:val="0"/>
                <w:color w:val="000000"/>
                <w:sz w:val="21"/>
                <w:szCs w:val="21"/>
                <w:lang w:val="en-US" w:eastAsia="zh-CN" w:bidi="ar"/>
              </w:rPr>
              <w:t xml:space="preserve"> </w:t>
            </w:r>
          </w:p>
        </w:tc>
        <w:tc>
          <w:tcPr>
            <w:tcW w:w="1079"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C6D6160">
            <w:pPr>
              <w:wordWrap w:val="0"/>
              <w:jc w:val="right"/>
              <w:textAlignment w:val="center"/>
              <w:rPr>
                <w:rFonts w:hint="eastAsia" w:ascii="宋体" w:hAnsi="宋体" w:eastAsia="宋体" w:cs="宋体"/>
                <w:b/>
                <w:i w:val="0"/>
                <w:color w:val="000000"/>
                <w:sz w:val="22"/>
                <w:szCs w:val="22"/>
                <w:u w:val="none"/>
                <w:lang w:val="en-US" w:eastAsia="zh-CN"/>
              </w:rPr>
            </w:pPr>
            <w:r>
              <w:rPr>
                <w:rFonts w:hint="eastAsia" w:ascii="宋体" w:hAnsi="宋体" w:eastAsia="宋体" w:cs="宋体"/>
                <w:b w:val="0"/>
                <w:bCs w:val="0"/>
                <w:color w:val="000000"/>
                <w:sz w:val="21"/>
                <w:szCs w:val="21"/>
                <w:lang w:bidi="ar"/>
              </w:rPr>
              <w:t>4.29</w:t>
            </w:r>
            <w:r>
              <w:rPr>
                <w:rFonts w:hint="eastAsia" w:cs="宋体"/>
                <w:b w:val="0"/>
                <w:bCs w:val="0"/>
                <w:color w:val="000000"/>
                <w:sz w:val="21"/>
                <w:szCs w:val="21"/>
                <w:lang w:val="en-US" w:eastAsia="zh-CN" w:bidi="ar"/>
              </w:rPr>
              <w:t xml:space="preserve"> </w:t>
            </w:r>
          </w:p>
        </w:tc>
        <w:tc>
          <w:tcPr>
            <w:tcW w:w="1081"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F2E990B">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val="0"/>
                <w:bCs w:val="0"/>
                <w:color w:val="000000"/>
                <w:sz w:val="21"/>
                <w:szCs w:val="21"/>
                <w:lang w:val="en-US" w:eastAsia="zh-CN" w:bidi="ar"/>
              </w:rPr>
              <w:t xml:space="preserve"> </w:t>
            </w:r>
          </w:p>
        </w:tc>
      </w:tr>
    </w:tbl>
    <w:p w14:paraId="76C7F6E4">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备注：1.本表反映单位本年度一般公共预算财政拨款支出情况。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14:paraId="095A0C80">
      <w:pPr>
        <w:numPr>
          <w:ilvl w:val="0"/>
          <w:numId w:val="0"/>
        </w:numPr>
        <w:ind w:firstLine="630" w:firstLineChars="300"/>
        <w:rPr>
          <w:rFonts w:hint="eastAsia" w:ascii="宋体" w:hAnsi="宋体" w:eastAsia="宋体" w:cs="宋体"/>
          <w:sz w:val="21"/>
          <w:szCs w:val="21"/>
        </w:rPr>
      </w:pPr>
      <w:r>
        <w:rPr>
          <w:rFonts w:hint="eastAsia" w:ascii="宋体" w:hAnsi="宋体" w:eastAsia="宋体" w:cs="宋体"/>
          <w:sz w:val="21"/>
          <w:szCs w:val="21"/>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1631"/>
        <w:gridCol w:w="4422"/>
        <w:gridCol w:w="527"/>
        <w:gridCol w:w="551"/>
        <w:gridCol w:w="2113"/>
        <w:gridCol w:w="428"/>
        <w:gridCol w:w="551"/>
        <w:gridCol w:w="3988"/>
        <w:gridCol w:w="1166"/>
      </w:tblGrid>
      <w:tr w14:paraId="78A62AA7">
        <w:tblPrEx>
          <w:tblCellMar>
            <w:top w:w="0" w:type="dxa"/>
            <w:left w:w="0" w:type="dxa"/>
            <w:bottom w:w="0" w:type="dxa"/>
            <w:right w:w="0" w:type="dxa"/>
          </w:tblCellMar>
        </w:tblPrEx>
        <w:trPr>
          <w:trHeight w:val="590" w:hRule="atLeast"/>
        </w:trPr>
        <w:tc>
          <w:tcPr>
            <w:tcW w:w="5000" w:type="pct"/>
            <w:gridSpan w:val="9"/>
            <w:tcBorders>
              <w:top w:val="nil"/>
              <w:left w:val="nil"/>
              <w:bottom w:val="nil"/>
              <w:right w:val="nil"/>
            </w:tcBorders>
            <w:shd w:val="clear" w:color="auto" w:fill="auto"/>
            <w:noWrap/>
            <w:tcMar>
              <w:top w:w="15" w:type="dxa"/>
              <w:left w:w="15" w:type="dxa"/>
              <w:right w:w="15" w:type="dxa"/>
            </w:tcMar>
            <w:vAlign w:val="bottom"/>
          </w:tcPr>
          <w:p w14:paraId="2A285077">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宋体" w:hAnsi="宋体" w:eastAsia="宋体" w:cs="宋体"/>
                <w:b/>
                <w:i w:val="0"/>
                <w:color w:val="000000"/>
                <w:kern w:val="0"/>
                <w:sz w:val="44"/>
                <w:szCs w:val="44"/>
                <w:u w:val="none"/>
                <w:lang w:val="en-US" w:eastAsia="zh-CN" w:bidi="ar"/>
              </w:rPr>
            </w:pPr>
            <w:r>
              <w:rPr>
                <w:rFonts w:hint="eastAsia" w:ascii="方正黑体_GBK" w:hAnsi="方正黑体_GBK" w:eastAsia="方正黑体_GBK" w:cs="方正黑体_GBK"/>
                <w:b w:val="0"/>
                <w:bCs w:val="0"/>
                <w:sz w:val="32"/>
                <w:szCs w:val="32"/>
                <w:lang w:val="en-US" w:eastAsia="zh-CN"/>
              </w:rPr>
              <w:t>附件6</w:t>
            </w:r>
          </w:p>
          <w:p w14:paraId="36BA05C0">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一般公共预算财政拨款基本支出决算表</w:t>
            </w:r>
          </w:p>
        </w:tc>
      </w:tr>
      <w:tr w14:paraId="1CEAF7EE">
        <w:tblPrEx>
          <w:shd w:val="clear" w:color="auto" w:fill="auto"/>
          <w:tblCellMar>
            <w:top w:w="0" w:type="dxa"/>
            <w:left w:w="0" w:type="dxa"/>
            <w:bottom w:w="0" w:type="dxa"/>
            <w:right w:w="0" w:type="dxa"/>
          </w:tblCellMar>
        </w:tblPrEx>
        <w:trPr>
          <w:trHeight w:val="302" w:hRule="atLeast"/>
        </w:trPr>
        <w:tc>
          <w:tcPr>
            <w:tcW w:w="1073" w:type="pct"/>
            <w:gridSpan w:val="2"/>
            <w:vMerge w:val="restart"/>
            <w:tcBorders>
              <w:top w:val="nil"/>
              <w:left w:val="nil"/>
              <w:right w:val="nil"/>
            </w:tcBorders>
            <w:shd w:val="clear" w:color="auto" w:fill="auto"/>
            <w:noWrap/>
            <w:tcMar>
              <w:top w:w="15" w:type="dxa"/>
              <w:left w:w="15" w:type="dxa"/>
              <w:right w:w="15" w:type="dxa"/>
            </w:tcMar>
            <w:vAlign w:val="bottom"/>
          </w:tcPr>
          <w:p w14:paraId="0BEFA57B">
            <w:pPr>
              <w:rPr>
                <w:rFonts w:hint="default" w:ascii="Arial" w:hAnsi="Arial" w:eastAsia="宋体" w:cs="Arial"/>
                <w:i w:val="0"/>
                <w:color w:val="000000"/>
                <w:sz w:val="22"/>
                <w:szCs w:val="22"/>
                <w:u w:val="none"/>
              </w:rPr>
            </w:pPr>
            <w:r>
              <w:rPr>
                <w:rFonts w:hint="eastAsia" w:asciiTheme="minorEastAsia" w:hAnsiTheme="minorEastAsia" w:eastAsiaTheme="minorEastAsia" w:cstheme="minorEastAsia"/>
                <w:sz w:val="24"/>
                <w:szCs w:val="24"/>
                <w:lang w:eastAsia="zh-CN"/>
              </w:rPr>
              <w:t>公开单位</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重庆市潼南区田家镇劳动就业和社会保障服务所</w:t>
            </w:r>
          </w:p>
        </w:tc>
        <w:tc>
          <w:tcPr>
            <w:tcW w:w="634" w:type="pct"/>
            <w:tcBorders>
              <w:top w:val="nil"/>
              <w:left w:val="nil"/>
              <w:bottom w:val="nil"/>
              <w:right w:val="nil"/>
            </w:tcBorders>
            <w:shd w:val="clear" w:color="auto" w:fill="auto"/>
            <w:noWrap/>
            <w:tcMar>
              <w:top w:w="15" w:type="dxa"/>
              <w:left w:w="15" w:type="dxa"/>
              <w:right w:w="15" w:type="dxa"/>
            </w:tcMar>
            <w:vAlign w:val="bottom"/>
          </w:tcPr>
          <w:p w14:paraId="649E39A5">
            <w:pPr>
              <w:rPr>
                <w:rFonts w:hint="default" w:ascii="Arial" w:hAnsi="Arial" w:eastAsia="宋体" w:cs="Arial"/>
                <w:i w:val="0"/>
                <w:color w:val="000000"/>
                <w:sz w:val="20"/>
                <w:szCs w:val="20"/>
                <w:u w:val="none"/>
              </w:rPr>
            </w:pPr>
          </w:p>
        </w:tc>
        <w:tc>
          <w:tcPr>
            <w:tcW w:w="251" w:type="pct"/>
            <w:tcBorders>
              <w:top w:val="nil"/>
              <w:left w:val="nil"/>
              <w:bottom w:val="nil"/>
              <w:right w:val="nil"/>
            </w:tcBorders>
            <w:shd w:val="clear" w:color="auto" w:fill="auto"/>
            <w:noWrap/>
            <w:tcMar>
              <w:top w:w="15" w:type="dxa"/>
              <w:left w:w="15" w:type="dxa"/>
              <w:right w:w="15" w:type="dxa"/>
            </w:tcMar>
            <w:vAlign w:val="bottom"/>
          </w:tcPr>
          <w:p w14:paraId="1DF4BF8C">
            <w:pPr>
              <w:rPr>
                <w:rFonts w:hint="default" w:ascii="Arial" w:hAnsi="Arial" w:eastAsia="宋体" w:cs="Arial"/>
                <w:i w:val="0"/>
                <w:color w:val="000000"/>
                <w:sz w:val="20"/>
                <w:szCs w:val="20"/>
                <w:u w:val="none"/>
              </w:rPr>
            </w:pPr>
          </w:p>
        </w:tc>
        <w:tc>
          <w:tcPr>
            <w:tcW w:w="522" w:type="pct"/>
            <w:tcBorders>
              <w:top w:val="nil"/>
              <w:left w:val="nil"/>
              <w:bottom w:val="nil"/>
              <w:right w:val="nil"/>
            </w:tcBorders>
            <w:shd w:val="clear" w:color="auto" w:fill="auto"/>
            <w:noWrap/>
            <w:tcMar>
              <w:top w:w="15" w:type="dxa"/>
              <w:left w:w="15" w:type="dxa"/>
              <w:right w:w="15" w:type="dxa"/>
            </w:tcMar>
            <w:vAlign w:val="bottom"/>
          </w:tcPr>
          <w:p w14:paraId="074A0449">
            <w:pPr>
              <w:rPr>
                <w:rFonts w:hint="default" w:ascii="Arial" w:hAnsi="Arial" w:eastAsia="宋体" w:cs="Arial"/>
                <w:i w:val="0"/>
                <w:color w:val="000000"/>
                <w:sz w:val="20"/>
                <w:szCs w:val="20"/>
                <w:u w:val="none"/>
              </w:rPr>
            </w:pPr>
          </w:p>
        </w:tc>
        <w:tc>
          <w:tcPr>
            <w:tcW w:w="616" w:type="pct"/>
            <w:tcBorders>
              <w:top w:val="nil"/>
              <w:left w:val="nil"/>
              <w:bottom w:val="nil"/>
              <w:right w:val="nil"/>
            </w:tcBorders>
            <w:shd w:val="clear" w:color="auto" w:fill="auto"/>
            <w:noWrap/>
            <w:tcMar>
              <w:top w:w="15" w:type="dxa"/>
              <w:left w:w="15" w:type="dxa"/>
              <w:right w:w="15" w:type="dxa"/>
            </w:tcMar>
            <w:vAlign w:val="bottom"/>
          </w:tcPr>
          <w:p w14:paraId="044A007E">
            <w:pPr>
              <w:rPr>
                <w:rFonts w:hint="default" w:ascii="Arial" w:hAnsi="Arial" w:eastAsia="宋体" w:cs="Arial"/>
                <w:i w:val="0"/>
                <w:color w:val="000000"/>
                <w:sz w:val="20"/>
                <w:szCs w:val="20"/>
                <w:u w:val="none"/>
              </w:rPr>
            </w:pPr>
          </w:p>
        </w:tc>
        <w:tc>
          <w:tcPr>
            <w:tcW w:w="338" w:type="pct"/>
            <w:tcBorders>
              <w:top w:val="nil"/>
              <w:left w:val="nil"/>
              <w:bottom w:val="nil"/>
              <w:right w:val="nil"/>
            </w:tcBorders>
            <w:shd w:val="clear" w:color="auto" w:fill="auto"/>
            <w:noWrap/>
            <w:tcMar>
              <w:top w:w="15" w:type="dxa"/>
              <w:left w:w="15" w:type="dxa"/>
              <w:right w:w="15" w:type="dxa"/>
            </w:tcMar>
            <w:vAlign w:val="bottom"/>
          </w:tcPr>
          <w:p w14:paraId="390157D3">
            <w:pPr>
              <w:rPr>
                <w:rFonts w:hint="default" w:ascii="Arial" w:hAnsi="Arial" w:eastAsia="宋体" w:cs="Arial"/>
                <w:i w:val="0"/>
                <w:color w:val="000000"/>
                <w:sz w:val="20"/>
                <w:szCs w:val="20"/>
                <w:u w:val="none"/>
              </w:rPr>
            </w:pPr>
          </w:p>
        </w:tc>
        <w:tc>
          <w:tcPr>
            <w:tcW w:w="1001" w:type="pct"/>
            <w:tcBorders>
              <w:top w:val="nil"/>
              <w:left w:val="nil"/>
              <w:bottom w:val="nil"/>
              <w:right w:val="nil"/>
            </w:tcBorders>
            <w:shd w:val="clear" w:color="auto" w:fill="auto"/>
            <w:noWrap/>
            <w:tcMar>
              <w:top w:w="15" w:type="dxa"/>
              <w:left w:w="15" w:type="dxa"/>
              <w:right w:w="15" w:type="dxa"/>
            </w:tcMar>
            <w:vAlign w:val="bottom"/>
          </w:tcPr>
          <w:p w14:paraId="0DDB44BE">
            <w:pPr>
              <w:rPr>
                <w:rFonts w:hint="default" w:ascii="Arial" w:hAnsi="Arial" w:eastAsia="宋体" w:cs="Arial"/>
                <w:i w:val="0"/>
                <w:color w:val="000000"/>
                <w:sz w:val="20"/>
                <w:szCs w:val="20"/>
                <w:u w:val="none"/>
              </w:rPr>
            </w:pPr>
          </w:p>
        </w:tc>
        <w:tc>
          <w:tcPr>
            <w:tcW w:w="560" w:type="pct"/>
            <w:tcBorders>
              <w:top w:val="nil"/>
              <w:left w:val="nil"/>
              <w:bottom w:val="nil"/>
              <w:right w:val="nil"/>
            </w:tcBorders>
            <w:shd w:val="clear" w:color="auto" w:fill="auto"/>
            <w:noWrap/>
            <w:tcMar>
              <w:top w:w="15" w:type="dxa"/>
              <w:left w:w="15" w:type="dxa"/>
              <w:right w:w="15" w:type="dxa"/>
            </w:tcMar>
            <w:vAlign w:val="bottom"/>
          </w:tcPr>
          <w:p w14:paraId="2802E53D">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公开06表</w:t>
            </w:r>
          </w:p>
        </w:tc>
      </w:tr>
      <w:tr w14:paraId="6E7E5A45">
        <w:tblPrEx>
          <w:shd w:val="clear" w:color="auto" w:fill="auto"/>
          <w:tblCellMar>
            <w:top w:w="0" w:type="dxa"/>
            <w:left w:w="0" w:type="dxa"/>
            <w:bottom w:w="0" w:type="dxa"/>
            <w:right w:w="0" w:type="dxa"/>
          </w:tblCellMar>
        </w:tblPrEx>
        <w:trPr>
          <w:trHeight w:val="302" w:hRule="atLeast"/>
        </w:trPr>
        <w:tc>
          <w:tcPr>
            <w:tcW w:w="1073" w:type="pct"/>
            <w:gridSpan w:val="2"/>
            <w:vMerge w:val="continue"/>
            <w:tcBorders>
              <w:left w:val="nil"/>
              <w:bottom w:val="nil"/>
              <w:right w:val="nil"/>
            </w:tcBorders>
            <w:shd w:val="clear" w:color="auto" w:fill="auto"/>
            <w:noWrap/>
            <w:tcMar>
              <w:top w:w="15" w:type="dxa"/>
              <w:left w:w="15" w:type="dxa"/>
              <w:right w:w="15" w:type="dxa"/>
            </w:tcMar>
            <w:vAlign w:val="bottom"/>
          </w:tcPr>
          <w:p w14:paraId="1B5FBCF9">
            <w:pPr>
              <w:rPr>
                <w:rFonts w:hint="default" w:ascii="Arial" w:hAnsi="Arial" w:eastAsia="宋体" w:cs="Arial"/>
                <w:i w:val="0"/>
                <w:color w:val="000000"/>
                <w:sz w:val="22"/>
                <w:szCs w:val="22"/>
                <w:u w:val="none"/>
              </w:rPr>
            </w:pPr>
          </w:p>
        </w:tc>
        <w:tc>
          <w:tcPr>
            <w:tcW w:w="634" w:type="pct"/>
            <w:tcBorders>
              <w:top w:val="nil"/>
              <w:left w:val="nil"/>
              <w:bottom w:val="nil"/>
              <w:right w:val="nil"/>
            </w:tcBorders>
            <w:shd w:val="clear" w:color="auto" w:fill="auto"/>
            <w:noWrap/>
            <w:tcMar>
              <w:top w:w="15" w:type="dxa"/>
              <w:left w:w="15" w:type="dxa"/>
              <w:right w:w="15" w:type="dxa"/>
            </w:tcMar>
            <w:vAlign w:val="bottom"/>
          </w:tcPr>
          <w:p w14:paraId="198719BF">
            <w:pPr>
              <w:rPr>
                <w:rFonts w:hint="default" w:ascii="Arial" w:hAnsi="Arial" w:eastAsia="宋体" w:cs="Arial"/>
                <w:i w:val="0"/>
                <w:color w:val="000000"/>
                <w:sz w:val="22"/>
                <w:szCs w:val="22"/>
                <w:u w:val="none"/>
              </w:rPr>
            </w:pPr>
          </w:p>
        </w:tc>
        <w:tc>
          <w:tcPr>
            <w:tcW w:w="251" w:type="pct"/>
            <w:tcBorders>
              <w:top w:val="nil"/>
              <w:left w:val="nil"/>
              <w:bottom w:val="nil"/>
              <w:right w:val="nil"/>
            </w:tcBorders>
            <w:shd w:val="clear" w:color="auto" w:fill="auto"/>
            <w:noWrap/>
            <w:tcMar>
              <w:top w:w="15" w:type="dxa"/>
              <w:left w:w="15" w:type="dxa"/>
              <w:right w:w="15" w:type="dxa"/>
            </w:tcMar>
            <w:vAlign w:val="bottom"/>
          </w:tcPr>
          <w:p w14:paraId="5D1309C4">
            <w:pPr>
              <w:rPr>
                <w:rFonts w:hint="default" w:ascii="Arial" w:hAnsi="Arial" w:eastAsia="宋体" w:cs="Arial"/>
                <w:i w:val="0"/>
                <w:color w:val="000000"/>
                <w:sz w:val="22"/>
                <w:szCs w:val="22"/>
                <w:u w:val="none"/>
              </w:rPr>
            </w:pPr>
          </w:p>
        </w:tc>
        <w:tc>
          <w:tcPr>
            <w:tcW w:w="522" w:type="pct"/>
            <w:tcBorders>
              <w:top w:val="nil"/>
              <w:left w:val="nil"/>
              <w:bottom w:val="nil"/>
              <w:right w:val="nil"/>
            </w:tcBorders>
            <w:shd w:val="clear" w:color="auto" w:fill="auto"/>
            <w:noWrap/>
            <w:tcMar>
              <w:top w:w="15" w:type="dxa"/>
              <w:left w:w="15" w:type="dxa"/>
              <w:right w:w="15" w:type="dxa"/>
            </w:tcMar>
            <w:vAlign w:val="bottom"/>
          </w:tcPr>
          <w:p w14:paraId="57067E93">
            <w:pPr>
              <w:rPr>
                <w:rFonts w:hint="default" w:ascii="Arial" w:hAnsi="Arial" w:eastAsia="宋体" w:cs="Arial"/>
                <w:i w:val="0"/>
                <w:color w:val="000000"/>
                <w:sz w:val="22"/>
                <w:szCs w:val="22"/>
                <w:u w:val="none"/>
              </w:rPr>
            </w:pPr>
          </w:p>
        </w:tc>
        <w:tc>
          <w:tcPr>
            <w:tcW w:w="616" w:type="pct"/>
            <w:tcBorders>
              <w:top w:val="nil"/>
              <w:left w:val="nil"/>
              <w:bottom w:val="nil"/>
              <w:right w:val="nil"/>
            </w:tcBorders>
            <w:shd w:val="clear" w:color="auto" w:fill="auto"/>
            <w:noWrap/>
            <w:tcMar>
              <w:top w:w="15" w:type="dxa"/>
              <w:left w:w="15" w:type="dxa"/>
              <w:right w:w="15" w:type="dxa"/>
            </w:tcMar>
            <w:vAlign w:val="bottom"/>
          </w:tcPr>
          <w:p w14:paraId="5E45DFB6">
            <w:pPr>
              <w:rPr>
                <w:rFonts w:hint="default" w:ascii="Arial" w:hAnsi="Arial" w:eastAsia="宋体" w:cs="Arial"/>
                <w:i w:val="0"/>
                <w:color w:val="000000"/>
                <w:sz w:val="22"/>
                <w:szCs w:val="22"/>
                <w:u w:val="none"/>
              </w:rPr>
            </w:pPr>
          </w:p>
        </w:tc>
        <w:tc>
          <w:tcPr>
            <w:tcW w:w="338" w:type="pct"/>
            <w:tcBorders>
              <w:top w:val="nil"/>
              <w:left w:val="nil"/>
              <w:bottom w:val="nil"/>
              <w:right w:val="nil"/>
            </w:tcBorders>
            <w:shd w:val="clear" w:color="auto" w:fill="auto"/>
            <w:noWrap/>
            <w:tcMar>
              <w:top w:w="15" w:type="dxa"/>
              <w:left w:w="15" w:type="dxa"/>
              <w:right w:w="15" w:type="dxa"/>
            </w:tcMar>
            <w:vAlign w:val="bottom"/>
          </w:tcPr>
          <w:p w14:paraId="4F84605D">
            <w:pPr>
              <w:rPr>
                <w:rFonts w:hint="default" w:ascii="Arial" w:hAnsi="Arial" w:eastAsia="宋体" w:cs="Arial"/>
                <w:i w:val="0"/>
                <w:color w:val="000000"/>
                <w:sz w:val="22"/>
                <w:szCs w:val="22"/>
                <w:u w:val="none"/>
              </w:rPr>
            </w:pPr>
          </w:p>
        </w:tc>
        <w:tc>
          <w:tcPr>
            <w:tcW w:w="1001" w:type="pct"/>
            <w:tcBorders>
              <w:top w:val="nil"/>
              <w:left w:val="nil"/>
              <w:bottom w:val="nil"/>
              <w:right w:val="nil"/>
            </w:tcBorders>
            <w:shd w:val="clear" w:color="auto" w:fill="auto"/>
            <w:noWrap/>
            <w:tcMar>
              <w:top w:w="15" w:type="dxa"/>
              <w:left w:w="15" w:type="dxa"/>
              <w:right w:w="15" w:type="dxa"/>
            </w:tcMar>
            <w:vAlign w:val="bottom"/>
          </w:tcPr>
          <w:p w14:paraId="64E522D1">
            <w:pPr>
              <w:rPr>
                <w:rFonts w:hint="default" w:ascii="Arial" w:hAnsi="Arial" w:eastAsia="宋体" w:cs="Arial"/>
                <w:i w:val="0"/>
                <w:color w:val="000000"/>
                <w:sz w:val="22"/>
                <w:szCs w:val="22"/>
                <w:u w:val="none"/>
              </w:rPr>
            </w:pPr>
          </w:p>
        </w:tc>
        <w:tc>
          <w:tcPr>
            <w:tcW w:w="560" w:type="pct"/>
            <w:tcBorders>
              <w:top w:val="nil"/>
              <w:left w:val="nil"/>
              <w:bottom w:val="nil"/>
              <w:right w:val="nil"/>
            </w:tcBorders>
            <w:shd w:val="clear" w:color="auto" w:fill="auto"/>
            <w:noWrap/>
            <w:tcMar>
              <w:top w:w="15" w:type="dxa"/>
              <w:left w:w="15" w:type="dxa"/>
              <w:right w:w="15" w:type="dxa"/>
            </w:tcMar>
            <w:vAlign w:val="bottom"/>
          </w:tcPr>
          <w:p w14:paraId="6EA933AB">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08122C17">
        <w:tblPrEx>
          <w:shd w:val="clear" w:color="auto" w:fill="auto"/>
          <w:tblCellMar>
            <w:top w:w="0" w:type="dxa"/>
            <w:left w:w="0" w:type="dxa"/>
            <w:bottom w:w="0" w:type="dxa"/>
            <w:right w:w="0" w:type="dxa"/>
          </w:tblCellMar>
        </w:tblPrEx>
        <w:trPr>
          <w:trHeight w:val="311" w:hRule="atLeast"/>
        </w:trPr>
        <w:tc>
          <w:tcPr>
            <w:tcW w:w="1708" w:type="pct"/>
            <w:gridSpan w:val="3"/>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36A9E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人员经费</w:t>
            </w:r>
          </w:p>
        </w:tc>
        <w:tc>
          <w:tcPr>
            <w:tcW w:w="3291" w:type="pct"/>
            <w:gridSpan w:val="6"/>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691C5C00">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公用经费</w:t>
            </w:r>
          </w:p>
        </w:tc>
      </w:tr>
      <w:tr w14:paraId="56772DA6">
        <w:tblPrEx>
          <w:shd w:val="clear" w:color="auto" w:fill="auto"/>
          <w:tblCellMar>
            <w:top w:w="0" w:type="dxa"/>
            <w:left w:w="0" w:type="dxa"/>
            <w:bottom w:w="0" w:type="dxa"/>
            <w:right w:w="0" w:type="dxa"/>
          </w:tblCellMar>
        </w:tblPrEx>
        <w:trPr>
          <w:trHeight w:val="312" w:hRule="atLeast"/>
        </w:trPr>
        <w:tc>
          <w:tcPr>
            <w:tcW w:w="289"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95A8B89">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经济分类科目编码</w:t>
            </w:r>
          </w:p>
        </w:tc>
        <w:tc>
          <w:tcPr>
            <w:tcW w:w="78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EF73474">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经济分类科目（按“款”级功能分类科目）</w:t>
            </w:r>
          </w:p>
        </w:tc>
        <w:tc>
          <w:tcPr>
            <w:tcW w:w="63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AA51467">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cs="宋体"/>
                <w:b/>
                <w:i w:val="0"/>
                <w:color w:val="000000"/>
                <w:kern w:val="0"/>
                <w:sz w:val="22"/>
                <w:szCs w:val="22"/>
                <w:u w:val="none"/>
                <w:lang w:val="en-US" w:eastAsia="zh-CN" w:bidi="ar"/>
              </w:rPr>
              <w:t>金额</w:t>
            </w:r>
          </w:p>
        </w:tc>
        <w:tc>
          <w:tcPr>
            <w:tcW w:w="251"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2919513">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经济分类科目编码</w:t>
            </w:r>
          </w:p>
        </w:tc>
        <w:tc>
          <w:tcPr>
            <w:tcW w:w="522"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21E6177">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经济分类科目（按“款”级功能分类科目）</w:t>
            </w:r>
          </w:p>
        </w:tc>
        <w:tc>
          <w:tcPr>
            <w:tcW w:w="616"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FD41BBE">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cs="宋体"/>
                <w:b/>
                <w:i w:val="0"/>
                <w:color w:val="000000"/>
                <w:kern w:val="0"/>
                <w:sz w:val="22"/>
                <w:szCs w:val="22"/>
                <w:u w:val="none"/>
                <w:lang w:val="en-US" w:eastAsia="zh-CN" w:bidi="ar"/>
              </w:rPr>
              <w:t>金额</w:t>
            </w:r>
          </w:p>
        </w:tc>
        <w:tc>
          <w:tcPr>
            <w:tcW w:w="338"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D5762B">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经济分类科目编码</w:t>
            </w:r>
          </w:p>
        </w:tc>
        <w:tc>
          <w:tcPr>
            <w:tcW w:w="1001"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B350D35">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经济分类科目（按“款”级功能分类科目）</w:t>
            </w:r>
          </w:p>
        </w:tc>
        <w:tc>
          <w:tcPr>
            <w:tcW w:w="56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BEAAB9B">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cs="宋体"/>
                <w:b/>
                <w:i w:val="0"/>
                <w:color w:val="000000"/>
                <w:kern w:val="0"/>
                <w:sz w:val="22"/>
                <w:szCs w:val="22"/>
                <w:u w:val="none"/>
                <w:lang w:val="en-US" w:eastAsia="zh-CN" w:bidi="ar"/>
              </w:rPr>
              <w:t>金额</w:t>
            </w:r>
          </w:p>
        </w:tc>
      </w:tr>
      <w:tr w14:paraId="0D0CD283">
        <w:tblPrEx>
          <w:shd w:val="clear" w:color="auto" w:fill="auto"/>
          <w:tblCellMar>
            <w:top w:w="0" w:type="dxa"/>
            <w:left w:w="0" w:type="dxa"/>
            <w:bottom w:w="0" w:type="dxa"/>
            <w:right w:w="0" w:type="dxa"/>
          </w:tblCellMar>
        </w:tblPrEx>
        <w:trPr>
          <w:trHeight w:val="799" w:hRule="atLeast"/>
        </w:trPr>
        <w:tc>
          <w:tcPr>
            <w:tcW w:w="289"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E2DC547">
            <w:pPr>
              <w:jc w:val="center"/>
              <w:rPr>
                <w:rFonts w:hint="eastAsia" w:ascii="宋体" w:hAnsi="宋体" w:eastAsia="宋体" w:cs="宋体"/>
                <w:b/>
                <w:i w:val="0"/>
                <w:color w:val="000000"/>
                <w:sz w:val="22"/>
                <w:szCs w:val="22"/>
                <w:u w:val="none"/>
              </w:rPr>
            </w:pPr>
          </w:p>
        </w:tc>
        <w:tc>
          <w:tcPr>
            <w:tcW w:w="78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7419740">
            <w:pPr>
              <w:jc w:val="center"/>
              <w:rPr>
                <w:rFonts w:hint="eastAsia" w:ascii="宋体" w:hAnsi="宋体" w:eastAsia="宋体" w:cs="宋体"/>
                <w:b/>
                <w:i w:val="0"/>
                <w:color w:val="000000"/>
                <w:sz w:val="22"/>
                <w:szCs w:val="22"/>
                <w:u w:val="none"/>
              </w:rPr>
            </w:pPr>
          </w:p>
        </w:tc>
        <w:tc>
          <w:tcPr>
            <w:tcW w:w="63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9725561">
            <w:pPr>
              <w:jc w:val="center"/>
              <w:rPr>
                <w:rFonts w:hint="eastAsia" w:ascii="宋体" w:hAnsi="宋体" w:eastAsia="宋体" w:cs="宋体"/>
                <w:b/>
                <w:i w:val="0"/>
                <w:color w:val="000000"/>
                <w:sz w:val="22"/>
                <w:szCs w:val="22"/>
                <w:u w:val="none"/>
              </w:rPr>
            </w:pPr>
          </w:p>
        </w:tc>
        <w:tc>
          <w:tcPr>
            <w:tcW w:w="251"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D273B2">
            <w:pPr>
              <w:jc w:val="center"/>
              <w:rPr>
                <w:rFonts w:hint="eastAsia" w:ascii="宋体" w:hAnsi="宋体" w:eastAsia="宋体" w:cs="宋体"/>
                <w:b/>
                <w:i w:val="0"/>
                <w:color w:val="000000"/>
                <w:sz w:val="22"/>
                <w:szCs w:val="22"/>
                <w:u w:val="none"/>
              </w:rPr>
            </w:pPr>
          </w:p>
        </w:tc>
        <w:tc>
          <w:tcPr>
            <w:tcW w:w="522"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98ECFB8">
            <w:pPr>
              <w:jc w:val="center"/>
              <w:rPr>
                <w:rFonts w:hint="eastAsia" w:ascii="宋体" w:hAnsi="宋体" w:eastAsia="宋体" w:cs="宋体"/>
                <w:b/>
                <w:i w:val="0"/>
                <w:color w:val="000000"/>
                <w:sz w:val="22"/>
                <w:szCs w:val="22"/>
                <w:u w:val="none"/>
              </w:rPr>
            </w:pPr>
          </w:p>
        </w:tc>
        <w:tc>
          <w:tcPr>
            <w:tcW w:w="616"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61DF853">
            <w:pPr>
              <w:jc w:val="center"/>
              <w:rPr>
                <w:rFonts w:hint="eastAsia" w:ascii="宋体" w:hAnsi="宋体" w:eastAsia="宋体" w:cs="宋体"/>
                <w:b/>
                <w:i w:val="0"/>
                <w:color w:val="000000"/>
                <w:sz w:val="22"/>
                <w:szCs w:val="22"/>
                <w:u w:val="none"/>
              </w:rPr>
            </w:pPr>
          </w:p>
        </w:tc>
        <w:tc>
          <w:tcPr>
            <w:tcW w:w="338"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6835A2">
            <w:pPr>
              <w:jc w:val="center"/>
              <w:rPr>
                <w:rFonts w:hint="eastAsia" w:ascii="宋体" w:hAnsi="宋体" w:eastAsia="宋体" w:cs="宋体"/>
                <w:b/>
                <w:i w:val="0"/>
                <w:color w:val="000000"/>
                <w:sz w:val="22"/>
                <w:szCs w:val="22"/>
                <w:u w:val="none"/>
              </w:rPr>
            </w:pPr>
          </w:p>
        </w:tc>
        <w:tc>
          <w:tcPr>
            <w:tcW w:w="1001"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A0F4D0E">
            <w:pPr>
              <w:jc w:val="center"/>
              <w:rPr>
                <w:rFonts w:hint="eastAsia" w:ascii="宋体" w:hAnsi="宋体" w:eastAsia="宋体" w:cs="宋体"/>
                <w:b/>
                <w:i w:val="0"/>
                <w:color w:val="000000"/>
                <w:sz w:val="22"/>
                <w:szCs w:val="22"/>
                <w:u w:val="none"/>
              </w:rPr>
            </w:pPr>
          </w:p>
        </w:tc>
        <w:tc>
          <w:tcPr>
            <w:tcW w:w="56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00B8950">
            <w:pPr>
              <w:jc w:val="center"/>
              <w:rPr>
                <w:rFonts w:hint="eastAsia" w:ascii="宋体" w:hAnsi="宋体" w:eastAsia="宋体" w:cs="宋体"/>
                <w:b/>
                <w:i w:val="0"/>
                <w:color w:val="000000"/>
                <w:sz w:val="22"/>
                <w:szCs w:val="22"/>
                <w:u w:val="none"/>
              </w:rPr>
            </w:pPr>
          </w:p>
        </w:tc>
      </w:tr>
      <w:tr w14:paraId="0DFE08BC">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44433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8D7715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工资福利支出</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2A1ED3">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62.25</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106D8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FB7A7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商品和服务支出</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6A98EB">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3.42</w:t>
            </w: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9AE45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364FC2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资本性支出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5554B4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43BB98C0">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2DC1C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6FBA7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基本工资</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FF07035">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15.43</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7E779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30201</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F0976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办公费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84AD7F8">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0.05</w:t>
            </w: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6EAAF4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31001</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56479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房屋建筑物购建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B6CC15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355F1D7">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D8366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30102</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E0218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津贴补贴</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3147129">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1.51</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4123C4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30202</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6B798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印刷费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6B80F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A0F0D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31002</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F18B87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办公设备购置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AB9C7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3EF38631">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13F10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30103</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EC3253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奖金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ADFEBE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18985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30203</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E7115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咨询费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21047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B465F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31003</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E2EE6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专用设备购置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9AE9F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092F6DC5">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FE3CE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30106</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96050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伙食补助费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6B04B4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374FD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30204</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8AB59F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手续费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E428E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5A8231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31005</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03BBC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基础设施建设</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8A0204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434DDF3B">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04FB8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30107</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6593F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绩效工资</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DD994EE">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30.83</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EBAEED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30205</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E4276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水费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535BED4">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0.10</w:t>
            </w: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533878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31006</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DCA82C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大型修缮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909FB6">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8E61141">
        <w:tblPrEx>
          <w:tblCellMar>
            <w:top w:w="0" w:type="dxa"/>
            <w:left w:w="0" w:type="dxa"/>
            <w:bottom w:w="0" w:type="dxa"/>
            <w:right w:w="0" w:type="dxa"/>
          </w:tblCellMar>
        </w:tblPrEx>
        <w:trPr>
          <w:trHeight w:val="333"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761A3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30108</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9EB53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机关事业单位基本养老保险缴费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CC956D7">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4.39</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0F5B8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30206</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C2223B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电费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E5F1F3">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0.05</w:t>
            </w: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50789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31007</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65FE5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信息网络及软件购置更新</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809860C">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4D17C08B">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E3CA2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30109</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38A7E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职业年金缴费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6F39127">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2.20</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9A7ED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30207</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5D331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邮电费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71CBAB5">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AAC057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31008</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BF0BC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物资储备</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3B5A4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1A47CE8D">
        <w:tblPrEx>
          <w:shd w:val="clear" w:color="auto" w:fill="auto"/>
          <w:tblCellMar>
            <w:top w:w="0" w:type="dxa"/>
            <w:left w:w="0" w:type="dxa"/>
            <w:bottom w:w="0" w:type="dxa"/>
            <w:right w:w="0" w:type="dxa"/>
          </w:tblCellMar>
        </w:tblPrEx>
        <w:trPr>
          <w:trHeight w:val="364"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734FC3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30110</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58FCD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职工基本医疗保险缴费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D08FA2">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2.33</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2AF15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30208</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D7C84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取暖费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CF5441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C09D9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31009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324A2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土地补偿</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37C293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D5CD588">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01601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37E61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公务员医疗补助缴费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293B04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036EF6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30209</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9CDBD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物业管理费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6FBDB7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089D9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31010</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098C4F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安置补助</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11E1ED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2B076509">
        <w:tblPrEx>
          <w:tblCellMar>
            <w:top w:w="0" w:type="dxa"/>
            <w:left w:w="0" w:type="dxa"/>
            <w:bottom w:w="0" w:type="dxa"/>
            <w:right w:w="0" w:type="dxa"/>
          </w:tblCellMar>
        </w:tblPrEx>
        <w:trPr>
          <w:trHeight w:val="333"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9B7CE6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30112</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BB02CD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其他社会保障缴费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73E7C47">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0.63</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0C8F6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30211</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20011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差旅费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902711">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2.89</w:t>
            </w: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E5AA4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31011</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2E96E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地上附着物和青苗补偿</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DBEA3C1">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77D3140">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F1D7F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30113</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BB1F9B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住房公积金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3206B4F">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4.29</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D60F9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30212</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E601A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因公出国（境）费用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FDFD6C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8D4F2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31012</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44E624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拆迁补偿</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9594B5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243F355">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B85902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30114</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0E951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医疗费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0BBCF6">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0.64</w:t>
            </w: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6064F0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30213</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FE5642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维修（护）费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09674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5CE09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31013</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55158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公务用车购置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E3584E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D49A3E1">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F5B48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30199</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FD26F4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其他工资福利支出</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1B37E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2417F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30214</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A9AD3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租赁费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8F5F09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739D2D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31019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0FA00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其他交通工具购置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EC03916">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308B3DF">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AD62E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E1C6D0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对个人和家庭的补助</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E5213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1EE4B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30215</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EB108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会议费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51291F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34048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31021</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6F4DA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文物和陈列品购置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1A7252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ADEE428">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4CE93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93C498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离休费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35B1FE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D6B58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30216</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2EE759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培训费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82CC6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21DEE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31022</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04248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无形资产购置</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08C19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329FBDCC">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BE24B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30302</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8D50CC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退休费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7AE631">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E5AA65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30217</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34BAF4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公务接待费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D029F5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4FD5B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31099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973D3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其他资本性支出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445322D">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4969EDB9">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71C137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30303</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DDB531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退职（役）费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EBB19">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E5CD4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30218</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05AD9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专用材料费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216111">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0D9D4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6C77C7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对企业补助</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9D1A1F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7B99FC87">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A3A5E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30304</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0D047B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抚恤金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93D9F1">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3E2D4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30224</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94276B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被装购置费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A4B1815">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18260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31201</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075447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资本金注入</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01CD850">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FC1E29E">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B4354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30305</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9C7588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生活补助</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908DA47">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3E5D98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30225</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99FDE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专用燃料费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C4552C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C441E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31203</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F35E5D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政府投资基金股权投资</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948D80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1630F80F">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CB98B5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30306</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F15E9C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救济费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F319A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6D69D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30226</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A1B3A5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劳务费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3C1C40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D063BF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31204</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8851E0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费用补贴</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C92164">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9797EA6">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DCF28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30307</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82D30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医疗费补助</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25EDA5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2E4ED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30227</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54ACAB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委托业务费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BE89EE8">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F8D49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31205</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8771D3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利息补贴</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4216BF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6B3C2A62">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136675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30308</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6C12E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助学金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4D2DC1F">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64AB4C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30228</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3F5F73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工会经费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3029A48">
            <w:pPr>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0.33</w:t>
            </w: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31958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31299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CB6F1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其他对企业补助</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CB0E3F5">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DA9E0ED">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D581C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30309</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B8834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奖励金</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1154117">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EF3FBE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30229</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133B6C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福利费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E97116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797BA9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C314B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其他支出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6C3C121">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283B3CFD">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2A3E7E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30310</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BA2996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个人农业生产补贴</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6ED3AE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4F9E2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30231</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68FF1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公务用车运行维护费</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4B4357E">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D52D0C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39907</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9A2AE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国家赔偿费用支出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036DE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18BB73A8">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C0CA02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30311</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19AEBE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代缴社会保险费</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EDE1FDB">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2A8D80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30239</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8F3139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其他交通费用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A94D87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168F63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39908</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FD78A8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对民间非营利组织和群众性自治组织补贴</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5A1042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456601F8">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1B7AF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30399</w:t>
            </w: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01BBE7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其他对个人和家庭的补助</w:t>
            </w: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164E86A">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A6479A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30240</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116E47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税金及附加费用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1AAF6F22">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12E3C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39909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15B271">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经常性赠与</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0197C0D2">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29EF36D9">
        <w:tblPrEx>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BA1CCD">
            <w:pPr>
              <w:jc w:val="left"/>
              <w:rPr>
                <w:rFonts w:hint="eastAsia" w:ascii="宋体" w:hAnsi="宋体" w:eastAsia="宋体" w:cs="宋体"/>
                <w:i w:val="0"/>
                <w:color w:val="000000"/>
                <w:sz w:val="22"/>
                <w:szCs w:val="2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6D28D8B">
            <w:pPr>
              <w:jc w:val="left"/>
              <w:rPr>
                <w:rFonts w:hint="eastAsia" w:ascii="宋体" w:hAnsi="宋体" w:eastAsia="宋体" w:cs="宋体"/>
                <w:i w:val="0"/>
                <w:color w:val="000000"/>
                <w:sz w:val="22"/>
                <w:szCs w:val="2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381E449">
            <w:pPr>
              <w:rPr>
                <w:rFonts w:hint="default" w:ascii="Arial" w:hAnsi="Arial" w:eastAsia="宋体" w:cs="Arial"/>
                <w:i w:val="0"/>
                <w:color w:val="000000"/>
                <w:sz w:val="20"/>
                <w:szCs w:val="20"/>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4B2BB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30299</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56EC8D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其他商品和服务支出</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CF46AA3">
            <w:pPr>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23AC56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39910</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20AA3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资本性赠与</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0335B4B">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DEE171E">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A3174EB">
            <w:pPr>
              <w:jc w:val="left"/>
              <w:rPr>
                <w:rFonts w:hint="eastAsia" w:ascii="宋体" w:hAnsi="宋体" w:eastAsia="宋体" w:cs="宋体"/>
                <w:i w:val="0"/>
                <w:color w:val="000000"/>
                <w:sz w:val="22"/>
                <w:szCs w:val="2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A909D10">
            <w:pPr>
              <w:jc w:val="left"/>
              <w:rPr>
                <w:rFonts w:hint="eastAsia" w:ascii="宋体" w:hAnsi="宋体" w:eastAsia="宋体" w:cs="宋体"/>
                <w:i w:val="0"/>
                <w:color w:val="000000"/>
                <w:sz w:val="22"/>
                <w:szCs w:val="2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460C9CC">
            <w:pPr>
              <w:rPr>
                <w:rFonts w:hint="default" w:ascii="Arial" w:hAnsi="Arial" w:eastAsia="宋体" w:cs="Arial"/>
                <w:i w:val="0"/>
                <w:color w:val="000000"/>
                <w:sz w:val="20"/>
                <w:szCs w:val="20"/>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D4DF6D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9A0510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债务利息及费用支出</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79E14D7">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AD4459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39999</w:t>
            </w: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042272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其他支出</w:t>
            </w: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DC7BF13">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r>
      <w:tr w14:paraId="5A3C1D6D">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9034E9D">
            <w:pPr>
              <w:jc w:val="left"/>
              <w:rPr>
                <w:rFonts w:hint="eastAsia" w:ascii="宋体" w:hAnsi="宋体" w:eastAsia="宋体" w:cs="宋体"/>
                <w:i w:val="0"/>
                <w:color w:val="000000"/>
                <w:sz w:val="22"/>
                <w:szCs w:val="2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7F95488">
            <w:pPr>
              <w:jc w:val="left"/>
              <w:rPr>
                <w:rFonts w:hint="eastAsia" w:ascii="宋体" w:hAnsi="宋体" w:eastAsia="宋体" w:cs="宋体"/>
                <w:i w:val="0"/>
                <w:color w:val="000000"/>
                <w:sz w:val="22"/>
                <w:szCs w:val="2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AE2BF05">
            <w:pPr>
              <w:rPr>
                <w:rFonts w:hint="default" w:ascii="Arial" w:hAnsi="Arial" w:eastAsia="宋体" w:cs="Arial"/>
                <w:i w:val="0"/>
                <w:color w:val="000000"/>
                <w:sz w:val="20"/>
                <w:szCs w:val="20"/>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37C8C2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30701</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9EC9F1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国内债务付息</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B95FD58">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FEEC081">
            <w:pPr>
              <w:jc w:val="left"/>
              <w:rPr>
                <w:rFonts w:hint="eastAsia" w:ascii="宋体" w:hAnsi="宋体" w:eastAsia="宋体" w:cs="宋体"/>
                <w:i w:val="0"/>
                <w:color w:val="000000"/>
                <w:sz w:val="22"/>
                <w:szCs w:val="22"/>
                <w:u w:val="none"/>
              </w:rPr>
            </w:pP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C49F475">
            <w:pPr>
              <w:jc w:val="left"/>
              <w:rPr>
                <w:rFonts w:hint="eastAsia" w:ascii="宋体" w:hAnsi="宋体" w:eastAsia="宋体" w:cs="宋体"/>
                <w:i w:val="0"/>
                <w:color w:val="000000"/>
                <w:sz w:val="22"/>
                <w:szCs w:val="22"/>
                <w:u w:val="none"/>
              </w:rPr>
            </w:pP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379833DC">
            <w:pPr>
              <w:jc w:val="right"/>
              <w:rPr>
                <w:rFonts w:hint="eastAsia" w:ascii="宋体" w:hAnsi="宋体" w:eastAsia="宋体" w:cs="宋体"/>
                <w:i w:val="0"/>
                <w:color w:val="000000"/>
                <w:sz w:val="22"/>
                <w:szCs w:val="22"/>
                <w:u w:val="none"/>
              </w:rPr>
            </w:pPr>
          </w:p>
        </w:tc>
      </w:tr>
      <w:tr w14:paraId="27B88FB5">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76546C37">
            <w:pPr>
              <w:jc w:val="left"/>
              <w:rPr>
                <w:rFonts w:hint="eastAsia" w:ascii="宋体" w:hAnsi="宋体" w:eastAsia="宋体" w:cs="宋体"/>
                <w:i w:val="0"/>
                <w:color w:val="000000"/>
                <w:sz w:val="22"/>
                <w:szCs w:val="2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ABF951">
            <w:pPr>
              <w:jc w:val="left"/>
              <w:rPr>
                <w:rFonts w:hint="eastAsia" w:ascii="宋体" w:hAnsi="宋体" w:eastAsia="宋体" w:cs="宋体"/>
                <w:i w:val="0"/>
                <w:color w:val="000000"/>
                <w:sz w:val="22"/>
                <w:szCs w:val="2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69C1DDD">
            <w:pPr>
              <w:rPr>
                <w:rFonts w:hint="default" w:ascii="Arial" w:hAnsi="Arial" w:eastAsia="宋体" w:cs="Arial"/>
                <w:i w:val="0"/>
                <w:color w:val="000000"/>
                <w:sz w:val="20"/>
                <w:szCs w:val="20"/>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9BEC26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30702</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CC5163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国外债务付息</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F507166">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E2D34A0">
            <w:pPr>
              <w:jc w:val="left"/>
              <w:rPr>
                <w:rFonts w:hint="eastAsia" w:ascii="宋体" w:hAnsi="宋体" w:eastAsia="宋体" w:cs="宋体"/>
                <w:i w:val="0"/>
                <w:color w:val="000000"/>
                <w:sz w:val="22"/>
                <w:szCs w:val="22"/>
                <w:u w:val="none"/>
              </w:rPr>
            </w:pP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438D122">
            <w:pPr>
              <w:jc w:val="left"/>
              <w:rPr>
                <w:rFonts w:hint="eastAsia" w:ascii="宋体" w:hAnsi="宋体" w:eastAsia="宋体" w:cs="宋体"/>
                <w:i w:val="0"/>
                <w:color w:val="000000"/>
                <w:sz w:val="22"/>
                <w:szCs w:val="22"/>
                <w:u w:val="none"/>
              </w:rPr>
            </w:pP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5BA8268E">
            <w:pPr>
              <w:jc w:val="right"/>
              <w:rPr>
                <w:rFonts w:hint="eastAsia" w:ascii="宋体" w:hAnsi="宋体" w:eastAsia="宋体" w:cs="宋体"/>
                <w:i w:val="0"/>
                <w:color w:val="000000"/>
                <w:sz w:val="22"/>
                <w:szCs w:val="22"/>
                <w:u w:val="none"/>
              </w:rPr>
            </w:pPr>
          </w:p>
        </w:tc>
      </w:tr>
      <w:tr w14:paraId="4C38A022">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C80864F">
            <w:pPr>
              <w:jc w:val="left"/>
              <w:rPr>
                <w:rFonts w:hint="eastAsia" w:ascii="宋体" w:hAnsi="宋体" w:eastAsia="宋体" w:cs="宋体"/>
                <w:i w:val="0"/>
                <w:color w:val="000000"/>
                <w:sz w:val="22"/>
                <w:szCs w:val="2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10A6C3A">
            <w:pPr>
              <w:jc w:val="left"/>
              <w:rPr>
                <w:rFonts w:hint="eastAsia" w:ascii="宋体" w:hAnsi="宋体" w:eastAsia="宋体" w:cs="宋体"/>
                <w:i w:val="0"/>
                <w:color w:val="000000"/>
                <w:sz w:val="22"/>
                <w:szCs w:val="2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BA9DCEC">
            <w:pPr>
              <w:rPr>
                <w:rFonts w:hint="default" w:ascii="Arial" w:hAnsi="Arial" w:eastAsia="宋体" w:cs="Arial"/>
                <w:i w:val="0"/>
                <w:color w:val="000000"/>
                <w:sz w:val="20"/>
                <w:szCs w:val="20"/>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62D643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30703</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04D8873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国内债务发行费用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8BF4FB8">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7DD200B">
            <w:pPr>
              <w:jc w:val="left"/>
              <w:rPr>
                <w:rFonts w:hint="eastAsia" w:ascii="宋体" w:hAnsi="宋体" w:eastAsia="宋体" w:cs="宋体"/>
                <w:i w:val="0"/>
                <w:color w:val="000000"/>
                <w:sz w:val="22"/>
                <w:szCs w:val="22"/>
                <w:u w:val="none"/>
              </w:rPr>
            </w:pP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5B007B51">
            <w:pPr>
              <w:jc w:val="left"/>
              <w:rPr>
                <w:rFonts w:hint="eastAsia" w:ascii="宋体" w:hAnsi="宋体" w:eastAsia="宋体" w:cs="宋体"/>
                <w:i w:val="0"/>
                <w:color w:val="000000"/>
                <w:sz w:val="22"/>
                <w:szCs w:val="22"/>
                <w:u w:val="none"/>
              </w:rPr>
            </w:pP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E93864">
            <w:pPr>
              <w:jc w:val="right"/>
              <w:rPr>
                <w:rFonts w:hint="eastAsia" w:ascii="宋体" w:hAnsi="宋体" w:eastAsia="宋体" w:cs="宋体"/>
                <w:i w:val="0"/>
                <w:color w:val="000000"/>
                <w:sz w:val="22"/>
                <w:szCs w:val="22"/>
                <w:u w:val="none"/>
              </w:rPr>
            </w:pPr>
          </w:p>
        </w:tc>
      </w:tr>
      <w:tr w14:paraId="6660525C">
        <w:tblPrEx>
          <w:shd w:val="clear" w:color="auto" w:fill="auto"/>
          <w:tblCellMar>
            <w:top w:w="0" w:type="dxa"/>
            <w:left w:w="0" w:type="dxa"/>
            <w:bottom w:w="0" w:type="dxa"/>
            <w:right w:w="0" w:type="dxa"/>
          </w:tblCellMar>
        </w:tblPrEx>
        <w:trPr>
          <w:trHeight w:val="311" w:hRule="atLeast"/>
        </w:trPr>
        <w:tc>
          <w:tcPr>
            <w:tcW w:w="289"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BBCD397">
            <w:pPr>
              <w:jc w:val="left"/>
              <w:rPr>
                <w:rFonts w:hint="eastAsia" w:ascii="宋体" w:hAnsi="宋体" w:eastAsia="宋体" w:cs="宋体"/>
                <w:i w:val="0"/>
                <w:color w:val="000000"/>
                <w:sz w:val="22"/>
                <w:szCs w:val="22"/>
                <w:u w:val="none"/>
              </w:rPr>
            </w:pPr>
          </w:p>
        </w:tc>
        <w:tc>
          <w:tcPr>
            <w:tcW w:w="784"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BE4215D">
            <w:pPr>
              <w:jc w:val="left"/>
              <w:rPr>
                <w:rFonts w:hint="eastAsia" w:ascii="宋体" w:hAnsi="宋体" w:eastAsia="宋体" w:cs="宋体"/>
                <w:i w:val="0"/>
                <w:color w:val="000000"/>
                <w:sz w:val="22"/>
                <w:szCs w:val="22"/>
                <w:u w:val="none"/>
              </w:rPr>
            </w:pPr>
          </w:p>
        </w:tc>
        <w:tc>
          <w:tcPr>
            <w:tcW w:w="634"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F3D9E44">
            <w:pPr>
              <w:rPr>
                <w:rFonts w:hint="default" w:ascii="Arial" w:hAnsi="Arial" w:eastAsia="宋体" w:cs="Arial"/>
                <w:i w:val="0"/>
                <w:color w:val="000000"/>
                <w:sz w:val="20"/>
                <w:szCs w:val="20"/>
                <w:u w:val="none"/>
              </w:rPr>
            </w:pPr>
          </w:p>
        </w:tc>
        <w:tc>
          <w:tcPr>
            <w:tcW w:w="25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2239C1A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30704</w:t>
            </w:r>
          </w:p>
        </w:tc>
        <w:tc>
          <w:tcPr>
            <w:tcW w:w="52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457723B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国外债务发行费用</w:t>
            </w:r>
          </w:p>
        </w:tc>
        <w:tc>
          <w:tcPr>
            <w:tcW w:w="616"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413C19A8">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cs="宋体"/>
                <w:color w:val="000000"/>
                <w:sz w:val="21"/>
                <w:szCs w:val="21"/>
                <w:lang w:val="en-US" w:eastAsia="zh-CN" w:bidi="ar"/>
              </w:rPr>
              <w:t xml:space="preserve"> </w:t>
            </w:r>
          </w:p>
        </w:tc>
        <w:tc>
          <w:tcPr>
            <w:tcW w:w="338"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302E6CB">
            <w:pPr>
              <w:jc w:val="left"/>
              <w:rPr>
                <w:rFonts w:hint="eastAsia" w:ascii="宋体" w:hAnsi="宋体" w:eastAsia="宋体" w:cs="宋体"/>
                <w:i w:val="0"/>
                <w:color w:val="000000"/>
                <w:sz w:val="22"/>
                <w:szCs w:val="22"/>
                <w:u w:val="none"/>
              </w:rPr>
            </w:pPr>
          </w:p>
        </w:tc>
        <w:tc>
          <w:tcPr>
            <w:tcW w:w="1001"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41AAD8B">
            <w:pPr>
              <w:jc w:val="left"/>
              <w:rPr>
                <w:rFonts w:hint="eastAsia" w:ascii="宋体" w:hAnsi="宋体" w:eastAsia="宋体" w:cs="宋体"/>
                <w:i w:val="0"/>
                <w:color w:val="000000"/>
                <w:sz w:val="22"/>
                <w:szCs w:val="22"/>
                <w:u w:val="none"/>
              </w:rPr>
            </w:pPr>
          </w:p>
        </w:tc>
        <w:tc>
          <w:tcPr>
            <w:tcW w:w="56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2A599F41">
            <w:pPr>
              <w:jc w:val="right"/>
              <w:rPr>
                <w:rFonts w:hint="eastAsia" w:ascii="宋体" w:hAnsi="宋体" w:eastAsia="宋体" w:cs="宋体"/>
                <w:i w:val="0"/>
                <w:color w:val="000000"/>
                <w:sz w:val="22"/>
                <w:szCs w:val="22"/>
                <w:u w:val="none"/>
              </w:rPr>
            </w:pPr>
          </w:p>
        </w:tc>
      </w:tr>
      <w:tr w14:paraId="31E1658E">
        <w:tblPrEx>
          <w:shd w:val="clear" w:color="auto" w:fill="auto"/>
          <w:tblCellMar>
            <w:top w:w="0" w:type="dxa"/>
            <w:left w:w="0" w:type="dxa"/>
            <w:bottom w:w="0" w:type="dxa"/>
            <w:right w:w="0" w:type="dxa"/>
          </w:tblCellMar>
        </w:tblPrEx>
        <w:trPr>
          <w:trHeight w:val="321" w:hRule="atLeast"/>
        </w:trPr>
        <w:tc>
          <w:tcPr>
            <w:tcW w:w="1073" w:type="pct"/>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950B92">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人员经费合计</w:t>
            </w:r>
          </w:p>
        </w:tc>
        <w:tc>
          <w:tcPr>
            <w:tcW w:w="634" w:type="pct"/>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E18DA16">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ascii="宋体" w:hAnsi="宋体" w:eastAsia="宋体" w:cs="宋体"/>
                <w:color w:val="000000"/>
                <w:sz w:val="21"/>
                <w:szCs w:val="21"/>
                <w:lang w:bidi="ar"/>
              </w:rPr>
              <w:t>62.25</w:t>
            </w:r>
            <w:r>
              <w:rPr>
                <w:rFonts w:hint="eastAsia" w:cs="宋体"/>
                <w:color w:val="000000"/>
                <w:sz w:val="21"/>
                <w:szCs w:val="21"/>
                <w:lang w:val="en-US" w:eastAsia="zh-CN" w:bidi="ar"/>
              </w:rPr>
              <w:t xml:space="preserve"> </w:t>
            </w:r>
          </w:p>
        </w:tc>
        <w:tc>
          <w:tcPr>
            <w:tcW w:w="2731" w:type="pct"/>
            <w:gridSpan w:val="5"/>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4DCE70B">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公用经费合计</w:t>
            </w:r>
          </w:p>
        </w:tc>
        <w:tc>
          <w:tcPr>
            <w:tcW w:w="56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F6D9A36">
            <w:pPr>
              <w:keepNext w:val="0"/>
              <w:keepLines w:val="0"/>
              <w:widowControl/>
              <w:suppressLineNumbers w:val="0"/>
              <w:wordWrap w:val="0"/>
              <w:jc w:val="right"/>
              <w:textAlignment w:val="center"/>
              <w:rPr>
                <w:rFonts w:hint="eastAsia" w:ascii="宋体" w:hAnsi="宋体" w:eastAsia="宋体" w:cs="宋体"/>
                <w:i w:val="0"/>
                <w:color w:val="000000"/>
                <w:sz w:val="22"/>
                <w:szCs w:val="22"/>
                <w:u w:val="none"/>
                <w:lang w:val="en-US" w:eastAsia="zh-CN"/>
              </w:rPr>
            </w:pPr>
            <w:r>
              <w:rPr>
                <w:rFonts w:hint="eastAsia" w:ascii="宋体" w:hAnsi="宋体" w:eastAsia="宋体" w:cs="宋体"/>
                <w:color w:val="000000"/>
                <w:sz w:val="21"/>
                <w:szCs w:val="21"/>
                <w:lang w:bidi="ar"/>
              </w:rPr>
              <w:t>3.42</w:t>
            </w:r>
            <w:r>
              <w:rPr>
                <w:rFonts w:hint="eastAsia" w:cs="宋体"/>
                <w:color w:val="000000"/>
                <w:sz w:val="21"/>
                <w:szCs w:val="21"/>
                <w:lang w:val="en-US" w:eastAsia="zh-CN" w:bidi="ar"/>
              </w:rPr>
              <w:t xml:space="preserve"> </w:t>
            </w:r>
          </w:p>
        </w:tc>
      </w:tr>
    </w:tbl>
    <w:p w14:paraId="4B4810FE">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备注：1.本表反映单位本年度一般公共预算财政拨款基本支出明细情况。</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14:paraId="38367AD9">
      <w:pPr>
        <w:rPr>
          <w:rFonts w:hint="eastAsia" w:ascii="宋体" w:hAnsi="宋体" w:eastAsia="宋体" w:cs="宋体"/>
          <w:sz w:val="21"/>
          <w:szCs w:val="21"/>
        </w:rPr>
      </w:pPr>
      <w:r>
        <w:rPr>
          <w:rFonts w:hint="eastAsia" w:ascii="宋体" w:hAnsi="宋体" w:eastAsia="宋体" w:cs="宋体"/>
          <w:sz w:val="21"/>
          <w:szCs w:val="21"/>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2398"/>
        <w:gridCol w:w="3992"/>
        <w:gridCol w:w="1465"/>
        <w:gridCol w:w="1465"/>
        <w:gridCol w:w="1466"/>
        <w:gridCol w:w="1466"/>
        <w:gridCol w:w="1530"/>
        <w:gridCol w:w="1595"/>
      </w:tblGrid>
      <w:tr w14:paraId="279A9ED8">
        <w:tblPrEx>
          <w:shd w:val="clear" w:color="auto" w:fill="auto"/>
          <w:tblCellMar>
            <w:top w:w="0" w:type="dxa"/>
            <w:left w:w="0" w:type="dxa"/>
            <w:bottom w:w="0" w:type="dxa"/>
            <w:right w:w="0" w:type="dxa"/>
          </w:tblCellMar>
        </w:tblPrEx>
        <w:trPr>
          <w:trHeight w:val="644" w:hRule="atLeast"/>
        </w:trPr>
        <w:tc>
          <w:tcPr>
            <w:tcW w:w="5000" w:type="pct"/>
            <w:gridSpan w:val="8"/>
            <w:tcBorders>
              <w:top w:val="nil"/>
              <w:left w:val="nil"/>
              <w:bottom w:val="nil"/>
              <w:right w:val="nil"/>
            </w:tcBorders>
            <w:shd w:val="clear" w:color="auto" w:fill="auto"/>
            <w:noWrap/>
            <w:tcMar>
              <w:top w:w="15" w:type="dxa"/>
              <w:left w:w="15" w:type="dxa"/>
              <w:right w:w="15" w:type="dxa"/>
            </w:tcMar>
            <w:vAlign w:val="bottom"/>
          </w:tcPr>
          <w:p w14:paraId="52428A85">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宋体" w:hAnsi="宋体" w:eastAsia="宋体" w:cs="宋体"/>
                <w:b/>
                <w:i w:val="0"/>
                <w:color w:val="000000"/>
                <w:kern w:val="0"/>
                <w:sz w:val="44"/>
                <w:szCs w:val="44"/>
                <w:u w:val="none"/>
                <w:lang w:val="en-US" w:eastAsia="zh-CN" w:bidi="ar"/>
              </w:rPr>
            </w:pPr>
            <w:r>
              <w:rPr>
                <w:rFonts w:hint="eastAsia" w:ascii="方正黑体_GBK" w:hAnsi="方正黑体_GBK" w:eastAsia="方正黑体_GBK" w:cs="方正黑体_GBK"/>
                <w:b w:val="0"/>
                <w:bCs w:val="0"/>
                <w:sz w:val="32"/>
                <w:szCs w:val="32"/>
                <w:lang w:val="en-US" w:eastAsia="zh-CN"/>
              </w:rPr>
              <w:t>附件7</w:t>
            </w:r>
          </w:p>
          <w:p w14:paraId="1EA15D9B">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政府性基金预算财政拨款收入支出决算表</w:t>
            </w:r>
          </w:p>
        </w:tc>
      </w:tr>
      <w:tr w14:paraId="666D3BF4">
        <w:tblPrEx>
          <w:shd w:val="clear" w:color="auto" w:fill="auto"/>
          <w:tblCellMar>
            <w:top w:w="0" w:type="dxa"/>
            <w:left w:w="0" w:type="dxa"/>
            <w:bottom w:w="0" w:type="dxa"/>
            <w:right w:w="0" w:type="dxa"/>
          </w:tblCellMar>
        </w:tblPrEx>
        <w:trPr>
          <w:trHeight w:val="329" w:hRule="atLeast"/>
        </w:trPr>
        <w:tc>
          <w:tcPr>
            <w:tcW w:w="1607" w:type="pct"/>
            <w:gridSpan w:val="2"/>
            <w:vMerge w:val="restart"/>
            <w:tcBorders>
              <w:top w:val="nil"/>
              <w:left w:val="nil"/>
              <w:right w:val="nil"/>
            </w:tcBorders>
            <w:shd w:val="clear" w:color="auto" w:fill="auto"/>
            <w:noWrap/>
            <w:tcMar>
              <w:top w:w="15" w:type="dxa"/>
              <w:left w:w="15" w:type="dxa"/>
              <w:right w:w="15" w:type="dxa"/>
            </w:tcMar>
            <w:vAlign w:val="bottom"/>
          </w:tcPr>
          <w:p w14:paraId="7907FFB4">
            <w:pPr>
              <w:rPr>
                <w:rFonts w:hint="default" w:ascii="Arial" w:hAnsi="Arial" w:eastAsia="宋体" w:cs="Arial"/>
                <w:i w:val="0"/>
                <w:color w:val="000000"/>
                <w:sz w:val="20"/>
                <w:szCs w:val="20"/>
                <w:u w:val="none"/>
              </w:rPr>
            </w:pPr>
            <w:r>
              <w:rPr>
                <w:rFonts w:hint="eastAsia" w:asciiTheme="minorEastAsia" w:hAnsiTheme="minorEastAsia" w:eastAsiaTheme="minorEastAsia" w:cstheme="minorEastAsia"/>
                <w:sz w:val="24"/>
                <w:szCs w:val="24"/>
                <w:lang w:eastAsia="zh-CN"/>
              </w:rPr>
              <w:t>公开单位</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重庆市潼南区田家镇劳动就业和社会保障服务所</w:t>
            </w:r>
          </w:p>
        </w:tc>
        <w:tc>
          <w:tcPr>
            <w:tcW w:w="555" w:type="pct"/>
            <w:tcBorders>
              <w:top w:val="nil"/>
              <w:left w:val="nil"/>
              <w:bottom w:val="nil"/>
              <w:right w:val="nil"/>
            </w:tcBorders>
            <w:shd w:val="clear" w:color="auto" w:fill="auto"/>
            <w:noWrap/>
            <w:tcMar>
              <w:top w:w="15" w:type="dxa"/>
              <w:left w:w="15" w:type="dxa"/>
              <w:right w:w="15" w:type="dxa"/>
            </w:tcMar>
            <w:vAlign w:val="bottom"/>
          </w:tcPr>
          <w:p w14:paraId="654C9B20">
            <w:pPr>
              <w:rPr>
                <w:rFonts w:hint="default" w:ascii="Arial" w:hAnsi="Arial" w:eastAsia="宋体" w:cs="Arial"/>
                <w:i w:val="0"/>
                <w:color w:val="000000"/>
                <w:sz w:val="20"/>
                <w:szCs w:val="20"/>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1F39B0D8">
            <w:pPr>
              <w:rPr>
                <w:rFonts w:hint="default" w:ascii="Arial" w:hAnsi="Arial" w:eastAsia="宋体" w:cs="Arial"/>
                <w:i w:val="0"/>
                <w:color w:val="000000"/>
                <w:sz w:val="20"/>
                <w:szCs w:val="20"/>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08979498">
            <w:pPr>
              <w:rPr>
                <w:rFonts w:hint="default" w:ascii="Arial" w:hAnsi="Arial" w:eastAsia="宋体" w:cs="Arial"/>
                <w:i w:val="0"/>
                <w:color w:val="000000"/>
                <w:sz w:val="20"/>
                <w:szCs w:val="20"/>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09181554">
            <w:pPr>
              <w:rPr>
                <w:rFonts w:hint="default" w:ascii="Arial" w:hAnsi="Arial" w:eastAsia="宋体" w:cs="Arial"/>
                <w:i w:val="0"/>
                <w:color w:val="000000"/>
                <w:sz w:val="20"/>
                <w:szCs w:val="20"/>
                <w:u w:val="none"/>
              </w:rPr>
            </w:pPr>
          </w:p>
        </w:tc>
        <w:tc>
          <w:tcPr>
            <w:tcW w:w="574" w:type="pct"/>
            <w:tcBorders>
              <w:top w:val="nil"/>
              <w:left w:val="nil"/>
              <w:bottom w:val="nil"/>
              <w:right w:val="nil"/>
            </w:tcBorders>
            <w:shd w:val="clear" w:color="auto" w:fill="auto"/>
            <w:noWrap/>
            <w:tcMar>
              <w:top w:w="15" w:type="dxa"/>
              <w:left w:w="15" w:type="dxa"/>
              <w:right w:w="15" w:type="dxa"/>
            </w:tcMar>
            <w:vAlign w:val="bottom"/>
          </w:tcPr>
          <w:p w14:paraId="1415E268">
            <w:pPr>
              <w:rPr>
                <w:rFonts w:hint="default" w:ascii="Arial" w:hAnsi="Arial" w:eastAsia="宋体" w:cs="Arial"/>
                <w:i w:val="0"/>
                <w:color w:val="000000"/>
                <w:sz w:val="20"/>
                <w:szCs w:val="20"/>
                <w:u w:val="none"/>
              </w:rPr>
            </w:pPr>
          </w:p>
        </w:tc>
        <w:tc>
          <w:tcPr>
            <w:tcW w:w="594" w:type="pct"/>
            <w:tcBorders>
              <w:top w:val="nil"/>
              <w:left w:val="nil"/>
              <w:bottom w:val="nil"/>
              <w:right w:val="nil"/>
            </w:tcBorders>
            <w:shd w:val="clear" w:color="auto" w:fill="auto"/>
            <w:noWrap/>
            <w:tcMar>
              <w:top w:w="15" w:type="dxa"/>
              <w:left w:w="15" w:type="dxa"/>
              <w:right w:w="15" w:type="dxa"/>
            </w:tcMar>
            <w:vAlign w:val="bottom"/>
          </w:tcPr>
          <w:p w14:paraId="7CEAA1BB">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公开07表</w:t>
            </w:r>
          </w:p>
        </w:tc>
      </w:tr>
      <w:tr w14:paraId="686A450C">
        <w:tblPrEx>
          <w:shd w:val="clear" w:color="auto" w:fill="auto"/>
          <w:tblCellMar>
            <w:top w:w="0" w:type="dxa"/>
            <w:left w:w="0" w:type="dxa"/>
            <w:bottom w:w="0" w:type="dxa"/>
            <w:right w:w="0" w:type="dxa"/>
          </w:tblCellMar>
        </w:tblPrEx>
        <w:trPr>
          <w:trHeight w:val="329" w:hRule="atLeast"/>
        </w:trPr>
        <w:tc>
          <w:tcPr>
            <w:tcW w:w="1607" w:type="pct"/>
            <w:gridSpan w:val="2"/>
            <w:vMerge w:val="continue"/>
            <w:tcBorders>
              <w:left w:val="nil"/>
              <w:bottom w:val="nil"/>
              <w:right w:val="nil"/>
            </w:tcBorders>
            <w:shd w:val="clear" w:color="auto" w:fill="auto"/>
            <w:noWrap/>
            <w:tcMar>
              <w:top w:w="15" w:type="dxa"/>
              <w:left w:w="15" w:type="dxa"/>
              <w:right w:w="15" w:type="dxa"/>
            </w:tcMar>
            <w:vAlign w:val="bottom"/>
          </w:tcPr>
          <w:p w14:paraId="1C117750">
            <w:pPr>
              <w:rPr>
                <w:rFonts w:hint="default" w:ascii="Arial" w:hAnsi="Arial" w:eastAsia="宋体" w:cs="Arial"/>
                <w:i w:val="0"/>
                <w:color w:val="000000"/>
                <w:sz w:val="22"/>
                <w:szCs w:val="2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0591E137">
            <w:pPr>
              <w:rPr>
                <w:rFonts w:hint="default" w:ascii="Arial" w:hAnsi="Arial" w:eastAsia="宋体" w:cs="Arial"/>
                <w:i w:val="0"/>
                <w:color w:val="000000"/>
                <w:sz w:val="22"/>
                <w:szCs w:val="2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6A8E9F97">
            <w:pPr>
              <w:rPr>
                <w:rFonts w:hint="default" w:ascii="Arial" w:hAnsi="Arial" w:eastAsia="宋体" w:cs="Arial"/>
                <w:i w:val="0"/>
                <w:color w:val="000000"/>
                <w:sz w:val="22"/>
                <w:szCs w:val="2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2219F22E">
            <w:pPr>
              <w:rPr>
                <w:rFonts w:hint="default" w:ascii="Arial" w:hAnsi="Arial" w:eastAsia="宋体" w:cs="Arial"/>
                <w:i w:val="0"/>
                <w:color w:val="000000"/>
                <w:sz w:val="22"/>
                <w:szCs w:val="22"/>
                <w:u w:val="none"/>
              </w:rPr>
            </w:pPr>
          </w:p>
        </w:tc>
        <w:tc>
          <w:tcPr>
            <w:tcW w:w="555" w:type="pct"/>
            <w:tcBorders>
              <w:top w:val="nil"/>
              <w:left w:val="nil"/>
              <w:bottom w:val="nil"/>
              <w:right w:val="nil"/>
            </w:tcBorders>
            <w:shd w:val="clear" w:color="auto" w:fill="auto"/>
            <w:noWrap/>
            <w:tcMar>
              <w:top w:w="15" w:type="dxa"/>
              <w:left w:w="15" w:type="dxa"/>
              <w:right w:w="15" w:type="dxa"/>
            </w:tcMar>
            <w:vAlign w:val="bottom"/>
          </w:tcPr>
          <w:p w14:paraId="1B31C0C4">
            <w:pPr>
              <w:rPr>
                <w:rFonts w:hint="default" w:ascii="Arial" w:hAnsi="Arial" w:eastAsia="宋体" w:cs="Arial"/>
                <w:i w:val="0"/>
                <w:color w:val="000000"/>
                <w:sz w:val="22"/>
                <w:szCs w:val="22"/>
                <w:u w:val="none"/>
              </w:rPr>
            </w:pPr>
          </w:p>
        </w:tc>
        <w:tc>
          <w:tcPr>
            <w:tcW w:w="574" w:type="pct"/>
            <w:tcBorders>
              <w:top w:val="nil"/>
              <w:left w:val="nil"/>
              <w:bottom w:val="nil"/>
              <w:right w:val="nil"/>
            </w:tcBorders>
            <w:shd w:val="clear" w:color="auto" w:fill="auto"/>
            <w:noWrap/>
            <w:tcMar>
              <w:top w:w="15" w:type="dxa"/>
              <w:left w:w="15" w:type="dxa"/>
              <w:right w:w="15" w:type="dxa"/>
            </w:tcMar>
            <w:vAlign w:val="bottom"/>
          </w:tcPr>
          <w:p w14:paraId="15A5B193">
            <w:pPr>
              <w:rPr>
                <w:rFonts w:hint="default" w:ascii="Arial" w:hAnsi="Arial" w:eastAsia="宋体" w:cs="Arial"/>
                <w:i w:val="0"/>
                <w:color w:val="000000"/>
                <w:sz w:val="22"/>
                <w:szCs w:val="22"/>
                <w:u w:val="none"/>
              </w:rPr>
            </w:pPr>
          </w:p>
        </w:tc>
        <w:tc>
          <w:tcPr>
            <w:tcW w:w="594" w:type="pct"/>
            <w:tcBorders>
              <w:top w:val="nil"/>
              <w:left w:val="nil"/>
              <w:bottom w:val="nil"/>
              <w:right w:val="nil"/>
            </w:tcBorders>
            <w:shd w:val="clear" w:color="auto" w:fill="auto"/>
            <w:noWrap/>
            <w:tcMar>
              <w:top w:w="15" w:type="dxa"/>
              <w:left w:w="15" w:type="dxa"/>
              <w:right w:w="15" w:type="dxa"/>
            </w:tcMar>
            <w:vAlign w:val="bottom"/>
          </w:tcPr>
          <w:p w14:paraId="227F843D">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12D3CCD9">
        <w:tblPrEx>
          <w:shd w:val="clear" w:color="auto" w:fill="auto"/>
          <w:tblCellMar>
            <w:top w:w="0" w:type="dxa"/>
            <w:left w:w="0" w:type="dxa"/>
            <w:bottom w:w="0" w:type="dxa"/>
            <w:right w:w="0" w:type="dxa"/>
          </w:tblCellMar>
        </w:tblPrEx>
        <w:trPr>
          <w:trHeight w:val="339" w:hRule="atLeast"/>
        </w:trPr>
        <w:tc>
          <w:tcPr>
            <w:tcW w:w="1607"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DC95B5F">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555" w:type="pct"/>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483263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年初结转和结余</w:t>
            </w:r>
          </w:p>
        </w:tc>
        <w:tc>
          <w:tcPr>
            <w:tcW w:w="555"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8BABD4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本年收入</w:t>
            </w:r>
          </w:p>
        </w:tc>
        <w:tc>
          <w:tcPr>
            <w:tcW w:w="1686" w:type="pct"/>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A4B8ED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w:t>
            </w:r>
          </w:p>
        </w:tc>
        <w:tc>
          <w:tcPr>
            <w:tcW w:w="594"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188F74">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年末结转和结余</w:t>
            </w:r>
          </w:p>
        </w:tc>
      </w:tr>
      <w:tr w14:paraId="206037DF">
        <w:tblPrEx>
          <w:tblCellMar>
            <w:top w:w="0" w:type="dxa"/>
            <w:left w:w="0" w:type="dxa"/>
            <w:bottom w:w="0" w:type="dxa"/>
            <w:right w:w="0" w:type="dxa"/>
          </w:tblCellMar>
        </w:tblPrEx>
        <w:trPr>
          <w:trHeight w:val="335" w:hRule="atLeast"/>
        </w:trPr>
        <w:tc>
          <w:tcPr>
            <w:tcW w:w="6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E58F49">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1003" w:type="pct"/>
            <w:vMerge w:val="restart"/>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A817768">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项目（按“项”级功能分类科目）</w:t>
            </w: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451B61E">
            <w:pPr>
              <w:jc w:val="center"/>
              <w:rPr>
                <w:rFonts w:hint="eastAsia" w:ascii="宋体" w:hAnsi="宋体" w:eastAsia="宋体" w:cs="宋体"/>
                <w:b/>
                <w:i w:val="0"/>
                <w:color w:val="000000"/>
                <w:sz w:val="22"/>
                <w:szCs w:val="22"/>
                <w:u w:val="none"/>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828952D">
            <w:pPr>
              <w:jc w:val="center"/>
              <w:rPr>
                <w:rFonts w:hint="eastAsia" w:ascii="宋体" w:hAnsi="宋体" w:eastAsia="宋体" w:cs="宋体"/>
                <w:b/>
                <w:i w:val="0"/>
                <w:color w:val="000000"/>
                <w:sz w:val="22"/>
                <w:szCs w:val="22"/>
                <w:u w:val="none"/>
              </w:rPr>
            </w:pP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50C1A7D">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55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5F29E3D">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基本支出</w:t>
            </w:r>
          </w:p>
        </w:tc>
        <w:tc>
          <w:tcPr>
            <w:tcW w:w="57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648CD829">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项目支出</w:t>
            </w:r>
          </w:p>
        </w:tc>
        <w:tc>
          <w:tcPr>
            <w:tcW w:w="59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BD0C029">
            <w:pPr>
              <w:jc w:val="center"/>
              <w:rPr>
                <w:rFonts w:hint="eastAsia" w:ascii="宋体" w:hAnsi="宋体" w:eastAsia="宋体" w:cs="宋体"/>
                <w:b/>
                <w:i w:val="0"/>
                <w:color w:val="000000"/>
                <w:sz w:val="22"/>
                <w:szCs w:val="22"/>
                <w:u w:val="none"/>
              </w:rPr>
            </w:pPr>
          </w:p>
        </w:tc>
      </w:tr>
      <w:tr w14:paraId="46F341C0">
        <w:tblPrEx>
          <w:shd w:val="clear" w:color="auto" w:fill="auto"/>
          <w:tblCellMar>
            <w:top w:w="0" w:type="dxa"/>
            <w:left w:w="0" w:type="dxa"/>
            <w:bottom w:w="0" w:type="dxa"/>
            <w:right w:w="0" w:type="dxa"/>
          </w:tblCellMar>
        </w:tblPrEx>
        <w:trPr>
          <w:trHeight w:val="33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9A6444F">
            <w:pPr>
              <w:jc w:val="center"/>
              <w:rPr>
                <w:rFonts w:hint="eastAsia" w:ascii="宋体" w:hAnsi="宋体" w:eastAsia="宋体" w:cs="宋体"/>
                <w:b/>
                <w:i w:val="0"/>
                <w:color w:val="000000"/>
                <w:sz w:val="22"/>
                <w:szCs w:val="22"/>
                <w:u w:val="none"/>
              </w:rPr>
            </w:pPr>
          </w:p>
        </w:tc>
        <w:tc>
          <w:tcPr>
            <w:tcW w:w="10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BD5B5E7">
            <w:pPr>
              <w:jc w:val="center"/>
              <w:rPr>
                <w:rFonts w:hint="eastAsia" w:ascii="宋体" w:hAnsi="宋体" w:eastAsia="宋体" w:cs="宋体"/>
                <w:b/>
                <w:i w:val="0"/>
                <w:color w:val="000000"/>
                <w:sz w:val="22"/>
                <w:szCs w:val="22"/>
                <w:u w:val="none"/>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51BE40F">
            <w:pPr>
              <w:jc w:val="center"/>
              <w:rPr>
                <w:rFonts w:hint="eastAsia" w:ascii="宋体" w:hAnsi="宋体" w:eastAsia="宋体" w:cs="宋体"/>
                <w:b/>
                <w:i w:val="0"/>
                <w:color w:val="000000"/>
                <w:sz w:val="22"/>
                <w:szCs w:val="22"/>
                <w:u w:val="none"/>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0113AD5">
            <w:pPr>
              <w:jc w:val="center"/>
              <w:rPr>
                <w:rFonts w:hint="eastAsia" w:ascii="宋体" w:hAnsi="宋体" w:eastAsia="宋体" w:cs="宋体"/>
                <w:b/>
                <w:i w:val="0"/>
                <w:color w:val="000000"/>
                <w:sz w:val="22"/>
                <w:szCs w:val="22"/>
                <w:u w:val="none"/>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CEA6F10">
            <w:pPr>
              <w:jc w:val="center"/>
              <w:rPr>
                <w:rFonts w:hint="eastAsia" w:ascii="宋体" w:hAnsi="宋体" w:eastAsia="宋体" w:cs="宋体"/>
                <w:b/>
                <w:i w:val="0"/>
                <w:color w:val="000000"/>
                <w:sz w:val="22"/>
                <w:szCs w:val="22"/>
                <w:u w:val="none"/>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890C6AD">
            <w:pPr>
              <w:jc w:val="center"/>
              <w:rPr>
                <w:rFonts w:hint="eastAsia" w:ascii="宋体" w:hAnsi="宋体" w:eastAsia="宋体" w:cs="宋体"/>
                <w:b/>
                <w:i w:val="0"/>
                <w:color w:val="000000"/>
                <w:sz w:val="22"/>
                <w:szCs w:val="22"/>
                <w:u w:val="none"/>
              </w:rPr>
            </w:pPr>
          </w:p>
        </w:tc>
        <w:tc>
          <w:tcPr>
            <w:tcW w:w="57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A6BCEA3">
            <w:pPr>
              <w:jc w:val="center"/>
              <w:rPr>
                <w:rFonts w:hint="eastAsia" w:ascii="宋体" w:hAnsi="宋体" w:eastAsia="宋体" w:cs="宋体"/>
                <w:b/>
                <w:i w:val="0"/>
                <w:color w:val="000000"/>
                <w:sz w:val="22"/>
                <w:szCs w:val="22"/>
                <w:u w:val="none"/>
              </w:rPr>
            </w:pPr>
          </w:p>
        </w:tc>
        <w:tc>
          <w:tcPr>
            <w:tcW w:w="59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5DB06A8E">
            <w:pPr>
              <w:jc w:val="center"/>
              <w:rPr>
                <w:rFonts w:hint="eastAsia" w:ascii="宋体" w:hAnsi="宋体" w:eastAsia="宋体" w:cs="宋体"/>
                <w:b/>
                <w:i w:val="0"/>
                <w:color w:val="000000"/>
                <w:sz w:val="22"/>
                <w:szCs w:val="22"/>
                <w:u w:val="none"/>
              </w:rPr>
            </w:pPr>
          </w:p>
        </w:tc>
      </w:tr>
      <w:tr w14:paraId="1B8ABA8F">
        <w:tblPrEx>
          <w:shd w:val="clear" w:color="auto" w:fill="auto"/>
          <w:tblCellMar>
            <w:top w:w="0" w:type="dxa"/>
            <w:left w:w="0" w:type="dxa"/>
            <w:bottom w:w="0" w:type="dxa"/>
            <w:right w:w="0" w:type="dxa"/>
          </w:tblCellMar>
        </w:tblPrEx>
        <w:trPr>
          <w:trHeight w:val="645" w:hRule="atLeast"/>
        </w:trPr>
        <w:tc>
          <w:tcPr>
            <w:tcW w:w="6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334DC51">
            <w:pPr>
              <w:jc w:val="center"/>
              <w:rPr>
                <w:rFonts w:hint="eastAsia" w:ascii="宋体" w:hAnsi="宋体" w:eastAsia="宋体" w:cs="宋体"/>
                <w:b/>
                <w:i w:val="0"/>
                <w:color w:val="000000"/>
                <w:sz w:val="22"/>
                <w:szCs w:val="22"/>
                <w:u w:val="none"/>
              </w:rPr>
            </w:pPr>
          </w:p>
        </w:tc>
        <w:tc>
          <w:tcPr>
            <w:tcW w:w="1003"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60F9841">
            <w:pPr>
              <w:jc w:val="center"/>
              <w:rPr>
                <w:rFonts w:hint="eastAsia" w:ascii="宋体" w:hAnsi="宋体" w:eastAsia="宋体" w:cs="宋体"/>
                <w:b/>
                <w:i w:val="0"/>
                <w:color w:val="000000"/>
                <w:sz w:val="22"/>
                <w:szCs w:val="22"/>
                <w:u w:val="none"/>
              </w:rPr>
            </w:pPr>
          </w:p>
        </w:tc>
        <w:tc>
          <w:tcPr>
            <w:tcW w:w="555" w:type="pct"/>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6E25360">
            <w:pPr>
              <w:jc w:val="center"/>
              <w:rPr>
                <w:rFonts w:hint="eastAsia" w:ascii="宋体" w:hAnsi="宋体" w:eastAsia="宋体" w:cs="宋体"/>
                <w:b/>
                <w:i w:val="0"/>
                <w:color w:val="000000"/>
                <w:sz w:val="22"/>
                <w:szCs w:val="22"/>
                <w:u w:val="none"/>
              </w:rPr>
            </w:pPr>
          </w:p>
        </w:tc>
        <w:tc>
          <w:tcPr>
            <w:tcW w:w="555"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6112222">
            <w:pPr>
              <w:jc w:val="center"/>
              <w:rPr>
                <w:rFonts w:hint="eastAsia" w:ascii="宋体" w:hAnsi="宋体" w:eastAsia="宋体" w:cs="宋体"/>
                <w:b/>
                <w:i w:val="0"/>
                <w:color w:val="000000"/>
                <w:sz w:val="22"/>
                <w:szCs w:val="22"/>
                <w:u w:val="none"/>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26920B7">
            <w:pPr>
              <w:jc w:val="center"/>
              <w:rPr>
                <w:rFonts w:hint="eastAsia" w:ascii="宋体" w:hAnsi="宋体" w:eastAsia="宋体" w:cs="宋体"/>
                <w:b/>
                <w:i w:val="0"/>
                <w:color w:val="000000"/>
                <w:sz w:val="22"/>
                <w:szCs w:val="22"/>
                <w:u w:val="none"/>
              </w:rPr>
            </w:pPr>
          </w:p>
        </w:tc>
        <w:tc>
          <w:tcPr>
            <w:tcW w:w="55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38F7BEF7">
            <w:pPr>
              <w:jc w:val="center"/>
              <w:rPr>
                <w:rFonts w:hint="eastAsia" w:ascii="宋体" w:hAnsi="宋体" w:eastAsia="宋体" w:cs="宋体"/>
                <w:b/>
                <w:i w:val="0"/>
                <w:color w:val="000000"/>
                <w:sz w:val="22"/>
                <w:szCs w:val="22"/>
                <w:u w:val="none"/>
              </w:rPr>
            </w:pPr>
          </w:p>
        </w:tc>
        <w:tc>
          <w:tcPr>
            <w:tcW w:w="57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3EA7644">
            <w:pPr>
              <w:jc w:val="center"/>
              <w:rPr>
                <w:rFonts w:hint="eastAsia" w:ascii="宋体" w:hAnsi="宋体" w:eastAsia="宋体" w:cs="宋体"/>
                <w:b/>
                <w:i w:val="0"/>
                <w:color w:val="000000"/>
                <w:sz w:val="22"/>
                <w:szCs w:val="22"/>
                <w:u w:val="none"/>
              </w:rPr>
            </w:pPr>
          </w:p>
        </w:tc>
        <w:tc>
          <w:tcPr>
            <w:tcW w:w="594" w:type="pct"/>
            <w:vMerge w:val="continue"/>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7C3C07B">
            <w:pPr>
              <w:jc w:val="center"/>
              <w:rPr>
                <w:rFonts w:hint="eastAsia" w:ascii="宋体" w:hAnsi="宋体" w:eastAsia="宋体" w:cs="宋体"/>
                <w:b/>
                <w:i w:val="0"/>
                <w:color w:val="000000"/>
                <w:sz w:val="22"/>
                <w:szCs w:val="22"/>
                <w:u w:val="none"/>
              </w:rPr>
            </w:pPr>
          </w:p>
        </w:tc>
      </w:tr>
      <w:tr w14:paraId="516D05EA">
        <w:tblPrEx>
          <w:tblCellMar>
            <w:top w:w="0" w:type="dxa"/>
            <w:left w:w="0" w:type="dxa"/>
            <w:bottom w:w="0" w:type="dxa"/>
            <w:right w:w="0" w:type="dxa"/>
          </w:tblCellMar>
        </w:tblPrEx>
        <w:trPr>
          <w:trHeight w:val="339" w:hRule="atLeast"/>
        </w:trPr>
        <w:tc>
          <w:tcPr>
            <w:tcW w:w="1607" w:type="pct"/>
            <w:gridSpan w:val="2"/>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46B275E">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7FF97F0">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7D349F1">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EBBF0ED">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55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A726BB8">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57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AD5EC50">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594"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702737E">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bl>
    <w:p w14:paraId="54A834B7">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备注：本表反映单位本年度政府性基金预算财政拨款收入支出及结转和结余情况。本单位无政府性基金收支，故本表无数据。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14:paraId="0E1CA80A">
      <w:pPr>
        <w:rPr>
          <w:rFonts w:hint="eastAsia" w:ascii="宋体" w:hAnsi="宋体" w:eastAsia="宋体" w:cs="宋体"/>
          <w:sz w:val="21"/>
          <w:szCs w:val="21"/>
        </w:rPr>
      </w:pPr>
      <w:r>
        <w:rPr>
          <w:rFonts w:hint="eastAsia" w:ascii="宋体" w:hAnsi="宋体" w:eastAsia="宋体" w:cs="宋体"/>
          <w:sz w:val="21"/>
          <w:szCs w:val="21"/>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2436"/>
        <w:gridCol w:w="3954"/>
        <w:gridCol w:w="2793"/>
        <w:gridCol w:w="3271"/>
        <w:gridCol w:w="2923"/>
      </w:tblGrid>
      <w:tr w14:paraId="424B16FA">
        <w:tblPrEx>
          <w:tblCellMar>
            <w:top w:w="0" w:type="dxa"/>
            <w:left w:w="0" w:type="dxa"/>
            <w:bottom w:w="0" w:type="dxa"/>
            <w:right w:w="0" w:type="dxa"/>
          </w:tblCellMar>
        </w:tblPrEx>
        <w:trPr>
          <w:trHeight w:val="65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2BFEEF13">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方正黑体_GBK" w:hAnsi="方正黑体_GBK" w:eastAsia="方正黑体_GBK" w:cs="方正黑体_GBK"/>
                <w:b w:val="0"/>
                <w:bCs w:val="0"/>
                <w:sz w:val="32"/>
                <w:szCs w:val="32"/>
                <w:lang w:val="en-US" w:eastAsia="zh-CN"/>
              </w:rPr>
            </w:pPr>
            <w:r>
              <w:rPr>
                <w:rFonts w:hint="eastAsia" w:ascii="方正黑体_GBK" w:hAnsi="方正黑体_GBK" w:eastAsia="方正黑体_GBK" w:cs="方正黑体_GBK"/>
                <w:b w:val="0"/>
                <w:bCs w:val="0"/>
                <w:sz w:val="32"/>
                <w:szCs w:val="32"/>
                <w:lang w:val="en-US" w:eastAsia="zh-CN"/>
              </w:rPr>
              <w:t>附件8</w:t>
            </w:r>
          </w:p>
          <w:p w14:paraId="229CA403">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国有资本经营预算财政拨款支出决算表</w:t>
            </w:r>
          </w:p>
        </w:tc>
      </w:tr>
      <w:tr w14:paraId="54E0BEF6">
        <w:tblPrEx>
          <w:shd w:val="clear" w:color="auto" w:fill="auto"/>
          <w:tblCellMar>
            <w:top w:w="0" w:type="dxa"/>
            <w:left w:w="0" w:type="dxa"/>
            <w:bottom w:w="0" w:type="dxa"/>
            <w:right w:w="0" w:type="dxa"/>
          </w:tblCellMar>
        </w:tblPrEx>
        <w:trPr>
          <w:trHeight w:val="332" w:hRule="atLeast"/>
        </w:trPr>
        <w:tc>
          <w:tcPr>
            <w:tcW w:w="1608" w:type="pct"/>
            <w:gridSpan w:val="2"/>
            <w:vMerge w:val="restart"/>
            <w:tcBorders>
              <w:top w:val="nil"/>
              <w:left w:val="nil"/>
              <w:right w:val="nil"/>
            </w:tcBorders>
            <w:shd w:val="clear" w:color="auto" w:fill="auto"/>
            <w:noWrap/>
            <w:tcMar>
              <w:top w:w="15" w:type="dxa"/>
              <w:left w:w="15" w:type="dxa"/>
              <w:right w:w="15" w:type="dxa"/>
            </w:tcMar>
            <w:vAlign w:val="bottom"/>
          </w:tcPr>
          <w:p w14:paraId="3C5BFB9A">
            <w:pPr>
              <w:rPr>
                <w:rFonts w:hint="default" w:ascii="Arial" w:hAnsi="Arial" w:eastAsia="宋体" w:cs="Arial"/>
                <w:i w:val="0"/>
                <w:color w:val="000000"/>
                <w:sz w:val="20"/>
                <w:szCs w:val="20"/>
                <w:u w:val="none"/>
              </w:rPr>
            </w:pPr>
            <w:r>
              <w:rPr>
                <w:rFonts w:hint="eastAsia" w:asciiTheme="minorEastAsia" w:hAnsiTheme="minorEastAsia" w:eastAsiaTheme="minorEastAsia" w:cstheme="minorEastAsia"/>
                <w:sz w:val="24"/>
                <w:szCs w:val="24"/>
                <w:lang w:eastAsia="zh-CN"/>
              </w:rPr>
              <w:t>公开单位</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重庆市潼南区田家镇劳动就业和社会保障服务所</w:t>
            </w:r>
          </w:p>
        </w:tc>
        <w:tc>
          <w:tcPr>
            <w:tcW w:w="1065" w:type="pct"/>
            <w:tcBorders>
              <w:top w:val="nil"/>
              <w:left w:val="nil"/>
              <w:bottom w:val="nil"/>
              <w:right w:val="nil"/>
            </w:tcBorders>
            <w:shd w:val="clear" w:color="auto" w:fill="auto"/>
            <w:noWrap/>
            <w:tcMar>
              <w:top w:w="15" w:type="dxa"/>
              <w:left w:w="15" w:type="dxa"/>
              <w:right w:w="15" w:type="dxa"/>
            </w:tcMar>
            <w:vAlign w:val="bottom"/>
          </w:tcPr>
          <w:p w14:paraId="3E62E8C2">
            <w:pPr>
              <w:rPr>
                <w:rFonts w:hint="default" w:ascii="Arial" w:hAnsi="Arial" w:eastAsia="宋体" w:cs="Arial"/>
                <w:i w:val="0"/>
                <w:color w:val="000000"/>
                <w:sz w:val="20"/>
                <w:szCs w:val="20"/>
                <w:u w:val="none"/>
              </w:rPr>
            </w:pPr>
          </w:p>
        </w:tc>
        <w:tc>
          <w:tcPr>
            <w:tcW w:w="1220" w:type="pct"/>
            <w:tcBorders>
              <w:top w:val="nil"/>
              <w:left w:val="nil"/>
              <w:bottom w:val="nil"/>
              <w:right w:val="nil"/>
            </w:tcBorders>
            <w:shd w:val="clear" w:color="auto" w:fill="auto"/>
            <w:noWrap/>
            <w:tcMar>
              <w:top w:w="15" w:type="dxa"/>
              <w:left w:w="15" w:type="dxa"/>
              <w:right w:w="15" w:type="dxa"/>
            </w:tcMar>
            <w:vAlign w:val="bottom"/>
          </w:tcPr>
          <w:p w14:paraId="46D30CBE">
            <w:pPr>
              <w:rPr>
                <w:rFonts w:hint="default" w:ascii="Arial" w:hAnsi="Arial" w:eastAsia="宋体" w:cs="Arial"/>
                <w:i w:val="0"/>
                <w:color w:val="000000"/>
                <w:sz w:val="20"/>
                <w:szCs w:val="20"/>
                <w:u w:val="none"/>
              </w:rPr>
            </w:pPr>
          </w:p>
        </w:tc>
        <w:tc>
          <w:tcPr>
            <w:tcW w:w="1105" w:type="pct"/>
            <w:tcBorders>
              <w:top w:val="nil"/>
              <w:left w:val="nil"/>
              <w:bottom w:val="nil"/>
              <w:right w:val="nil"/>
            </w:tcBorders>
            <w:shd w:val="clear" w:color="auto" w:fill="auto"/>
            <w:noWrap/>
            <w:tcMar>
              <w:top w:w="15" w:type="dxa"/>
              <w:left w:w="15" w:type="dxa"/>
              <w:right w:w="15" w:type="dxa"/>
            </w:tcMar>
            <w:vAlign w:val="bottom"/>
          </w:tcPr>
          <w:p w14:paraId="17A74B5D">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公开08表</w:t>
            </w:r>
          </w:p>
        </w:tc>
      </w:tr>
      <w:tr w14:paraId="11E78FBC">
        <w:tblPrEx>
          <w:shd w:val="clear" w:color="auto" w:fill="auto"/>
          <w:tblCellMar>
            <w:top w:w="0" w:type="dxa"/>
            <w:left w:w="0" w:type="dxa"/>
            <w:bottom w:w="0" w:type="dxa"/>
            <w:right w:w="0" w:type="dxa"/>
          </w:tblCellMar>
        </w:tblPrEx>
        <w:trPr>
          <w:trHeight w:val="332" w:hRule="atLeast"/>
        </w:trPr>
        <w:tc>
          <w:tcPr>
            <w:tcW w:w="1608" w:type="pct"/>
            <w:gridSpan w:val="2"/>
            <w:vMerge w:val="continue"/>
            <w:tcBorders>
              <w:left w:val="nil"/>
              <w:bottom w:val="nil"/>
              <w:right w:val="nil"/>
            </w:tcBorders>
            <w:shd w:val="clear" w:color="auto" w:fill="auto"/>
            <w:noWrap/>
            <w:tcMar>
              <w:top w:w="15" w:type="dxa"/>
              <w:left w:w="15" w:type="dxa"/>
              <w:right w:w="15" w:type="dxa"/>
            </w:tcMar>
            <w:vAlign w:val="bottom"/>
          </w:tcPr>
          <w:p w14:paraId="2341900D">
            <w:pPr>
              <w:rPr>
                <w:rFonts w:hint="default" w:ascii="Arial" w:hAnsi="Arial" w:eastAsia="宋体" w:cs="Arial"/>
                <w:i w:val="0"/>
                <w:color w:val="000000"/>
                <w:sz w:val="22"/>
                <w:szCs w:val="22"/>
                <w:u w:val="none"/>
              </w:rPr>
            </w:pPr>
          </w:p>
        </w:tc>
        <w:tc>
          <w:tcPr>
            <w:tcW w:w="1065" w:type="pct"/>
            <w:tcBorders>
              <w:top w:val="nil"/>
              <w:left w:val="nil"/>
              <w:bottom w:val="nil"/>
              <w:right w:val="nil"/>
            </w:tcBorders>
            <w:shd w:val="clear" w:color="auto" w:fill="auto"/>
            <w:noWrap/>
            <w:tcMar>
              <w:top w:w="15" w:type="dxa"/>
              <w:left w:w="15" w:type="dxa"/>
              <w:right w:w="15" w:type="dxa"/>
            </w:tcMar>
            <w:vAlign w:val="bottom"/>
          </w:tcPr>
          <w:p w14:paraId="2251AB05">
            <w:pPr>
              <w:rPr>
                <w:rFonts w:hint="default" w:ascii="Arial" w:hAnsi="Arial" w:eastAsia="宋体" w:cs="Arial"/>
                <w:i w:val="0"/>
                <w:color w:val="000000"/>
                <w:sz w:val="22"/>
                <w:szCs w:val="22"/>
                <w:u w:val="none"/>
              </w:rPr>
            </w:pPr>
          </w:p>
        </w:tc>
        <w:tc>
          <w:tcPr>
            <w:tcW w:w="1220" w:type="pct"/>
            <w:tcBorders>
              <w:top w:val="nil"/>
              <w:left w:val="nil"/>
              <w:bottom w:val="nil"/>
              <w:right w:val="nil"/>
            </w:tcBorders>
            <w:shd w:val="clear" w:color="auto" w:fill="auto"/>
            <w:noWrap/>
            <w:tcMar>
              <w:top w:w="15" w:type="dxa"/>
              <w:left w:w="15" w:type="dxa"/>
              <w:right w:w="15" w:type="dxa"/>
            </w:tcMar>
            <w:vAlign w:val="bottom"/>
          </w:tcPr>
          <w:p w14:paraId="6FFEB3D5">
            <w:pPr>
              <w:rPr>
                <w:rFonts w:hint="default" w:ascii="Arial" w:hAnsi="Arial" w:eastAsia="宋体" w:cs="Arial"/>
                <w:i w:val="0"/>
                <w:color w:val="000000"/>
                <w:sz w:val="22"/>
                <w:szCs w:val="22"/>
                <w:u w:val="none"/>
              </w:rPr>
            </w:pPr>
          </w:p>
        </w:tc>
        <w:tc>
          <w:tcPr>
            <w:tcW w:w="1105" w:type="pct"/>
            <w:tcBorders>
              <w:top w:val="nil"/>
              <w:left w:val="nil"/>
              <w:bottom w:val="nil"/>
              <w:right w:val="nil"/>
            </w:tcBorders>
            <w:shd w:val="clear" w:color="auto" w:fill="auto"/>
            <w:noWrap/>
            <w:tcMar>
              <w:top w:w="15" w:type="dxa"/>
              <w:left w:w="15" w:type="dxa"/>
              <w:right w:w="15" w:type="dxa"/>
            </w:tcMar>
            <w:vAlign w:val="bottom"/>
          </w:tcPr>
          <w:p w14:paraId="6947B9A2">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70DBC0AF">
        <w:tblPrEx>
          <w:shd w:val="clear" w:color="auto" w:fill="auto"/>
          <w:tblCellMar>
            <w:top w:w="0" w:type="dxa"/>
            <w:left w:w="0" w:type="dxa"/>
            <w:bottom w:w="0" w:type="dxa"/>
            <w:right w:w="0" w:type="dxa"/>
          </w:tblCellMar>
        </w:tblPrEx>
        <w:trPr>
          <w:trHeight w:val="422" w:hRule="atLeast"/>
        </w:trPr>
        <w:tc>
          <w:tcPr>
            <w:tcW w:w="1608" w:type="pct"/>
            <w:gridSpan w:val="2"/>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6BD1F34">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w:t>
            </w:r>
          </w:p>
        </w:tc>
        <w:tc>
          <w:tcPr>
            <w:tcW w:w="3391" w:type="pct"/>
            <w:gridSpan w:val="3"/>
            <w:tcBorders>
              <w:top w:val="single" w:color="000000" w:sz="4" w:space="0"/>
              <w:left w:val="single" w:color="000000" w:sz="4" w:space="0"/>
              <w:bottom w:val="single" w:color="000000" w:sz="4" w:space="0"/>
              <w:right w:val="single" w:color="000000" w:sz="4" w:space="0"/>
            </w:tcBorders>
            <w:shd w:val="clear" w:color="auto" w:fill="C0C0C0"/>
            <w:noWrap/>
            <w:tcMar>
              <w:top w:w="15" w:type="dxa"/>
              <w:left w:w="15" w:type="dxa"/>
              <w:right w:w="15" w:type="dxa"/>
            </w:tcMar>
            <w:vAlign w:val="bottom"/>
          </w:tcPr>
          <w:p w14:paraId="2D4783B8">
            <w:pPr>
              <w:keepNext w:val="0"/>
              <w:keepLines w:val="0"/>
              <w:widowControl/>
              <w:suppressLineNumbers w:val="0"/>
              <w:jc w:val="center"/>
              <w:textAlignment w:val="bottom"/>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本年支出</w:t>
            </w:r>
          </w:p>
        </w:tc>
      </w:tr>
      <w:tr w14:paraId="0E23F203">
        <w:tblPrEx>
          <w:shd w:val="clear" w:color="auto" w:fill="auto"/>
          <w:tblCellMar>
            <w:top w:w="0" w:type="dxa"/>
            <w:left w:w="0" w:type="dxa"/>
            <w:bottom w:w="0" w:type="dxa"/>
            <w:right w:w="0" w:type="dxa"/>
          </w:tblCellMar>
        </w:tblPrEx>
        <w:trPr>
          <w:trHeight w:val="339" w:hRule="atLeast"/>
        </w:trPr>
        <w:tc>
          <w:tcPr>
            <w:tcW w:w="613"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6094309D">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功能分类科目编码</w:t>
            </w:r>
          </w:p>
        </w:tc>
        <w:tc>
          <w:tcPr>
            <w:tcW w:w="994"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593B860">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科目名称</w:t>
            </w:r>
          </w:p>
        </w:tc>
        <w:tc>
          <w:tcPr>
            <w:tcW w:w="1065" w:type="pct"/>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4D7049CC">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1220"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792A6B7">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基本支出</w:t>
            </w:r>
          </w:p>
        </w:tc>
        <w:tc>
          <w:tcPr>
            <w:tcW w:w="1105" w:type="pct"/>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33AD061">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项目支出</w:t>
            </w:r>
          </w:p>
        </w:tc>
      </w:tr>
      <w:tr w14:paraId="17F0C783">
        <w:tblPrEx>
          <w:shd w:val="clear" w:color="auto" w:fill="auto"/>
          <w:tblCellMar>
            <w:top w:w="0" w:type="dxa"/>
            <w:left w:w="0" w:type="dxa"/>
            <w:bottom w:w="0" w:type="dxa"/>
            <w:right w:w="0" w:type="dxa"/>
          </w:tblCellMar>
        </w:tblPrEx>
        <w:trPr>
          <w:trHeight w:val="339" w:hRule="atLeast"/>
        </w:trPr>
        <w:tc>
          <w:tcPr>
            <w:tcW w:w="61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44B4B18">
            <w:pPr>
              <w:jc w:val="center"/>
              <w:rPr>
                <w:rFonts w:hint="eastAsia" w:ascii="宋体" w:hAnsi="宋体" w:eastAsia="宋体" w:cs="宋体"/>
                <w:b/>
                <w:i w:val="0"/>
                <w:color w:val="000000"/>
                <w:sz w:val="22"/>
                <w:szCs w:val="22"/>
                <w:u w:val="none"/>
              </w:rPr>
            </w:pPr>
          </w:p>
        </w:tc>
        <w:tc>
          <w:tcPr>
            <w:tcW w:w="99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809EC4A">
            <w:pPr>
              <w:jc w:val="center"/>
              <w:rPr>
                <w:rFonts w:hint="eastAsia" w:ascii="宋体" w:hAnsi="宋体" w:eastAsia="宋体" w:cs="宋体"/>
                <w:b/>
                <w:i w:val="0"/>
                <w:color w:val="000000"/>
                <w:sz w:val="22"/>
                <w:szCs w:val="22"/>
                <w:u w:val="none"/>
              </w:rPr>
            </w:pPr>
          </w:p>
        </w:tc>
        <w:tc>
          <w:tcPr>
            <w:tcW w:w="1065"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1A983D6">
            <w:pPr>
              <w:jc w:val="center"/>
              <w:rPr>
                <w:rFonts w:hint="eastAsia" w:ascii="宋体" w:hAnsi="宋体" w:eastAsia="宋体" w:cs="宋体"/>
                <w:b/>
                <w:i w:val="0"/>
                <w:color w:val="000000"/>
                <w:sz w:val="22"/>
                <w:szCs w:val="22"/>
                <w:u w:val="none"/>
              </w:rPr>
            </w:pPr>
          </w:p>
        </w:tc>
        <w:tc>
          <w:tcPr>
            <w:tcW w:w="122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C7CD377">
            <w:pPr>
              <w:jc w:val="center"/>
              <w:rPr>
                <w:rFonts w:hint="eastAsia" w:ascii="宋体" w:hAnsi="宋体" w:eastAsia="宋体" w:cs="宋体"/>
                <w:b/>
                <w:i w:val="0"/>
                <w:color w:val="000000"/>
                <w:sz w:val="22"/>
                <w:szCs w:val="22"/>
                <w:u w:val="none"/>
              </w:rPr>
            </w:pPr>
          </w:p>
        </w:tc>
        <w:tc>
          <w:tcPr>
            <w:tcW w:w="110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4951CF2">
            <w:pPr>
              <w:jc w:val="center"/>
              <w:rPr>
                <w:rFonts w:hint="eastAsia" w:ascii="宋体" w:hAnsi="宋体" w:eastAsia="宋体" w:cs="宋体"/>
                <w:b/>
                <w:i w:val="0"/>
                <w:color w:val="000000"/>
                <w:sz w:val="22"/>
                <w:szCs w:val="22"/>
                <w:u w:val="none"/>
              </w:rPr>
            </w:pPr>
          </w:p>
        </w:tc>
      </w:tr>
      <w:tr w14:paraId="297FF170">
        <w:tblPrEx>
          <w:shd w:val="clear" w:color="auto" w:fill="auto"/>
          <w:tblCellMar>
            <w:top w:w="0" w:type="dxa"/>
            <w:left w:w="0" w:type="dxa"/>
            <w:bottom w:w="0" w:type="dxa"/>
            <w:right w:w="0" w:type="dxa"/>
          </w:tblCellMar>
        </w:tblPrEx>
        <w:trPr>
          <w:trHeight w:val="339" w:hRule="atLeast"/>
        </w:trPr>
        <w:tc>
          <w:tcPr>
            <w:tcW w:w="61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B6A5B17">
            <w:pPr>
              <w:jc w:val="center"/>
              <w:rPr>
                <w:rFonts w:hint="eastAsia" w:ascii="宋体" w:hAnsi="宋体" w:eastAsia="宋体" w:cs="宋体"/>
                <w:b/>
                <w:i w:val="0"/>
                <w:color w:val="000000"/>
                <w:sz w:val="22"/>
                <w:szCs w:val="22"/>
                <w:u w:val="none"/>
              </w:rPr>
            </w:pPr>
          </w:p>
        </w:tc>
        <w:tc>
          <w:tcPr>
            <w:tcW w:w="99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C191FFB">
            <w:pPr>
              <w:jc w:val="center"/>
              <w:rPr>
                <w:rFonts w:hint="eastAsia" w:ascii="宋体" w:hAnsi="宋体" w:eastAsia="宋体" w:cs="宋体"/>
                <w:b/>
                <w:i w:val="0"/>
                <w:color w:val="000000"/>
                <w:sz w:val="22"/>
                <w:szCs w:val="22"/>
                <w:u w:val="none"/>
              </w:rPr>
            </w:pPr>
          </w:p>
        </w:tc>
        <w:tc>
          <w:tcPr>
            <w:tcW w:w="1065"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18A5B9C1">
            <w:pPr>
              <w:jc w:val="center"/>
              <w:rPr>
                <w:rFonts w:hint="eastAsia" w:ascii="宋体" w:hAnsi="宋体" w:eastAsia="宋体" w:cs="宋体"/>
                <w:b/>
                <w:i w:val="0"/>
                <w:color w:val="000000"/>
                <w:sz w:val="22"/>
                <w:szCs w:val="22"/>
                <w:u w:val="none"/>
              </w:rPr>
            </w:pPr>
          </w:p>
        </w:tc>
        <w:tc>
          <w:tcPr>
            <w:tcW w:w="122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83C2AD8">
            <w:pPr>
              <w:jc w:val="center"/>
              <w:rPr>
                <w:rFonts w:hint="eastAsia" w:ascii="宋体" w:hAnsi="宋体" w:eastAsia="宋体" w:cs="宋体"/>
                <w:b/>
                <w:i w:val="0"/>
                <w:color w:val="000000"/>
                <w:sz w:val="22"/>
                <w:szCs w:val="22"/>
                <w:u w:val="none"/>
              </w:rPr>
            </w:pPr>
          </w:p>
        </w:tc>
        <w:tc>
          <w:tcPr>
            <w:tcW w:w="110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1421C66">
            <w:pPr>
              <w:jc w:val="center"/>
              <w:rPr>
                <w:rFonts w:hint="eastAsia" w:ascii="宋体" w:hAnsi="宋体" w:eastAsia="宋体" w:cs="宋体"/>
                <w:b/>
                <w:i w:val="0"/>
                <w:color w:val="000000"/>
                <w:sz w:val="22"/>
                <w:szCs w:val="22"/>
                <w:u w:val="none"/>
              </w:rPr>
            </w:pPr>
          </w:p>
        </w:tc>
      </w:tr>
      <w:tr w14:paraId="068F1966">
        <w:tblPrEx>
          <w:shd w:val="clear" w:color="auto" w:fill="auto"/>
          <w:tblCellMar>
            <w:top w:w="0" w:type="dxa"/>
            <w:left w:w="0" w:type="dxa"/>
            <w:bottom w:w="0" w:type="dxa"/>
            <w:right w:w="0" w:type="dxa"/>
          </w:tblCellMar>
        </w:tblPrEx>
        <w:trPr>
          <w:trHeight w:val="312" w:hRule="atLeast"/>
        </w:trPr>
        <w:tc>
          <w:tcPr>
            <w:tcW w:w="613"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072AF209">
            <w:pPr>
              <w:jc w:val="center"/>
              <w:rPr>
                <w:rFonts w:hint="eastAsia" w:ascii="宋体" w:hAnsi="宋体" w:eastAsia="宋体" w:cs="宋体"/>
                <w:b/>
                <w:i w:val="0"/>
                <w:color w:val="000000"/>
                <w:sz w:val="22"/>
                <w:szCs w:val="22"/>
                <w:u w:val="none"/>
              </w:rPr>
            </w:pPr>
          </w:p>
        </w:tc>
        <w:tc>
          <w:tcPr>
            <w:tcW w:w="994"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7F715862">
            <w:pPr>
              <w:jc w:val="center"/>
              <w:rPr>
                <w:rFonts w:hint="eastAsia" w:ascii="宋体" w:hAnsi="宋体" w:eastAsia="宋体" w:cs="宋体"/>
                <w:b/>
                <w:i w:val="0"/>
                <w:color w:val="000000"/>
                <w:sz w:val="22"/>
                <w:szCs w:val="22"/>
                <w:u w:val="none"/>
              </w:rPr>
            </w:pPr>
          </w:p>
        </w:tc>
        <w:tc>
          <w:tcPr>
            <w:tcW w:w="1065" w:type="pct"/>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9C7C98D">
            <w:pPr>
              <w:jc w:val="center"/>
              <w:rPr>
                <w:rFonts w:hint="eastAsia" w:ascii="宋体" w:hAnsi="宋体" w:eastAsia="宋体" w:cs="宋体"/>
                <w:b/>
                <w:i w:val="0"/>
                <w:color w:val="000000"/>
                <w:sz w:val="22"/>
                <w:szCs w:val="22"/>
                <w:u w:val="none"/>
              </w:rPr>
            </w:pPr>
          </w:p>
        </w:tc>
        <w:tc>
          <w:tcPr>
            <w:tcW w:w="1220"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160CF3F0">
            <w:pPr>
              <w:jc w:val="center"/>
              <w:rPr>
                <w:rFonts w:hint="eastAsia" w:ascii="宋体" w:hAnsi="宋体" w:eastAsia="宋体" w:cs="宋体"/>
                <w:b/>
                <w:i w:val="0"/>
                <w:color w:val="000000"/>
                <w:sz w:val="22"/>
                <w:szCs w:val="22"/>
                <w:u w:val="none"/>
              </w:rPr>
            </w:pPr>
          </w:p>
        </w:tc>
        <w:tc>
          <w:tcPr>
            <w:tcW w:w="1105" w:type="pct"/>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AB47ED7">
            <w:pPr>
              <w:jc w:val="center"/>
              <w:rPr>
                <w:rFonts w:hint="eastAsia" w:ascii="宋体" w:hAnsi="宋体" w:eastAsia="宋体" w:cs="宋体"/>
                <w:b/>
                <w:i w:val="0"/>
                <w:color w:val="000000"/>
                <w:sz w:val="22"/>
                <w:szCs w:val="22"/>
                <w:u w:val="none"/>
              </w:rPr>
            </w:pPr>
          </w:p>
        </w:tc>
      </w:tr>
      <w:tr w14:paraId="0F0AA8FA">
        <w:tblPrEx>
          <w:tblCellMar>
            <w:top w:w="0" w:type="dxa"/>
            <w:left w:w="0" w:type="dxa"/>
            <w:bottom w:w="0" w:type="dxa"/>
            <w:right w:w="0" w:type="dxa"/>
          </w:tblCellMar>
        </w:tblPrEx>
        <w:trPr>
          <w:trHeight w:val="611" w:hRule="atLeast"/>
        </w:trPr>
        <w:tc>
          <w:tcPr>
            <w:tcW w:w="1608" w:type="pct"/>
            <w:gridSpan w:val="2"/>
            <w:tcBorders>
              <w:top w:val="single" w:color="000000" w:sz="4" w:space="0"/>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2C3B51FE">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合计</w:t>
            </w:r>
          </w:p>
        </w:tc>
        <w:tc>
          <w:tcPr>
            <w:tcW w:w="106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15948FA">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c>
          <w:tcPr>
            <w:tcW w:w="1220"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866DE9D">
            <w:pPr>
              <w:jc w:val="right"/>
              <w:rPr>
                <w:rFonts w:hint="eastAsia" w:ascii="宋体" w:hAnsi="宋体" w:eastAsia="宋体" w:cs="宋体"/>
                <w:b/>
                <w:i w:val="0"/>
                <w:color w:val="000000"/>
                <w:sz w:val="22"/>
                <w:szCs w:val="22"/>
                <w:u w:val="none"/>
              </w:rPr>
            </w:pPr>
          </w:p>
        </w:tc>
        <w:tc>
          <w:tcPr>
            <w:tcW w:w="1105"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119BC3A">
            <w:pPr>
              <w:wordWrap w:val="0"/>
              <w:jc w:val="right"/>
              <w:textAlignment w:val="center"/>
              <w:rPr>
                <w:rFonts w:hint="eastAsia" w:ascii="宋体" w:hAnsi="宋体" w:eastAsia="宋体" w:cs="宋体"/>
                <w:b/>
                <w:i w:val="0"/>
                <w:color w:val="000000"/>
                <w:sz w:val="22"/>
                <w:szCs w:val="22"/>
                <w:u w:val="none"/>
                <w:lang w:val="en-US" w:eastAsia="zh-CN"/>
              </w:rPr>
            </w:pPr>
            <w:r>
              <w:rPr>
                <w:rFonts w:hint="eastAsia" w:cs="宋体"/>
                <w:b/>
                <w:bCs/>
                <w:color w:val="000000"/>
                <w:sz w:val="21"/>
                <w:szCs w:val="21"/>
                <w:lang w:val="en-US" w:eastAsia="zh-CN" w:bidi="ar"/>
              </w:rPr>
              <w:t xml:space="preserve"> </w:t>
            </w:r>
          </w:p>
        </w:tc>
      </w:tr>
    </w:tbl>
    <w:p w14:paraId="6675B73C">
      <w:pPr>
        <w:rPr>
          <w:rFonts w:hint="eastAsia" w:ascii="宋体" w:hAnsi="宋体" w:eastAsia="宋体" w:cs="宋体"/>
          <w:b w:val="0"/>
          <w:bCs w:val="0"/>
          <w:i w:val="0"/>
          <w:iCs w:val="0"/>
          <w:color w:val="auto"/>
          <w:kern w:val="0"/>
          <w:sz w:val="21"/>
          <w:szCs w:val="21"/>
          <w:u w:val="none"/>
          <w:shd w:val="clear" w:color="auto" w:fill="auto"/>
          <w:lang w:val="en-US" w:eastAsia="zh-CN" w:bidi="ar"/>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备注：本表反映单位本年度国有资本经营预算财政拨款支出情况。本单位无国有资本经营收支，故本表无数据。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14:paraId="50BD728B">
      <w:pPr>
        <w:numPr>
          <w:ilvl w:val="0"/>
          <w:numId w:val="0"/>
        </w:numPr>
        <w:rPr>
          <w:rFonts w:hint="eastAsia" w:ascii="宋体" w:hAnsi="宋体" w:eastAsia="宋体" w:cs="宋体"/>
          <w:sz w:val="21"/>
          <w:szCs w:val="21"/>
        </w:rPr>
      </w:pPr>
      <w:r>
        <w:rPr>
          <w:rFonts w:hint="eastAsia" w:ascii="宋体" w:hAnsi="宋体" w:eastAsia="宋体" w:cs="宋体"/>
          <w:sz w:val="21"/>
          <w:szCs w:val="21"/>
        </w:rPr>
        <w:br w:type="page"/>
      </w:r>
    </w:p>
    <w:tbl>
      <w:tblPr>
        <w:tblStyle w:val="6"/>
        <w:tblW w:w="5000" w:type="pct"/>
        <w:tblInd w:w="0" w:type="dxa"/>
        <w:shd w:val="clear" w:color="auto" w:fill="auto"/>
        <w:tblLayout w:type="autofit"/>
        <w:tblCellMar>
          <w:top w:w="0" w:type="dxa"/>
          <w:left w:w="0" w:type="dxa"/>
          <w:bottom w:w="0" w:type="dxa"/>
          <w:right w:w="0" w:type="dxa"/>
        </w:tblCellMar>
      </w:tblPr>
      <w:tblGrid>
        <w:gridCol w:w="6390"/>
        <w:gridCol w:w="1522"/>
        <w:gridCol w:w="1145"/>
        <w:gridCol w:w="5090"/>
        <w:gridCol w:w="1230"/>
      </w:tblGrid>
      <w:tr w14:paraId="1452203A">
        <w:tblPrEx>
          <w:shd w:val="clear" w:color="auto" w:fill="auto"/>
          <w:tblCellMar>
            <w:top w:w="0" w:type="dxa"/>
            <w:left w:w="0" w:type="dxa"/>
            <w:bottom w:w="0" w:type="dxa"/>
            <w:right w:w="0" w:type="dxa"/>
          </w:tblCellMar>
        </w:tblPrEx>
        <w:trPr>
          <w:trHeight w:val="510" w:hRule="atLeast"/>
        </w:trPr>
        <w:tc>
          <w:tcPr>
            <w:tcW w:w="5000" w:type="pct"/>
            <w:gridSpan w:val="5"/>
            <w:tcBorders>
              <w:top w:val="nil"/>
              <w:left w:val="nil"/>
              <w:bottom w:val="nil"/>
              <w:right w:val="nil"/>
            </w:tcBorders>
            <w:shd w:val="clear" w:color="auto" w:fill="auto"/>
            <w:noWrap/>
            <w:tcMar>
              <w:top w:w="15" w:type="dxa"/>
              <w:left w:w="15" w:type="dxa"/>
              <w:right w:w="15" w:type="dxa"/>
            </w:tcMar>
            <w:vAlign w:val="bottom"/>
          </w:tcPr>
          <w:p w14:paraId="32430286">
            <w:pPr>
              <w:keepNext w:val="0"/>
              <w:keepLines w:val="0"/>
              <w:pageBreakBefore w:val="0"/>
              <w:widowControl/>
              <w:kinsoku/>
              <w:overflowPunct/>
              <w:topLinePunct w:val="0"/>
              <w:autoSpaceDN/>
              <w:bidi w:val="0"/>
              <w:adjustRightInd/>
              <w:spacing w:beforeAutospacing="0" w:afterAutospacing="0" w:line="600" w:lineRule="exact"/>
              <w:ind w:left="0" w:leftChars="0"/>
              <w:rPr>
                <w:rFonts w:hint="eastAsia" w:ascii="宋体" w:hAnsi="宋体" w:eastAsia="宋体" w:cs="宋体"/>
                <w:b/>
                <w:i w:val="0"/>
                <w:color w:val="000000"/>
                <w:kern w:val="0"/>
                <w:sz w:val="44"/>
                <w:szCs w:val="44"/>
                <w:u w:val="none"/>
                <w:lang w:val="en-US" w:eastAsia="zh-CN" w:bidi="ar"/>
              </w:rPr>
            </w:pPr>
            <w:r>
              <w:rPr>
                <w:rFonts w:hint="eastAsia" w:ascii="方正黑体_GBK" w:hAnsi="方正黑体_GBK" w:eastAsia="方正黑体_GBK" w:cs="方正黑体_GBK"/>
                <w:b w:val="0"/>
                <w:bCs w:val="0"/>
                <w:sz w:val="32"/>
                <w:szCs w:val="32"/>
                <w:lang w:val="en-US" w:eastAsia="zh-CN"/>
              </w:rPr>
              <w:t>附件9</w:t>
            </w:r>
          </w:p>
          <w:p w14:paraId="65A4E38A">
            <w:pPr>
              <w:keepNext w:val="0"/>
              <w:keepLines w:val="0"/>
              <w:widowControl/>
              <w:suppressLineNumbers w:val="0"/>
              <w:jc w:val="center"/>
              <w:textAlignment w:val="bottom"/>
              <w:rPr>
                <w:rFonts w:hint="eastAsia" w:ascii="宋体" w:hAnsi="宋体" w:eastAsia="宋体" w:cs="宋体"/>
                <w:b/>
                <w:i w:val="0"/>
                <w:color w:val="000000"/>
                <w:sz w:val="40"/>
                <w:szCs w:val="40"/>
                <w:u w:val="none"/>
              </w:rPr>
            </w:pPr>
            <w:r>
              <w:rPr>
                <w:rFonts w:hint="eastAsia" w:ascii="方正小标宋_GBK" w:hAnsi="方正小标宋_GBK" w:eastAsia="方正小标宋_GBK" w:cs="方正小标宋_GBK"/>
                <w:b w:val="0"/>
                <w:bCs w:val="0"/>
                <w:i w:val="0"/>
                <w:color w:val="000000"/>
                <w:kern w:val="0"/>
                <w:sz w:val="44"/>
                <w:szCs w:val="44"/>
                <w:u w:val="none"/>
                <w:lang w:val="en-US" w:eastAsia="zh-CN" w:bidi="ar"/>
              </w:rPr>
              <w:t>机构运行信息表</w:t>
            </w:r>
          </w:p>
        </w:tc>
      </w:tr>
      <w:tr w14:paraId="242E1E06">
        <w:tblPrEx>
          <w:tblCellMar>
            <w:top w:w="0" w:type="dxa"/>
            <w:left w:w="0" w:type="dxa"/>
            <w:bottom w:w="0" w:type="dxa"/>
            <w:right w:w="0" w:type="dxa"/>
          </w:tblCellMar>
        </w:tblPrEx>
        <w:trPr>
          <w:trHeight w:val="255" w:hRule="atLeast"/>
        </w:trPr>
        <w:tc>
          <w:tcPr>
            <w:tcW w:w="1163" w:type="pct"/>
            <w:tcBorders>
              <w:top w:val="nil"/>
              <w:left w:val="nil"/>
              <w:bottom w:val="nil"/>
              <w:right w:val="nil"/>
            </w:tcBorders>
            <w:shd w:val="clear" w:color="auto" w:fill="auto"/>
            <w:noWrap/>
            <w:tcMar>
              <w:top w:w="15" w:type="dxa"/>
              <w:left w:w="15" w:type="dxa"/>
              <w:right w:w="15" w:type="dxa"/>
            </w:tcMar>
            <w:vAlign w:val="bottom"/>
          </w:tcPr>
          <w:p w14:paraId="0E822130">
            <w:pPr>
              <w:rPr>
                <w:rFonts w:hint="default" w:ascii="Arial" w:hAnsi="Arial" w:eastAsia="宋体" w:cs="Arial"/>
                <w:i w:val="0"/>
                <w:color w:val="000000"/>
                <w:sz w:val="20"/>
                <w:szCs w:val="20"/>
                <w:u w:val="none"/>
              </w:rPr>
            </w:pPr>
          </w:p>
        </w:tc>
        <w:tc>
          <w:tcPr>
            <w:tcW w:w="862" w:type="pct"/>
            <w:tcBorders>
              <w:top w:val="nil"/>
              <w:left w:val="nil"/>
              <w:bottom w:val="nil"/>
              <w:right w:val="nil"/>
            </w:tcBorders>
            <w:shd w:val="clear" w:color="auto" w:fill="auto"/>
            <w:noWrap/>
            <w:tcMar>
              <w:top w:w="15" w:type="dxa"/>
              <w:left w:w="15" w:type="dxa"/>
              <w:right w:w="15" w:type="dxa"/>
            </w:tcMar>
            <w:vAlign w:val="bottom"/>
          </w:tcPr>
          <w:p w14:paraId="30A2100E">
            <w:pPr>
              <w:jc w:val="center"/>
              <w:rPr>
                <w:rFonts w:hint="default" w:ascii="Arial" w:hAnsi="Arial" w:eastAsia="宋体" w:cs="Arial"/>
                <w:i w:val="0"/>
                <w:color w:val="000000"/>
                <w:sz w:val="20"/>
                <w:szCs w:val="20"/>
                <w:u w:val="none"/>
              </w:rPr>
            </w:pPr>
          </w:p>
        </w:tc>
        <w:tc>
          <w:tcPr>
            <w:tcW w:w="739" w:type="pct"/>
            <w:tcBorders>
              <w:top w:val="nil"/>
              <w:left w:val="nil"/>
              <w:bottom w:val="nil"/>
              <w:right w:val="nil"/>
            </w:tcBorders>
            <w:shd w:val="clear" w:color="auto" w:fill="auto"/>
            <w:noWrap/>
            <w:tcMar>
              <w:top w:w="15" w:type="dxa"/>
              <w:left w:w="15" w:type="dxa"/>
              <w:right w:w="15" w:type="dxa"/>
            </w:tcMar>
            <w:vAlign w:val="bottom"/>
          </w:tcPr>
          <w:p w14:paraId="11D1D031">
            <w:pPr>
              <w:jc w:val="right"/>
              <w:rPr>
                <w:rFonts w:hint="default" w:ascii="Arial" w:hAnsi="Arial" w:eastAsia="宋体" w:cs="Arial"/>
                <w:i w:val="0"/>
                <w:color w:val="000000"/>
                <w:sz w:val="20"/>
                <w:szCs w:val="20"/>
                <w:u w:val="none"/>
              </w:rPr>
            </w:pPr>
          </w:p>
        </w:tc>
        <w:tc>
          <w:tcPr>
            <w:tcW w:w="1484" w:type="pct"/>
            <w:tcBorders>
              <w:top w:val="nil"/>
              <w:left w:val="nil"/>
              <w:bottom w:val="nil"/>
              <w:right w:val="nil"/>
            </w:tcBorders>
            <w:shd w:val="clear" w:color="auto" w:fill="auto"/>
            <w:noWrap/>
            <w:tcMar>
              <w:top w:w="15" w:type="dxa"/>
              <w:left w:w="15" w:type="dxa"/>
              <w:right w:w="15" w:type="dxa"/>
            </w:tcMar>
            <w:vAlign w:val="bottom"/>
          </w:tcPr>
          <w:p w14:paraId="4C3534A7">
            <w:pPr>
              <w:rPr>
                <w:rFonts w:hint="default" w:ascii="Arial" w:hAnsi="Arial" w:eastAsia="宋体" w:cs="Arial"/>
                <w:i w:val="0"/>
                <w:color w:val="000000"/>
                <w:sz w:val="20"/>
                <w:szCs w:val="20"/>
                <w:u w:val="none"/>
              </w:rPr>
            </w:pPr>
          </w:p>
        </w:tc>
        <w:tc>
          <w:tcPr>
            <w:tcW w:w="750" w:type="pct"/>
            <w:tcBorders>
              <w:top w:val="nil"/>
              <w:left w:val="nil"/>
              <w:bottom w:val="nil"/>
              <w:right w:val="nil"/>
            </w:tcBorders>
            <w:shd w:val="clear" w:color="auto" w:fill="auto"/>
            <w:noWrap/>
            <w:tcMar>
              <w:top w:w="15" w:type="dxa"/>
              <w:left w:w="15" w:type="dxa"/>
              <w:right w:w="15" w:type="dxa"/>
            </w:tcMar>
            <w:vAlign w:val="bottom"/>
          </w:tcPr>
          <w:p w14:paraId="32BE15FB">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公开09表</w:t>
            </w:r>
          </w:p>
        </w:tc>
      </w:tr>
      <w:tr w14:paraId="6DB6C765">
        <w:tblPrEx>
          <w:shd w:val="clear" w:color="auto" w:fill="auto"/>
          <w:tblCellMar>
            <w:top w:w="0" w:type="dxa"/>
            <w:left w:w="0" w:type="dxa"/>
            <w:bottom w:w="0" w:type="dxa"/>
            <w:right w:w="0" w:type="dxa"/>
          </w:tblCellMar>
        </w:tblPrEx>
        <w:trPr>
          <w:trHeight w:val="285" w:hRule="atLeast"/>
        </w:trPr>
        <w:tc>
          <w:tcPr>
            <w:tcW w:w="1163" w:type="pct"/>
            <w:tcBorders>
              <w:top w:val="nil"/>
              <w:left w:val="nil"/>
              <w:bottom w:val="nil"/>
              <w:right w:val="nil"/>
            </w:tcBorders>
            <w:shd w:val="clear" w:color="auto" w:fill="auto"/>
            <w:noWrap/>
            <w:tcMar>
              <w:top w:w="15" w:type="dxa"/>
              <w:left w:w="15" w:type="dxa"/>
              <w:right w:w="15" w:type="dxa"/>
            </w:tcMar>
            <w:vAlign w:val="bottom"/>
          </w:tcPr>
          <w:p w14:paraId="21778EA0">
            <w:pPr>
              <w:keepNext w:val="0"/>
              <w:keepLines w:val="0"/>
              <w:widowControl/>
              <w:suppressLineNumbers w:val="0"/>
              <w:jc w:val="left"/>
              <w:textAlignment w:val="bottom"/>
              <w:rPr>
                <w:rFonts w:hint="default" w:ascii="Arial" w:hAnsi="Arial" w:eastAsia="宋体" w:cs="Arial"/>
                <w:i w:val="0"/>
                <w:color w:val="000000"/>
                <w:sz w:val="22"/>
                <w:szCs w:val="22"/>
                <w:u w:val="none"/>
              </w:rPr>
            </w:pPr>
            <w:r>
              <w:rPr>
                <w:rFonts w:hint="eastAsia" w:asciiTheme="minorEastAsia" w:hAnsiTheme="minorEastAsia" w:eastAsiaTheme="minorEastAsia" w:cstheme="minorEastAsia"/>
                <w:sz w:val="24"/>
                <w:szCs w:val="24"/>
                <w:lang w:eastAsia="zh-CN"/>
              </w:rPr>
              <w:t>公开单位</w:t>
            </w:r>
            <w:r>
              <w:rPr>
                <w:rFonts w:hint="eastAsia" w:asciiTheme="minorEastAsia" w:hAnsiTheme="minorEastAsia" w:eastAsiaTheme="minorEastAsia" w:cstheme="minorEastAsia"/>
                <w:color w:val="000000"/>
                <w:sz w:val="24"/>
                <w:szCs w:val="24"/>
                <w:lang w:bidi="ar"/>
              </w:rPr>
              <w:t xml:space="preserve">： </w:t>
            </w:r>
            <w:r>
              <w:rPr>
                <w:color w:val="000000"/>
                <w:sz w:val="24"/>
                <w:u w:color="auto"/>
              </w:rPr>
              <w:t>重庆市潼南区田家镇劳动就业和社会保障服务所</w:t>
            </w:r>
          </w:p>
        </w:tc>
        <w:tc>
          <w:tcPr>
            <w:tcW w:w="862" w:type="pct"/>
            <w:tcBorders>
              <w:top w:val="nil"/>
              <w:left w:val="nil"/>
              <w:bottom w:val="nil"/>
              <w:right w:val="nil"/>
            </w:tcBorders>
            <w:shd w:val="clear" w:color="auto" w:fill="auto"/>
            <w:noWrap/>
            <w:tcMar>
              <w:top w:w="15" w:type="dxa"/>
              <w:left w:w="15" w:type="dxa"/>
              <w:right w:w="15" w:type="dxa"/>
            </w:tcMar>
            <w:vAlign w:val="bottom"/>
          </w:tcPr>
          <w:p w14:paraId="29F4ACBE">
            <w:pPr>
              <w:jc w:val="center"/>
              <w:rPr>
                <w:rFonts w:hint="eastAsia" w:ascii="宋体" w:hAnsi="宋体" w:eastAsia="宋体" w:cs="宋体"/>
                <w:i w:val="0"/>
                <w:color w:val="000000"/>
                <w:sz w:val="22"/>
                <w:szCs w:val="22"/>
                <w:u w:val="none"/>
              </w:rPr>
            </w:pPr>
          </w:p>
        </w:tc>
        <w:tc>
          <w:tcPr>
            <w:tcW w:w="739" w:type="pct"/>
            <w:tcBorders>
              <w:top w:val="nil"/>
              <w:left w:val="nil"/>
              <w:bottom w:val="nil"/>
              <w:right w:val="nil"/>
            </w:tcBorders>
            <w:shd w:val="clear" w:color="auto" w:fill="auto"/>
            <w:noWrap/>
            <w:tcMar>
              <w:top w:w="15" w:type="dxa"/>
              <w:left w:w="15" w:type="dxa"/>
              <w:right w:w="15" w:type="dxa"/>
            </w:tcMar>
            <w:vAlign w:val="bottom"/>
          </w:tcPr>
          <w:p w14:paraId="034929E3">
            <w:pPr>
              <w:jc w:val="right"/>
              <w:rPr>
                <w:rFonts w:hint="default" w:ascii="Arial" w:hAnsi="Arial" w:eastAsia="宋体" w:cs="Arial"/>
                <w:i w:val="0"/>
                <w:color w:val="000000"/>
                <w:sz w:val="22"/>
                <w:szCs w:val="22"/>
                <w:u w:val="none"/>
              </w:rPr>
            </w:pPr>
          </w:p>
        </w:tc>
        <w:tc>
          <w:tcPr>
            <w:tcW w:w="1484" w:type="pct"/>
            <w:tcBorders>
              <w:top w:val="nil"/>
              <w:left w:val="nil"/>
              <w:bottom w:val="nil"/>
              <w:right w:val="nil"/>
            </w:tcBorders>
            <w:shd w:val="clear" w:color="auto" w:fill="auto"/>
            <w:noWrap/>
            <w:tcMar>
              <w:top w:w="15" w:type="dxa"/>
              <w:left w:w="15" w:type="dxa"/>
              <w:right w:w="15" w:type="dxa"/>
            </w:tcMar>
            <w:vAlign w:val="bottom"/>
          </w:tcPr>
          <w:p w14:paraId="04B18C3D">
            <w:pPr>
              <w:rPr>
                <w:rFonts w:hint="default" w:ascii="Arial" w:hAnsi="Arial" w:eastAsia="宋体" w:cs="Arial"/>
                <w:i w:val="0"/>
                <w:color w:val="000000"/>
                <w:sz w:val="22"/>
                <w:szCs w:val="22"/>
                <w:u w:val="none"/>
              </w:rPr>
            </w:pPr>
          </w:p>
        </w:tc>
        <w:tc>
          <w:tcPr>
            <w:tcW w:w="750" w:type="pct"/>
            <w:tcBorders>
              <w:top w:val="nil"/>
              <w:left w:val="nil"/>
              <w:bottom w:val="nil"/>
              <w:right w:val="nil"/>
            </w:tcBorders>
            <w:shd w:val="clear" w:color="auto" w:fill="auto"/>
            <w:noWrap/>
            <w:tcMar>
              <w:top w:w="15" w:type="dxa"/>
              <w:left w:w="15" w:type="dxa"/>
              <w:right w:w="15" w:type="dxa"/>
            </w:tcMar>
            <w:vAlign w:val="bottom"/>
          </w:tcPr>
          <w:p w14:paraId="7BBFC592">
            <w:pPr>
              <w:keepNext w:val="0"/>
              <w:keepLines w:val="0"/>
              <w:widowControl/>
              <w:suppressLineNumbers w:val="0"/>
              <w:jc w:val="right"/>
              <w:textAlignment w:val="bottom"/>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单位：</w:t>
            </w:r>
            <w:r>
              <w:rPr>
                <w:rFonts w:hint="eastAsia" w:ascii="宋体" w:hAnsi="宋体" w:eastAsia="宋体" w:cs="宋体"/>
                <w:sz w:val="24"/>
                <w:szCs w:val="24"/>
              </w:rPr>
              <w:t>万元</w:t>
            </w:r>
          </w:p>
        </w:tc>
      </w:tr>
      <w:tr w14:paraId="05A7A99D">
        <w:tblPrEx>
          <w:shd w:val="clear" w:color="auto" w:fill="auto"/>
          <w:tblCellMar>
            <w:top w:w="0" w:type="dxa"/>
            <w:left w:w="0" w:type="dxa"/>
            <w:bottom w:w="0" w:type="dxa"/>
            <w:right w:w="0" w:type="dxa"/>
          </w:tblCellMar>
        </w:tblPrEx>
        <w:trPr>
          <w:trHeight w:val="308" w:hRule="atLeast"/>
        </w:trPr>
        <w:tc>
          <w:tcPr>
            <w:tcW w:w="1163" w:type="pct"/>
            <w:tcBorders>
              <w:top w:val="single" w:color="000000" w:sz="4" w:space="0"/>
              <w:left w:val="single" w:color="000000" w:sz="4" w:space="0"/>
              <w:bottom w:val="single" w:color="000000" w:sz="4" w:space="0"/>
              <w:right w:val="nil"/>
            </w:tcBorders>
            <w:shd w:val="clear" w:color="FFFFFF" w:fill="C0C0C0"/>
            <w:noWrap/>
            <w:tcMar>
              <w:top w:w="15" w:type="dxa"/>
              <w:left w:w="15" w:type="dxa"/>
              <w:right w:w="15" w:type="dxa"/>
            </w:tcMar>
            <w:vAlign w:val="center"/>
          </w:tcPr>
          <w:p w14:paraId="2AD3FA5D">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  目</w:t>
            </w:r>
          </w:p>
        </w:tc>
        <w:tc>
          <w:tcPr>
            <w:tcW w:w="862" w:type="pct"/>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D09F86D">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预算数</w:t>
            </w:r>
          </w:p>
        </w:tc>
        <w:tc>
          <w:tcPr>
            <w:tcW w:w="739" w:type="pct"/>
            <w:tcBorders>
              <w:top w:val="single" w:color="000000" w:sz="4" w:space="0"/>
              <w:left w:val="nil"/>
              <w:bottom w:val="nil"/>
              <w:right w:val="single" w:color="000000" w:sz="4" w:space="0"/>
            </w:tcBorders>
            <w:shd w:val="clear" w:color="FFFFFF" w:fill="C0C0C0"/>
            <w:noWrap/>
            <w:tcMar>
              <w:top w:w="15" w:type="dxa"/>
              <w:left w:w="15" w:type="dxa"/>
              <w:right w:w="15" w:type="dxa"/>
            </w:tcMar>
            <w:vAlign w:val="center"/>
          </w:tcPr>
          <w:p w14:paraId="46FD0076">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c>
          <w:tcPr>
            <w:tcW w:w="1484" w:type="pct"/>
            <w:tcBorders>
              <w:top w:val="single" w:color="000000" w:sz="4" w:space="0"/>
              <w:left w:val="nil"/>
              <w:bottom w:val="single" w:color="000000" w:sz="4" w:space="0"/>
              <w:right w:val="single" w:color="000000" w:sz="4" w:space="0"/>
            </w:tcBorders>
            <w:shd w:val="clear" w:color="FFFFFF" w:fill="C0C0C0"/>
            <w:noWrap/>
            <w:tcMar>
              <w:top w:w="15" w:type="dxa"/>
              <w:left w:w="15" w:type="dxa"/>
              <w:right w:w="15" w:type="dxa"/>
            </w:tcMar>
            <w:vAlign w:val="center"/>
          </w:tcPr>
          <w:p w14:paraId="2589563D">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项  目</w:t>
            </w:r>
          </w:p>
        </w:tc>
        <w:tc>
          <w:tcPr>
            <w:tcW w:w="750" w:type="pct"/>
            <w:tcBorders>
              <w:top w:val="single" w:color="000000" w:sz="4" w:space="0"/>
              <w:left w:val="nil"/>
              <w:bottom w:val="nil"/>
              <w:right w:val="single" w:color="000000" w:sz="4" w:space="0"/>
            </w:tcBorders>
            <w:shd w:val="clear" w:color="FFFFFF" w:fill="C0C0C0"/>
            <w:noWrap/>
            <w:tcMar>
              <w:top w:w="15" w:type="dxa"/>
              <w:left w:w="15" w:type="dxa"/>
              <w:right w:w="15" w:type="dxa"/>
            </w:tcMar>
            <w:vAlign w:val="center"/>
          </w:tcPr>
          <w:p w14:paraId="23F2B1C4">
            <w:pPr>
              <w:keepNext w:val="0"/>
              <w:keepLines w:val="0"/>
              <w:widowControl/>
              <w:suppressLineNumbers w:val="0"/>
              <w:jc w:val="center"/>
              <w:textAlignment w:val="center"/>
              <w:rPr>
                <w:rFonts w:hint="eastAsia" w:ascii="宋体" w:hAnsi="宋体" w:eastAsia="宋体" w:cs="宋体"/>
                <w:b/>
                <w:i w:val="0"/>
                <w:color w:val="000000"/>
                <w:sz w:val="22"/>
                <w:szCs w:val="22"/>
                <w:u w:val="none"/>
              </w:rPr>
            </w:pPr>
            <w:r>
              <w:rPr>
                <w:rFonts w:hint="eastAsia" w:ascii="宋体" w:hAnsi="宋体" w:eastAsia="宋体" w:cs="宋体"/>
                <w:b/>
                <w:i w:val="0"/>
                <w:color w:val="000000"/>
                <w:kern w:val="0"/>
                <w:sz w:val="22"/>
                <w:szCs w:val="22"/>
                <w:u w:val="none"/>
                <w:lang w:val="en-US" w:eastAsia="zh-CN" w:bidi="ar"/>
              </w:rPr>
              <w:t>决算数</w:t>
            </w:r>
          </w:p>
        </w:tc>
      </w:tr>
      <w:tr w14:paraId="526B4823">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1659BEE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一、“三公”经费支出</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0677ACD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197926A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499297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四、机关运行经费</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2DE9CFC">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72DE3B7D">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6F04000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（一）支出合计</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77AA2644">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51CA6BA1">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CA7B83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（一）行政单位</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09411A7E">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14366994">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5B72D7B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1．因公出国（境）费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0A0CF240">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01F294CE">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9E40F8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（二）参照公务员法管理事业单位</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096A69F">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701C279A">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5CC5137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2．公务用车购置及运行维护费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3EFCC16E">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8D628F8">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3CC843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五、资产信息</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9BDC88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r>
      <w:tr w14:paraId="2247B0EF">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6A31F5F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（1）公务用车购置费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08EFC322">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32BC8594">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5C4FBA29">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（一）车辆数合计（辆）</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87A732F">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352EAD5D">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3CFB0858">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（2）公务用车运行维护费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1B4DFBB7">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035D4EAD">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669CEB92">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1．副部（省）级及以上领导用车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1DE5870">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12D1A5A9">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3F8EB41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3．公务接待费</w:t>
            </w:r>
          </w:p>
        </w:tc>
        <w:tc>
          <w:tcPr>
            <w:tcW w:w="862"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B0BF135">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337DD1A1">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47CC5B8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2．主要领导干部用车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8B79532">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2B8E4589">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769C96D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（1）国内接待费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2EF5B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550C648F">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4F5FEC5C">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3．机要通信用车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BBD474E">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01720853">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0502260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其中：外事接待费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51ED962">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27B855CC">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22C24AE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4．应急保障用车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D0E87D0">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521CC30B">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2D29720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（2）国（境）外接待费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98E12B4">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48907EDB">
            <w:pPr>
              <w:keepNext w:val="0"/>
              <w:keepLines w:val="0"/>
              <w:widowControl/>
              <w:suppressLineNumbers w:val="0"/>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449F8C3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5．执法执勤用车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24A654E">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0162888F">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63E8A92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（二）相关统计数</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70841EF">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center"/>
          </w:tcPr>
          <w:p w14:paraId="703EDF61">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1C5A685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6．特种专业技术用车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5350A56">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1F454583">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6910F9C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1．因公出国（境）团组数（个）</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83AA25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7E056C5E">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1C5012F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7．离退休干部用车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D1EB176">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3F42C991">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1644B1E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2．因公出国（境）人次数（人）</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919713E">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58FFFCB1">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7350420D">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8．其他用车</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58F11E26">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2DFA9642">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0A8BBE4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3．公务用车购置数（辆）</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536302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4C3E3C34">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BFBFBF"/>
            <w:noWrap/>
            <w:tcMar>
              <w:top w:w="15" w:type="dxa"/>
              <w:left w:w="15" w:type="dxa"/>
              <w:right w:w="15" w:type="dxa"/>
            </w:tcMar>
            <w:vAlign w:val="center"/>
          </w:tcPr>
          <w:p w14:paraId="3760E10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（二）单价100万元（含）以上设备（不含车辆）</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67E88E1D">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59F16EDD">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0D8C55E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4．公务用车保有量（辆）</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A2EDF7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65E49945">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715E1E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六、政府采购支出信息</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7D6FB2D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r>
      <w:tr w14:paraId="2F36CA24">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7A150DD0">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5．国内公务接待批次（个）</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7B7743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450E93C3">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DED948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（一）政府采购支出合计</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03E92D9">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3C178A89">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6E3CAB4B">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其中：外事接待批次（个）</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198F9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493021D7">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5776E44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1．政府采购货物支出</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E3159DC">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495989BA">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4801708F">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6．国内公务接待人次（人）</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6F4336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43389F3E">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640330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2．政府采购工程支出</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307B187D">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3A5FAC6D">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64C6CF4E">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其中：外事接待人次（人）</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33540D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3EC7E0EB">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AFA96E7">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3．政府采购服务支出</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40957378">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7AF7A09F">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6053A79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7．国（境）外公务接待批次（个）</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2A801B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6A083B0A">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275CB84">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（二）政府采购授予中小企业合同金额</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29FE2ACB">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0BA3FA80">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BFBFBF"/>
            <w:noWrap/>
            <w:tcMar>
              <w:top w:w="15" w:type="dxa"/>
              <w:left w:w="15" w:type="dxa"/>
              <w:right w:w="15" w:type="dxa"/>
            </w:tcMar>
            <w:vAlign w:val="center"/>
          </w:tcPr>
          <w:p w14:paraId="5FD68016">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8．国（境）外公务接待人次（人）</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2A53C0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FFFFFF"/>
            <w:noWrap/>
            <w:tcMar>
              <w:top w:w="15" w:type="dxa"/>
              <w:left w:w="15" w:type="dxa"/>
              <w:right w:w="15" w:type="dxa"/>
            </w:tcMar>
            <w:vAlign w:val="bottom"/>
          </w:tcPr>
          <w:p w14:paraId="7D49F2DC">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81BF50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 xml:space="preserve">        其中：授予小微企业合同金额</w:t>
            </w: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2539608">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r>
      <w:tr w14:paraId="0CD606F3">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1DFC24F3">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二、会议费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29007826">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1A92B819">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33247458">
            <w:pPr>
              <w:jc w:val="left"/>
              <w:rPr>
                <w:rFonts w:hint="eastAsia" w:ascii="宋体" w:hAnsi="宋体" w:eastAsia="宋体" w:cs="宋体"/>
                <w:i w:val="0"/>
                <w:color w:val="000000"/>
                <w:sz w:val="22"/>
                <w:szCs w:val="22"/>
                <w:u w:val="none"/>
              </w:rPr>
            </w:pP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73EC51B1">
            <w:pPr>
              <w:jc w:val="right"/>
              <w:rPr>
                <w:rFonts w:hint="default" w:ascii="Arial" w:hAnsi="Arial" w:eastAsia="宋体" w:cs="Arial"/>
                <w:i w:val="0"/>
                <w:color w:val="000000"/>
                <w:sz w:val="20"/>
                <w:szCs w:val="20"/>
                <w:u w:val="none"/>
              </w:rPr>
            </w:pPr>
          </w:p>
        </w:tc>
      </w:tr>
      <w:tr w14:paraId="1347D5F5">
        <w:tblPrEx>
          <w:shd w:val="clear" w:color="auto" w:fill="auto"/>
          <w:tblCellMar>
            <w:top w:w="0" w:type="dxa"/>
            <w:left w:w="0" w:type="dxa"/>
            <w:bottom w:w="0" w:type="dxa"/>
            <w:right w:w="0" w:type="dxa"/>
          </w:tblCellMar>
        </w:tblPrEx>
        <w:trPr>
          <w:trHeight w:val="308" w:hRule="atLeast"/>
        </w:trPr>
        <w:tc>
          <w:tcPr>
            <w:tcW w:w="1163" w:type="pct"/>
            <w:tcBorders>
              <w:top w:val="nil"/>
              <w:left w:val="single" w:color="000000" w:sz="4" w:space="0"/>
              <w:bottom w:val="single" w:color="000000" w:sz="4" w:space="0"/>
              <w:right w:val="nil"/>
            </w:tcBorders>
            <w:shd w:val="clear" w:color="FFFFFF" w:fill="C0C0C0"/>
            <w:noWrap/>
            <w:tcMar>
              <w:top w:w="15" w:type="dxa"/>
              <w:left w:w="15" w:type="dxa"/>
              <w:right w:w="15" w:type="dxa"/>
            </w:tcMar>
            <w:vAlign w:val="center"/>
          </w:tcPr>
          <w:p w14:paraId="3C0CB87A">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三、培训费</w:t>
            </w:r>
          </w:p>
        </w:tc>
        <w:tc>
          <w:tcPr>
            <w:tcW w:w="862" w:type="pct"/>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0C1DC16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w:t>
            </w:r>
          </w:p>
        </w:tc>
        <w:tc>
          <w:tcPr>
            <w:tcW w:w="739" w:type="pct"/>
            <w:tcBorders>
              <w:top w:val="single" w:color="000000" w:sz="4" w:space="0"/>
              <w:left w:val="nil"/>
              <w:bottom w:val="single" w:color="000000" w:sz="4" w:space="0"/>
              <w:right w:val="single" w:color="000000" w:sz="4" w:space="0"/>
            </w:tcBorders>
            <w:shd w:val="clear" w:color="auto" w:fill="auto"/>
            <w:noWrap/>
            <w:tcMar>
              <w:top w:w="15" w:type="dxa"/>
              <w:left w:w="15" w:type="dxa"/>
              <w:right w:w="15" w:type="dxa"/>
            </w:tcMar>
            <w:vAlign w:val="bottom"/>
          </w:tcPr>
          <w:p w14:paraId="30BA1357">
            <w:pPr>
              <w:wordWrap w:val="0"/>
              <w:jc w:val="right"/>
              <w:textAlignment w:val="bottom"/>
              <w:rPr>
                <w:rFonts w:hint="eastAsia" w:ascii="Arial" w:hAnsi="Arial" w:eastAsia="宋体" w:cs="Arial"/>
                <w:i w:val="0"/>
                <w:color w:val="000000"/>
                <w:sz w:val="20"/>
                <w:szCs w:val="20"/>
                <w:u w:val="none"/>
                <w:lang w:val="en-US" w:eastAsia="zh-CN"/>
              </w:rPr>
            </w:pPr>
            <w:r>
              <w:rPr>
                <w:rFonts w:hint="eastAsia" w:cs="宋体"/>
                <w:color w:val="000000"/>
                <w:sz w:val="21"/>
                <w:szCs w:val="21"/>
                <w:lang w:val="en-US" w:eastAsia="zh-CN" w:bidi="ar"/>
              </w:rPr>
              <w:t xml:space="preserve"> </w:t>
            </w:r>
          </w:p>
        </w:tc>
        <w:tc>
          <w:tcPr>
            <w:tcW w:w="1484" w:type="pc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5FDD512">
            <w:pPr>
              <w:jc w:val="left"/>
              <w:rPr>
                <w:rFonts w:hint="eastAsia" w:ascii="宋体" w:hAnsi="宋体" w:eastAsia="宋体" w:cs="宋体"/>
                <w:i w:val="0"/>
                <w:color w:val="000000"/>
                <w:sz w:val="22"/>
                <w:szCs w:val="22"/>
                <w:u w:val="none"/>
              </w:rPr>
            </w:pPr>
          </w:p>
        </w:tc>
        <w:tc>
          <w:tcPr>
            <w:tcW w:w="750" w:type="pct"/>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bottom"/>
          </w:tcPr>
          <w:p w14:paraId="1705C46C">
            <w:pPr>
              <w:jc w:val="right"/>
              <w:rPr>
                <w:rFonts w:hint="default" w:ascii="Arial" w:hAnsi="Arial" w:eastAsia="宋体" w:cs="Arial"/>
                <w:i w:val="0"/>
                <w:color w:val="000000"/>
                <w:sz w:val="20"/>
                <w:szCs w:val="20"/>
                <w:u w:val="none"/>
              </w:rPr>
            </w:pPr>
          </w:p>
        </w:tc>
      </w:tr>
    </w:tbl>
    <w:p w14:paraId="05737B6A">
      <w:pPr>
        <w:rPr>
          <w:rFonts w:hint="eastAsia" w:ascii="宋体" w:hAnsi="宋体" w:eastAsia="宋体" w:cs="宋体"/>
          <w:sz w:val="21"/>
          <w:szCs w:val="21"/>
        </w:rPr>
      </w:pPr>
      <w:r>
        <w:rPr>
          <w:rFonts w:hint="eastAsia" w:ascii="宋体" w:hAnsi="宋体" w:eastAsia="宋体" w:cs="宋体"/>
          <w:b w:val="0"/>
          <w:bCs w:val="0"/>
          <w:i w:val="0"/>
          <w:iCs w:val="0"/>
          <w:color w:val="auto"/>
          <w:kern w:val="0"/>
          <w:sz w:val="21"/>
          <w:szCs w:val="21"/>
          <w:u w:val="none"/>
          <w:shd w:val="clear" w:color="auto" w:fill="auto"/>
          <w:lang w:val="en-US" w:eastAsia="zh-CN" w:bidi="ar"/>
        </w:rPr>
        <w:t>备注：1.本表反映单位本年度财政拨款“三公”经费支出预决算情况。其中，预算数为“三公”经费全年预算数，反映按规定程序调整后的预算数；决算数为包括本年度财政拨款和以前年度结转资金安排的实际支出。</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b w:val="0"/>
          <w:bCs w:val="0"/>
          <w:i w:val="0"/>
          <w:iCs w:val="0"/>
          <w:color w:val="auto"/>
          <w:kern w:val="0"/>
          <w:sz w:val="21"/>
          <w:szCs w:val="21"/>
          <w:u w:val="none"/>
          <w:shd w:val="clear" w:color="auto" w:fill="auto"/>
          <w:lang w:val="en-US" w:eastAsia="zh-CN" w:bidi="ar"/>
        </w:rPr>
        <w:t xml:space="preserve">      2.本套报表金额单位转换时可能存在尾数误差。</w:t>
      </w:r>
      <w:r>
        <w:rPr>
          <w:rFonts w:hint="eastAsia" w:ascii="宋体" w:hAnsi="宋体" w:eastAsia="宋体" w:cs="宋体"/>
          <w:b w:val="0"/>
          <w:bCs w:val="0"/>
          <w:i w:val="0"/>
          <w:iCs w:val="0"/>
          <w:color w:val="auto"/>
          <w:kern w:val="0"/>
          <w:sz w:val="21"/>
          <w:szCs w:val="21"/>
          <w:u w:val="none"/>
          <w:shd w:val="clear" w:color="auto" w:fill="auto"/>
          <w:lang w:val="en-US" w:eastAsia="zh-CN" w:bidi="ar"/>
        </w:rPr>
        <w:br w:type="textWrapping"/>
      </w:r>
      <w:r>
        <w:rPr>
          <w:rFonts w:hint="eastAsia" w:ascii="宋体" w:hAnsi="宋体" w:eastAsia="宋体" w:cs="宋体"/>
          <w:sz w:val="21"/>
          <w:szCs w:val="21"/>
        </w:rPr>
        <w:br w:type="textWrapping"/>
      </w:r>
    </w:p>
    <w:p w14:paraId="1A3FAC83">
      <w:pPr>
        <w:rPr>
          <w:rFonts w:hint="eastAsia" w:ascii="宋体" w:hAnsi="宋体" w:eastAsia="宋体" w:cs="宋体"/>
          <w:color w:val="000000"/>
          <w:sz w:val="21"/>
          <w:szCs w:val="21"/>
          <w:lang w:bidi="ar"/>
        </w:rPr>
      </w:pPr>
    </w:p>
    <w:p w14:paraId="51BF3BAA">
      <w:pPr>
        <w:rPr>
          <w:rFonts w:hint="eastAsia" w:ascii="宋体" w:hAnsi="宋体" w:eastAsia="宋体" w:cs="宋体"/>
          <w:color w:val="000000"/>
          <w:sz w:val="21"/>
          <w:szCs w:val="21"/>
          <w:lang w:bidi="ar"/>
        </w:rPr>
      </w:pPr>
    </w:p>
    <w:p w14:paraId="6552F0A1">
      <w:pPr>
        <w:rPr>
          <w:rFonts w:hint="eastAsia" w:ascii="宋体" w:hAnsi="宋体" w:eastAsia="宋体" w:cs="宋体"/>
          <w:color w:val="000000"/>
          <w:sz w:val="21"/>
          <w:szCs w:val="21"/>
          <w:lang w:bidi="ar"/>
        </w:rPr>
      </w:pPr>
    </w:p>
    <w:p w14:paraId="3031E655">
      <w:pPr>
        <w:rPr>
          <w:rFonts w:hint="eastAsia" w:ascii="宋体" w:hAnsi="宋体" w:eastAsia="宋体" w:cs="宋体"/>
          <w:color w:val="000000"/>
          <w:sz w:val="21"/>
          <w:szCs w:val="21"/>
          <w:lang w:bidi="ar"/>
        </w:rPr>
      </w:pPr>
    </w:p>
    <w:p w14:paraId="21D6F8CD">
      <w:pPr>
        <w:rPr>
          <w:rFonts w:hint="eastAsia" w:ascii="宋体" w:hAnsi="宋体" w:eastAsia="宋体" w:cs="宋体"/>
          <w:color w:val="000000"/>
          <w:sz w:val="21"/>
          <w:szCs w:val="21"/>
          <w:lang w:bidi="ar"/>
        </w:rPr>
      </w:pPr>
    </w:p>
    <w:p w14:paraId="1D719EC0">
      <w:pPr>
        <w:rPr>
          <w:rFonts w:hint="eastAsia" w:ascii="宋体" w:hAnsi="宋体" w:eastAsia="宋体" w:cs="宋体"/>
          <w:color w:val="000000"/>
          <w:sz w:val="21"/>
          <w:szCs w:val="21"/>
          <w:lang w:bidi="ar"/>
        </w:rPr>
      </w:pPr>
    </w:p>
    <w:p w14:paraId="1DA79C12">
      <w:pPr>
        <w:rPr>
          <w:rFonts w:hint="eastAsia" w:ascii="宋体" w:hAnsi="宋体" w:eastAsia="宋体" w:cs="宋体"/>
          <w:color w:val="000000"/>
          <w:sz w:val="21"/>
          <w:szCs w:val="21"/>
          <w:lang w:bidi="ar"/>
        </w:rPr>
      </w:pPr>
    </w:p>
    <w:p w14:paraId="23E9AA93">
      <w:pPr>
        <w:rPr>
          <w:rFonts w:hint="eastAsia" w:ascii="宋体" w:hAnsi="宋体" w:eastAsia="宋体" w:cs="宋体"/>
          <w:color w:val="000000"/>
          <w:sz w:val="21"/>
          <w:szCs w:val="21"/>
          <w:lang w:bidi="ar"/>
        </w:rPr>
      </w:pPr>
    </w:p>
    <w:p w14:paraId="70CF9042">
      <w:pPr>
        <w:rPr>
          <w:rFonts w:hint="eastAsia" w:ascii="宋体" w:hAnsi="宋体" w:eastAsia="宋体" w:cs="宋体"/>
          <w:color w:val="000000"/>
          <w:sz w:val="21"/>
          <w:szCs w:val="21"/>
          <w:lang w:bidi="ar"/>
        </w:rPr>
      </w:pPr>
    </w:p>
    <w:p w14:paraId="19C381AD">
      <w:pPr>
        <w:pStyle w:val="10"/>
        <w:autoSpaceDE w:val="0"/>
        <w:ind w:firstLine="0" w:firstLineChars="0"/>
        <w:rPr>
          <w:rFonts w:hint="default" w:ascii="宋体" w:hAnsi="宋体" w:eastAsia="宋体" w:cs="宋体"/>
          <w:sz w:val="21"/>
          <w:szCs w:val="21"/>
        </w:rPr>
      </w:pPr>
    </w:p>
    <w:sectPr>
      <w:headerReference r:id="rId4" w:type="default"/>
      <w:footerReference r:id="rId5" w:type="default"/>
      <w:pgSz w:w="16838" w:h="11906" w:orient="landscape"/>
      <w:pgMar w:top="567" w:right="454" w:bottom="567" w:left="1037" w:header="0" w:footer="283"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cript"/>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2000000000000000000"/>
    <w:charset w:val="86"/>
    <w:family w:val="script"/>
    <w:pitch w:val="default"/>
    <w:sig w:usb0="A00002BF" w:usb1="38CF7CFA" w:usb2="00082016" w:usb3="00000000" w:csb0="00040001" w:csb1="00000000"/>
  </w:font>
  <w:font w:name="方正小标宋_GBK">
    <w:panose1 w:val="02000000000000000000"/>
    <w:charset w:val="86"/>
    <w:family w:val="script"/>
    <w:pitch w:val="default"/>
    <w:sig w:usb0="A00002BF" w:usb1="38CF7CFA" w:usb2="00080016" w:usb3="00000000" w:csb0="00040001" w:csb1="00000000"/>
  </w:font>
  <w:font w:name="方正楷体_GBK">
    <w:panose1 w:val="02000000000000000000"/>
    <w:charset w:val="86"/>
    <w:family w:val="auto"/>
    <w:pitch w:val="default"/>
    <w:sig w:usb0="A00002BF" w:usb1="38CF7CFA" w:usb2="00082016" w:usb3="00000000" w:csb0="00040001" w:csb1="00000000"/>
  </w:font>
  <w:font w:name="楷体">
    <w:panose1 w:val="02010609060101010101"/>
    <w:charset w:val="86"/>
    <w:family w:val="auto"/>
    <w:pitch w:val="default"/>
    <w:sig w:usb0="800002BF" w:usb1="38CF7CFA" w:usb2="00000016" w:usb3="00000000" w:csb0="00040001" w:csb1="00000000"/>
  </w:font>
  <w:font w:name="方正黑体_GBK">
    <w:panose1 w:val="02000000000000000000"/>
    <w:charset w:val="86"/>
    <w:family w:val="auto"/>
    <w:pitch w:val="default"/>
    <w:sig w:usb0="A00002BF" w:usb1="38CF7CFA" w:usb2="00082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0F46D">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069BD7">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6069BD7">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D58DE">
    <w:pPr>
      <w:pStyle w:val="2"/>
      <w:jc w:val="both"/>
      <w:rPr>
        <w:rFonts w:hint="default"/>
      </w:rPr>
    </w:pPr>
    <w:r>
      <mc:AlternateContent>
        <mc:Choice Requires="wps">
          <w:drawing>
            <wp:anchor distT="0" distB="0" distL="114300" distR="114300" simplePos="0" relativeHeight="251660288" behindDoc="0" locked="0" layoutInCell="1" allowOverlap="0">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D399F81">
                          <w:pPr>
                            <w:pStyle w:val="2"/>
                            <w:rPr>
                              <w:rFonts w:hint="default"/>
                            </w:rPr>
                          </w:pPr>
                          <w:r>
                            <w:t xml:space="preserve"> </w:t>
                          </w:r>
                          <w:r>
                            <w:fldChar w:fldCharType="begin"/>
                          </w:r>
                          <w:r>
                            <w:instrText xml:space="preserve">PAGE   \* MERGEFORMAT</w:instrText>
                          </w:r>
                          <w:r>
                            <w:fldChar w:fldCharType="separate"/>
                          </w:r>
                          <w:r>
                            <w:rPr>
                              <w:rFonts w:hint="default"/>
                              <w:lang w:val="zh-CN"/>
                            </w:rPr>
                            <w:t>28</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fill on="f" focussize="0,0"/>
              <v:stroke on="f" weight="0.5pt"/>
              <v:imagedata o:title=""/>
              <o:lock v:ext="edit" aspectratio="f"/>
              <v:textbox inset="0mm,0mm,0mm,0mm" style="mso-fit-shape-to-text:t;">
                <w:txbxContent>
                  <w:p w14:paraId="1D399F81">
                    <w:pPr>
                      <w:pStyle w:val="2"/>
                      <w:rPr>
                        <w:rFonts w:hint="default"/>
                      </w:rPr>
                    </w:pPr>
                    <w:r>
                      <w:t xml:space="preserve"> </w:t>
                    </w:r>
                    <w:r>
                      <w:fldChar w:fldCharType="begin"/>
                    </w:r>
                    <w:r>
                      <w:instrText xml:space="preserve">PAGE   \* MERGEFORMAT</w:instrText>
                    </w:r>
                    <w:r>
                      <w:fldChar w:fldCharType="separate"/>
                    </w:r>
                    <w:r>
                      <w:rPr>
                        <w:rFonts w:hint="default"/>
                        <w:lang w:val="zh-CN"/>
                      </w:rPr>
                      <w:t>28</w:t>
                    </w:r>
                    <w:r>
                      <w:fldChar w:fldCharType="end"/>
                    </w:r>
                    <w:r>
                      <w:t xml:space="preserve"> </w:t>
                    </w:r>
                  </w:p>
                </w:txbxContent>
              </v:textbox>
            </v:shape>
          </w:pict>
        </mc:Fallback>
      </mc:AlternateContent>
    </w:r>
    <w:r>
      <mc:AlternateContent>
        <mc:Choice Requires="wps">
          <w:drawing>
            <wp:anchor distT="0" distB="0" distL="114300" distR="114300" simplePos="0" relativeHeight="251659264" behindDoc="0" locked="0" layoutInCell="1" allowOverlap="0">
              <wp:simplePos x="0" y="0"/>
              <wp:positionH relativeFrom="margin">
                <wp:align>center</wp:align>
              </wp:positionH>
              <wp:positionV relativeFrom="page">
                <wp:posOffset>14737080</wp:posOffset>
              </wp:positionV>
              <wp:extent cx="1828800" cy="22098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220980"/>
                      </a:xfrm>
                      <a:prstGeom prst="rect">
                        <a:avLst/>
                      </a:prstGeom>
                      <a:noFill/>
                      <a:ln w="6350">
                        <a:noFill/>
                      </a:ln>
                      <a:effectLst/>
                    </wps:spPr>
                    <wps:txbx>
                      <w:txbxContent>
                        <w:p w14:paraId="4AA91492">
                          <w:pPr>
                            <w:pStyle w:val="2"/>
                            <w:jc w:val="both"/>
                            <w:rPr>
                              <w:rFonts w:hint="default" w:cs="宋体"/>
                            </w:rPr>
                          </w:pPr>
                          <w:r>
                            <w:rPr>
                              <w:rFonts w:cs="宋体"/>
                            </w:rPr>
                            <w:t>— 27.1 —</w:t>
                          </w:r>
                        </w:p>
                      </w:txbxContent>
                    </wps:txbx>
                    <wps:bodyPr rot="0" spcFirstLastPara="0" vertOverflow="overflow" horzOverflow="overflow" vert="horz" wrap="non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fill on="f" focussize="0,0"/>
              <v:stroke on="f" weight="0.5pt"/>
              <v:imagedata o:title=""/>
              <o:lock v:ext="edit" aspectratio="f"/>
              <v:textbox inset="0mm,0mm,0mm,0mm">
                <w:txbxContent>
                  <w:p w14:paraId="4AA91492">
                    <w:pPr>
                      <w:pStyle w:val="2"/>
                      <w:jc w:val="both"/>
                      <w:rPr>
                        <w:rFonts w:hint="default" w:cs="宋体"/>
                      </w:rPr>
                    </w:pPr>
                    <w:r>
                      <w:rPr>
                        <w:rFonts w:cs="宋体"/>
                      </w:rPr>
                      <w:t>— 27.1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D43A0">
    <w:pPr>
      <w:pStyle w:val="3"/>
      <w:tabs>
        <w:tab w:val="left" w:pos="1758"/>
        <w:tab w:val="clear" w:pos="4153"/>
        <w:tab w:val="clear" w:pos="8306"/>
      </w:tabs>
      <w:rPr>
        <w:rFonts w:hint="defaul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339A02"/>
    <w:multiLevelType w:val="singleLevel"/>
    <w:tmpl w:val="C5339A02"/>
    <w:lvl w:ilvl="0" w:tentative="0">
      <w:start w:val="5"/>
      <w:numFmt w:val="chineseCounting"/>
      <w:suff w:val="nothing"/>
      <w:lvlText w:val="%1、"/>
      <w:lvlJc w:val="left"/>
      <w:rPr>
        <w:rFonts w:hint="eastAsia"/>
      </w:rPr>
    </w:lvl>
  </w:abstractNum>
  <w:abstractNum w:abstractNumId="1">
    <w:nsid w:val="30FC3F9C"/>
    <w:multiLevelType w:val="singleLevel"/>
    <w:tmpl w:val="30FC3F9C"/>
    <w:lvl w:ilvl="0" w:tentative="0">
      <w:start w:val="2"/>
      <w:numFmt w:val="chineseCounting"/>
      <w:suff w:val="nothing"/>
      <w:lvlText w:val="（%1）"/>
      <w:lvlJc w:val="left"/>
      <w:rPr>
        <w:rFonts w:hint="eastAsia"/>
      </w:rPr>
    </w:lvl>
  </w:abstractNum>
  <w:abstractNum w:abstractNumId="2">
    <w:nsid w:val="6BE329D7"/>
    <w:multiLevelType w:val="singleLevel"/>
    <w:tmpl w:val="6BE329D7"/>
    <w:lvl w:ilvl="0" w:tentative="0">
      <w:start w:val="1"/>
      <w:numFmt w:val="decimal"/>
      <w:suff w:val="nothing"/>
      <w:lvlText w:val="%1、"/>
      <w:lvlJc w:val="left"/>
      <w:pPr>
        <w:ind w:left="800" w:firstLine="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3ODFlMjkyNzYzMTQwYTM4M2IyNzYwNjE4OGE2ZDIifQ=="/>
  </w:docVars>
  <w:rsids>
    <w:rsidRoot w:val="00B03CCD"/>
    <w:rsid w:val="00550ABE"/>
    <w:rsid w:val="007B419D"/>
    <w:rsid w:val="009B67B8"/>
    <w:rsid w:val="00B03CCD"/>
    <w:rsid w:val="00F73F90"/>
    <w:rsid w:val="01474EBF"/>
    <w:rsid w:val="01F3521E"/>
    <w:rsid w:val="03B87EA0"/>
    <w:rsid w:val="03E3214F"/>
    <w:rsid w:val="044C50BA"/>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0FD28AB"/>
    <w:rsid w:val="111445C7"/>
    <w:rsid w:val="114278C6"/>
    <w:rsid w:val="1158083A"/>
    <w:rsid w:val="11643A4B"/>
    <w:rsid w:val="11ED0F98"/>
    <w:rsid w:val="11F03528"/>
    <w:rsid w:val="12C921C4"/>
    <w:rsid w:val="13871C70"/>
    <w:rsid w:val="13A71CB4"/>
    <w:rsid w:val="13AF1D43"/>
    <w:rsid w:val="13CE1647"/>
    <w:rsid w:val="13FD55AB"/>
    <w:rsid w:val="14200702"/>
    <w:rsid w:val="163A6CEE"/>
    <w:rsid w:val="169E6EFF"/>
    <w:rsid w:val="173708E3"/>
    <w:rsid w:val="17C374FC"/>
    <w:rsid w:val="189079DC"/>
    <w:rsid w:val="189B0D0B"/>
    <w:rsid w:val="18B43F7C"/>
    <w:rsid w:val="194A1770"/>
    <w:rsid w:val="199C7248"/>
    <w:rsid w:val="19B906A4"/>
    <w:rsid w:val="19D13736"/>
    <w:rsid w:val="1B6F15B6"/>
    <w:rsid w:val="1BAA2EDC"/>
    <w:rsid w:val="1CA55E64"/>
    <w:rsid w:val="1D014A01"/>
    <w:rsid w:val="1D022362"/>
    <w:rsid w:val="1D1B04B0"/>
    <w:rsid w:val="1DA52501"/>
    <w:rsid w:val="1DBD6767"/>
    <w:rsid w:val="1DC52125"/>
    <w:rsid w:val="1DD26311"/>
    <w:rsid w:val="1E374ACB"/>
    <w:rsid w:val="1ECF0A66"/>
    <w:rsid w:val="1EF67CA4"/>
    <w:rsid w:val="1F020D3A"/>
    <w:rsid w:val="1F2C5189"/>
    <w:rsid w:val="1F4B0B02"/>
    <w:rsid w:val="1F724B4E"/>
    <w:rsid w:val="1FBB35CD"/>
    <w:rsid w:val="1FCD26AF"/>
    <w:rsid w:val="20642787"/>
    <w:rsid w:val="21556F04"/>
    <w:rsid w:val="22403BD3"/>
    <w:rsid w:val="24B92327"/>
    <w:rsid w:val="24C14514"/>
    <w:rsid w:val="2533755C"/>
    <w:rsid w:val="25791755"/>
    <w:rsid w:val="26396DF4"/>
    <w:rsid w:val="27167136"/>
    <w:rsid w:val="27B23302"/>
    <w:rsid w:val="29310A5F"/>
    <w:rsid w:val="29C37A35"/>
    <w:rsid w:val="2A076083"/>
    <w:rsid w:val="2A73162E"/>
    <w:rsid w:val="2B167953"/>
    <w:rsid w:val="2B200583"/>
    <w:rsid w:val="2B8209DE"/>
    <w:rsid w:val="2C6762A3"/>
    <w:rsid w:val="2FCA4B37"/>
    <w:rsid w:val="2FE029D7"/>
    <w:rsid w:val="2FF06E00"/>
    <w:rsid w:val="30586FEC"/>
    <w:rsid w:val="315F0B22"/>
    <w:rsid w:val="31D84415"/>
    <w:rsid w:val="32285F6F"/>
    <w:rsid w:val="32770556"/>
    <w:rsid w:val="329C0913"/>
    <w:rsid w:val="32AA0460"/>
    <w:rsid w:val="3337290D"/>
    <w:rsid w:val="33E31118"/>
    <w:rsid w:val="33EF7674"/>
    <w:rsid w:val="342D7BC6"/>
    <w:rsid w:val="352930DB"/>
    <w:rsid w:val="35573069"/>
    <w:rsid w:val="355F6038"/>
    <w:rsid w:val="358C217E"/>
    <w:rsid w:val="36C9128A"/>
    <w:rsid w:val="37841E99"/>
    <w:rsid w:val="37BF1123"/>
    <w:rsid w:val="383C3F15"/>
    <w:rsid w:val="38BE4696"/>
    <w:rsid w:val="39377B43"/>
    <w:rsid w:val="3939115E"/>
    <w:rsid w:val="39B82A39"/>
    <w:rsid w:val="39C42CA8"/>
    <w:rsid w:val="39DC4FD6"/>
    <w:rsid w:val="39F03D7A"/>
    <w:rsid w:val="39F33306"/>
    <w:rsid w:val="3A2C1C67"/>
    <w:rsid w:val="3ADD7F09"/>
    <w:rsid w:val="3B1705E5"/>
    <w:rsid w:val="3B18334B"/>
    <w:rsid w:val="3B36794F"/>
    <w:rsid w:val="3B6F6EE0"/>
    <w:rsid w:val="3C566AD6"/>
    <w:rsid w:val="3C594871"/>
    <w:rsid w:val="3C6A5B02"/>
    <w:rsid w:val="3D2757A1"/>
    <w:rsid w:val="3D3D4FC4"/>
    <w:rsid w:val="3DDF3AB1"/>
    <w:rsid w:val="3E1D0952"/>
    <w:rsid w:val="3E42660A"/>
    <w:rsid w:val="3E7555B1"/>
    <w:rsid w:val="3E787ED9"/>
    <w:rsid w:val="3F032E93"/>
    <w:rsid w:val="3F0527E5"/>
    <w:rsid w:val="3F694D83"/>
    <w:rsid w:val="3F885DCC"/>
    <w:rsid w:val="3FCD675E"/>
    <w:rsid w:val="4004000C"/>
    <w:rsid w:val="411B6CE5"/>
    <w:rsid w:val="412070D7"/>
    <w:rsid w:val="41314E40"/>
    <w:rsid w:val="41E0734B"/>
    <w:rsid w:val="426C1EA8"/>
    <w:rsid w:val="42736402"/>
    <w:rsid w:val="42E86A87"/>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B135857"/>
    <w:rsid w:val="4B7951CB"/>
    <w:rsid w:val="4B7C315C"/>
    <w:rsid w:val="4DAC4ACA"/>
    <w:rsid w:val="4DBE01D2"/>
    <w:rsid w:val="4F0C6BA3"/>
    <w:rsid w:val="4F186D58"/>
    <w:rsid w:val="50F06B6E"/>
    <w:rsid w:val="51D21804"/>
    <w:rsid w:val="52234D33"/>
    <w:rsid w:val="522F6E0C"/>
    <w:rsid w:val="52463BA1"/>
    <w:rsid w:val="52F163D4"/>
    <w:rsid w:val="531A2DB4"/>
    <w:rsid w:val="53C0244D"/>
    <w:rsid w:val="53DD4D4E"/>
    <w:rsid w:val="53E578CE"/>
    <w:rsid w:val="541330F0"/>
    <w:rsid w:val="54272666"/>
    <w:rsid w:val="543B029D"/>
    <w:rsid w:val="54861779"/>
    <w:rsid w:val="552256E1"/>
    <w:rsid w:val="554E5773"/>
    <w:rsid w:val="555A3CBC"/>
    <w:rsid w:val="5582012B"/>
    <w:rsid w:val="558E4E05"/>
    <w:rsid w:val="55BE2E85"/>
    <w:rsid w:val="56530F5D"/>
    <w:rsid w:val="567700D3"/>
    <w:rsid w:val="56FF7E9E"/>
    <w:rsid w:val="578867FC"/>
    <w:rsid w:val="5842572D"/>
    <w:rsid w:val="5A3B59D6"/>
    <w:rsid w:val="5AD134D8"/>
    <w:rsid w:val="5C263CE4"/>
    <w:rsid w:val="5C5D2777"/>
    <w:rsid w:val="5CF66BF3"/>
    <w:rsid w:val="5D290C69"/>
    <w:rsid w:val="5F2D4A41"/>
    <w:rsid w:val="60C74F6C"/>
    <w:rsid w:val="61025A59"/>
    <w:rsid w:val="613D5BBC"/>
    <w:rsid w:val="61536C39"/>
    <w:rsid w:val="62944DD7"/>
    <w:rsid w:val="6319381F"/>
    <w:rsid w:val="63C25DC5"/>
    <w:rsid w:val="63C62057"/>
    <w:rsid w:val="64571EF5"/>
    <w:rsid w:val="64FB113D"/>
    <w:rsid w:val="656152C6"/>
    <w:rsid w:val="6587477F"/>
    <w:rsid w:val="658C3A08"/>
    <w:rsid w:val="65C031CA"/>
    <w:rsid w:val="65CE6852"/>
    <w:rsid w:val="66267C04"/>
    <w:rsid w:val="663F505A"/>
    <w:rsid w:val="66EE5541"/>
    <w:rsid w:val="67924660"/>
    <w:rsid w:val="68407834"/>
    <w:rsid w:val="6883293E"/>
    <w:rsid w:val="688412AD"/>
    <w:rsid w:val="68EB1B71"/>
    <w:rsid w:val="6AAD2300"/>
    <w:rsid w:val="6B474EF5"/>
    <w:rsid w:val="6B814CC9"/>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2DB435C"/>
    <w:rsid w:val="72E2613A"/>
    <w:rsid w:val="72F771F4"/>
    <w:rsid w:val="73934AD2"/>
    <w:rsid w:val="750837F0"/>
    <w:rsid w:val="754758CF"/>
    <w:rsid w:val="764F62AB"/>
    <w:rsid w:val="765C45EC"/>
    <w:rsid w:val="768A7619"/>
    <w:rsid w:val="772E1EBA"/>
    <w:rsid w:val="781926BC"/>
    <w:rsid w:val="796D60A4"/>
    <w:rsid w:val="79A031D5"/>
    <w:rsid w:val="7A1525F7"/>
    <w:rsid w:val="7B420052"/>
    <w:rsid w:val="7BD06A28"/>
    <w:rsid w:val="7C3A7C0B"/>
    <w:rsid w:val="7C5248E4"/>
    <w:rsid w:val="7C566698"/>
    <w:rsid w:val="7C5866A3"/>
    <w:rsid w:val="7D7406BB"/>
    <w:rsid w:val="7DE94331"/>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pPr>
    <w:rPr>
      <w:sz w:val="18"/>
      <w:szCs w:val="18"/>
    </w:rPr>
  </w:style>
  <w:style w:type="paragraph" w:styleId="3">
    <w:name w:val="header"/>
    <w:basedOn w:val="1"/>
    <w:qFormat/>
    <w:uiPriority w:val="0"/>
    <w:pPr>
      <w:tabs>
        <w:tab w:val="center" w:pos="4153"/>
        <w:tab w:val="right" w:pos="8306"/>
      </w:tabs>
      <w:snapToGrid w:val="0"/>
      <w:jc w:val="center"/>
    </w:pPr>
    <w:rPr>
      <w:sz w:val="18"/>
      <w:szCs w:val="18"/>
    </w:rPr>
  </w:style>
  <w:style w:type="paragraph" w:styleId="4">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5">
    <w:name w:val="Normal (Web)"/>
    <w:basedOn w:val="1"/>
    <w:unhideWhenUsed/>
    <w:qFormat/>
    <w:uiPriority w:val="0"/>
    <w:pPr>
      <w:spacing w:before="100" w:beforeAutospacing="1" w:after="100" w:afterAutospacing="1"/>
    </w:p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Strong"/>
    <w:qFormat/>
    <w:uiPriority w:val="0"/>
    <w:rPr>
      <w:b/>
    </w:rPr>
  </w:style>
  <w:style w:type="paragraph" w:customStyle="1" w:styleId="10">
    <w:name w:val="列出段落1"/>
    <w:basedOn w:val="1"/>
    <w:qFormat/>
    <w:uiPriority w:val="99"/>
    <w:pPr>
      <w:ind w:firstLine="420" w:firstLineChars="200"/>
    </w:pPr>
    <w:rPr>
      <w:rFonts w:hint="default"/>
    </w:rPr>
  </w:style>
  <w:style w:type="paragraph" w:customStyle="1" w:styleId="11">
    <w:name w:val="普通(网站) Char"/>
    <w:qFormat/>
    <w:uiPriority w:val="0"/>
    <w:pPr>
      <w:spacing w:before="100" w:beforeAutospacing="1" w:after="100" w:afterAutospacing="1"/>
    </w:pPr>
    <w:rPr>
      <w:rFonts w:hint="default" w:ascii="宋体" w:hAnsi="宋体" w:eastAsia="宋体" w:cs="Times New Roman"/>
      <w:sz w:val="24"/>
      <w:szCs w:val="24"/>
      <w:lang w:val="en-US" w:eastAsia="zh-CN" w:bidi="ar-SA"/>
    </w:rPr>
  </w:style>
  <w:style w:type="character" w:customStyle="1" w:styleId="12">
    <w:name w:val="21"/>
    <w:qFormat/>
    <w:uiPriority w:val="0"/>
    <w:rPr>
      <w:rFonts w:hint="default" w:ascii="Wingdings" w:hAnsi="Wingdings" w:cs="Wingdings"/>
      <w:b/>
      <w:bCs/>
    </w:rPr>
  </w:style>
  <w:style w:type="paragraph" w:customStyle="1" w:styleId="13">
    <w:name w:val="List Paragraph"/>
    <w:qFormat/>
    <w:uiPriority w:val="99"/>
    <w:pPr>
      <w:ind w:firstLine="420" w:firstLineChars="200"/>
    </w:pPr>
    <w:rPr>
      <w:rFonts w:hint="default" w:ascii="宋体" w:hAnsi="宋体" w:eastAsia="宋体"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25</Pages>
  <Words>7553</Words>
  <Characters>8905</Characters>
  <Lines>161</Lines>
  <Paragraphs>45</Paragraphs>
  <TotalTime>0</TotalTime>
  <ScaleCrop>false</ScaleCrop>
  <LinksUpToDate>false</LinksUpToDate>
  <CharactersWithSpaces>9922</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WPS_1691481702</cp:lastModifiedBy>
  <dcterms:modified xsi:type="dcterms:W3CDTF">2024-08-21T07:13:46Z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BB46EABDBB2749749395447164B066B3_12</vt:lpwstr>
  </property>
</Properties>
</file>