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3CB3">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rPr>
      </w:pPr>
      <w:r>
        <w:rPr>
          <w:rFonts w:ascii="Times New Roman" w:hAnsi="Times New Roman" w:eastAsia="方正小标宋_GBK" w:cs="方正小标宋_GBK"/>
          <w:b w:val="0"/>
          <w:bCs w:val="0"/>
          <w:sz w:val="36"/>
          <w:szCs w:val="36"/>
        </w:rPr>
        <w:t>重庆市潼南区田家镇文化服务中心2023年度决算</w:t>
      </w:r>
      <w:r>
        <w:rPr>
          <w:rFonts w:hint="eastAsia" w:ascii="Times New Roman" w:hAnsi="Times New Roman" w:eastAsia="方正小标宋_GBK" w:cs="方正小标宋_GBK"/>
          <w:b w:val="0"/>
          <w:bCs w:val="0"/>
          <w:sz w:val="36"/>
          <w:szCs w:val="36"/>
          <w:lang w:eastAsia="zh-CN"/>
        </w:rPr>
        <w:t>公开</w:t>
      </w:r>
      <w:r>
        <w:rPr>
          <w:rFonts w:ascii="Times New Roman" w:hAnsi="Times New Roman" w:eastAsia="方正小标宋_GBK" w:cs="方正小标宋_GBK"/>
          <w:b w:val="0"/>
          <w:bCs w:val="0"/>
          <w:sz w:val="36"/>
          <w:szCs w:val="36"/>
        </w:rPr>
        <w:t>说明</w:t>
      </w:r>
    </w:p>
    <w:p w14:paraId="77EF5836">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rPr>
      </w:pPr>
    </w:p>
    <w:p w14:paraId="7B727C58">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Fonts w:hint="eastAsia" w:ascii="Times New Roman" w:hAnsi="Times New Roman" w:eastAsia="黑体" w:cs="黑体"/>
          <w:b w:val="0"/>
          <w:bCs w:val="0"/>
          <w:sz w:val="32"/>
          <w:szCs w:val="32"/>
        </w:rPr>
      </w:pPr>
      <w:r>
        <w:rPr>
          <w:rStyle w:val="9"/>
          <w:rFonts w:hint="eastAsia" w:ascii="Times New Roman" w:hAnsi="Times New Roman" w:eastAsia="黑体" w:cs="黑体"/>
          <w:b w:val="0"/>
          <w:bCs w:val="0"/>
          <w:sz w:val="32"/>
          <w:szCs w:val="32"/>
          <w:shd w:val="clear" w:color="auto" w:fill="FFFFFF"/>
        </w:rPr>
        <w:t>一、部门基本情况</w:t>
      </w:r>
    </w:p>
    <w:p w14:paraId="5F9927D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420"/>
        <w:rPr>
          <w:rFonts w:hint="default" w:ascii="Times New Roman" w:hAnsi="Times New Roman" w:eastAsia="方正仿宋_GBK" w:cs="方正仿宋_GBK"/>
          <w:b w:val="0"/>
          <w:bCs w:val="0"/>
          <w:sz w:val="32"/>
          <w:szCs w:val="32"/>
        </w:rPr>
      </w:pPr>
      <w:r>
        <w:rPr>
          <w:rStyle w:val="9"/>
          <w:rFonts w:hint="eastAsia" w:ascii="Times New Roman" w:hAnsi="Times New Roman" w:eastAsia="方正楷体_GBK" w:cs="方正楷体_GBK"/>
          <w:b w:val="0"/>
          <w:bCs w:val="0"/>
          <w:sz w:val="32"/>
          <w:szCs w:val="32"/>
          <w:shd w:val="clear" w:color="auto" w:fill="FFFFFF"/>
        </w:rPr>
        <w:t>（一）职能职责</w:t>
      </w:r>
    </w:p>
    <w:p w14:paraId="1B1CAAB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主要负责组织开展宣传、教育、文化、旅游、报刊阅读、科普培训、信息服务、体育健身和文化交流等活动,开展旅游咨询和市场推广等服务工作,做好文化遗产保护和文化旅游市场监管工作。</w:t>
      </w:r>
    </w:p>
    <w:p w14:paraId="4B0BC3D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420"/>
        <w:rPr>
          <w:rStyle w:val="9"/>
          <w:rFonts w:hint="eastAsia" w:ascii="Times New Roman" w:hAnsi="Times New Roman" w:eastAsia="方正楷体_GBK" w:cs="方正楷体_GBK"/>
          <w:b w:val="0"/>
          <w:bCs w:val="0"/>
          <w:sz w:val="32"/>
          <w:szCs w:val="32"/>
          <w:shd w:val="clear" w:color="auto" w:fill="FFFFFF"/>
        </w:rPr>
      </w:pPr>
      <w:r>
        <w:rPr>
          <w:rStyle w:val="9"/>
          <w:rFonts w:hint="eastAsia" w:ascii="Times New Roman" w:hAnsi="Times New Roman" w:eastAsia="方正楷体_GBK" w:cs="方正楷体_GBK"/>
          <w:b w:val="0"/>
          <w:bCs w:val="0"/>
          <w:sz w:val="32"/>
          <w:szCs w:val="32"/>
          <w:shd w:val="clear" w:color="auto" w:fill="FFFFFF"/>
        </w:rPr>
        <w:t>（二）机构设置</w:t>
      </w:r>
    </w:p>
    <w:p w14:paraId="20F3C4E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rPr>
          <w:rFonts w:hint="default" w:ascii="Times New Roman" w:hAnsi="Times New Roman" w:eastAsia="方正仿宋_GBK" w:cs="方正仿宋_GBK"/>
          <w:b w:val="0"/>
          <w:bCs w:val="0"/>
          <w:i w:val="0"/>
          <w:iCs w:val="0"/>
          <w:caps w:val="0"/>
          <w:color w:val="333333"/>
          <w:spacing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本单位为重庆市潼南区</w:t>
      </w:r>
      <w:r>
        <w:rPr>
          <w:rFonts w:hint="eastAsia" w:ascii="Times New Roman" w:hAnsi="Times New Roman" w:eastAsia="方正仿宋_GBK" w:cs="方正仿宋_GBK"/>
          <w:b w:val="0"/>
          <w:bCs w:val="0"/>
          <w:sz w:val="32"/>
          <w:szCs w:val="32"/>
          <w:shd w:val="clear" w:color="auto" w:fill="FFFFFF"/>
          <w:lang w:val="en-US" w:eastAsia="zh-CN"/>
        </w:rPr>
        <w:t>田家镇</w:t>
      </w:r>
      <w:r>
        <w:rPr>
          <w:rFonts w:hint="eastAsia" w:ascii="Times New Roman" w:hAnsi="Times New Roman" w:eastAsia="方正仿宋_GBK" w:cs="方正仿宋_GBK"/>
          <w:b w:val="0"/>
          <w:bCs w:val="0"/>
          <w:sz w:val="32"/>
          <w:szCs w:val="32"/>
          <w:shd w:val="clear" w:color="auto" w:fill="FFFFFF"/>
        </w:rPr>
        <w:t>人民政府</w:t>
      </w:r>
      <w:r>
        <w:rPr>
          <w:rFonts w:hint="eastAsia" w:ascii="Times New Roman" w:hAnsi="Times New Roman" w:eastAsia="方正仿宋_GBK" w:cs="方正仿宋_GBK"/>
          <w:b w:val="0"/>
          <w:bCs w:val="0"/>
          <w:sz w:val="32"/>
          <w:szCs w:val="32"/>
          <w:shd w:val="clear" w:color="auto" w:fill="FFFFFF"/>
          <w:lang w:eastAsia="zh-CN"/>
        </w:rPr>
        <w:t>下属</w:t>
      </w:r>
      <w:r>
        <w:rPr>
          <w:rFonts w:hint="eastAsia" w:ascii="Times New Roman" w:hAnsi="Times New Roman" w:eastAsia="方正仿宋_GBK" w:cs="方正仿宋_GBK"/>
          <w:b w:val="0"/>
          <w:bCs w:val="0"/>
          <w:sz w:val="32"/>
          <w:szCs w:val="32"/>
          <w:shd w:val="clear" w:color="auto" w:fill="FFFFFF"/>
        </w:rPr>
        <w:t>二级预算单位，单位类型为公益一类事业单位。本单位</w:t>
      </w:r>
      <w:r>
        <w:rPr>
          <w:rFonts w:hint="eastAsia" w:ascii="Times New Roman" w:hAnsi="Times New Roman" w:eastAsia="方正仿宋_GBK" w:cs="方正仿宋_GBK"/>
          <w:b w:val="0"/>
          <w:bCs w:val="0"/>
          <w:sz w:val="32"/>
          <w:szCs w:val="32"/>
          <w:shd w:val="clear" w:color="auto" w:fill="FFFFFF"/>
          <w:lang w:eastAsia="zh-CN"/>
        </w:rPr>
        <w:t>年末</w:t>
      </w:r>
      <w:r>
        <w:rPr>
          <w:rFonts w:hint="eastAsia" w:ascii="Times New Roman" w:hAnsi="Times New Roman" w:eastAsia="方正仿宋_GBK" w:cs="方正仿宋_GBK"/>
          <w:b w:val="0"/>
          <w:bCs w:val="0"/>
          <w:sz w:val="32"/>
          <w:szCs w:val="32"/>
          <w:shd w:val="clear" w:color="auto" w:fill="FFFFFF"/>
        </w:rPr>
        <w:t>实有在职职工</w:t>
      </w:r>
      <w:r>
        <w:rPr>
          <w:rFonts w:hint="eastAsia" w:ascii="Times New Roman" w:hAnsi="Times New Roman" w:eastAsia="方正仿宋_GBK" w:cs="方正仿宋_GBK"/>
          <w:b w:val="0"/>
          <w:bCs w:val="0"/>
          <w:sz w:val="32"/>
          <w:szCs w:val="32"/>
          <w:shd w:val="clear" w:color="auto" w:fill="FFFFFF"/>
          <w:lang w:val="en-US" w:eastAsia="zh-CN"/>
        </w:rPr>
        <w:t>3</w:t>
      </w:r>
      <w:r>
        <w:rPr>
          <w:rFonts w:hint="eastAsia" w:ascii="Times New Roman" w:hAnsi="Times New Roman" w:eastAsia="方正仿宋_GBK" w:cs="方正仿宋_GBK"/>
          <w:b w:val="0"/>
          <w:bCs w:val="0"/>
          <w:sz w:val="32"/>
          <w:szCs w:val="32"/>
          <w:shd w:val="clear" w:color="auto" w:fill="FFFFFF"/>
        </w:rPr>
        <w:t>人。</w:t>
      </w:r>
    </w:p>
    <w:p w14:paraId="6064F09B">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二、部门决算情况说明</w:t>
      </w:r>
    </w:p>
    <w:p w14:paraId="14E2EFB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Times New Roman" w:hAnsi="Times New Roman" w:eastAsia="方正楷体_GBK" w:cs="方正楷体_GBK"/>
          <w:b w:val="0"/>
          <w:bCs w:val="0"/>
          <w:sz w:val="32"/>
          <w:szCs w:val="32"/>
          <w:shd w:val="clear" w:color="auto" w:fill="FFFFFF"/>
        </w:rPr>
      </w:pPr>
      <w:r>
        <w:rPr>
          <w:rStyle w:val="9"/>
          <w:rFonts w:hint="eastAsia" w:ascii="Times New Roman" w:hAnsi="Times New Roman" w:eastAsia="方正楷体_GBK" w:cs="方正楷体_GBK"/>
          <w:b w:val="0"/>
          <w:bCs w:val="0"/>
          <w:sz w:val="32"/>
          <w:szCs w:val="32"/>
          <w:shd w:val="clear" w:color="auto" w:fill="FFFFFF"/>
        </w:rPr>
        <w:t>（一）收入支出决算总体情况说明。</w:t>
      </w:r>
    </w:p>
    <w:p w14:paraId="7399B599">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firstLine="640" w:firstLineChars="200"/>
        <w:rPr>
          <w:rFonts w:hint="default" w:ascii="Times New Roman" w:hAnsi="Times New Roman" w:eastAsia="方正仿宋_GBK" w:cs="方正仿宋_GBK"/>
          <w:b w:val="0"/>
          <w:bCs w:val="0"/>
          <w:sz w:val="32"/>
          <w:szCs w:val="32"/>
          <w:shd w:val="clear" w:color="auto" w:fill="FFFFFF"/>
          <w:lang w:val="en-US" w:eastAsia="zh-CN"/>
        </w:rPr>
      </w:pPr>
      <w:r>
        <w:rPr>
          <w:rStyle w:val="9"/>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2023年度收入总计54.31万元，支出总计</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万元。收支较上年决算数减少6.65万元，下降10.91%，主要原因是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hint="eastAsia" w:ascii="Times New Roman" w:hAnsi="Times New Roman" w:eastAsia="方正仿宋_GBK" w:cs="方正仿宋_GBK"/>
          <w:b w:val="0"/>
          <w:bCs w:val="0"/>
          <w:sz w:val="32"/>
          <w:szCs w:val="32"/>
          <w:highlight w:val="none"/>
          <w:shd w:val="clear" w:color="auto" w:fill="FFFFFF"/>
          <w:lang w:val="en-US" w:eastAsia="zh-CN"/>
        </w:rPr>
        <w:t>本单位压缩开支，日常公用经费减少</w:t>
      </w:r>
      <w:r>
        <w:rPr>
          <w:rFonts w:hint="eastAsia" w:ascii="Times New Roman" w:hAnsi="Times New Roman" w:eastAsia="方正仿宋_GBK" w:cs="方正仿宋_GBK"/>
          <w:b w:val="0"/>
          <w:bCs w:val="0"/>
          <w:sz w:val="32"/>
          <w:szCs w:val="32"/>
          <w:shd w:val="clear" w:color="auto" w:fill="FFFFFF"/>
          <w:lang w:val="en-US" w:eastAsia="zh-CN"/>
        </w:rPr>
        <w:t>。</w:t>
      </w:r>
    </w:p>
    <w:p w14:paraId="249FD32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w:t>
      </w:r>
      <w:r>
        <w:rPr>
          <w:rFonts w:hint="eastAsia" w:ascii="Times New Roman" w:hAnsi="Times New Roman" w:eastAsia="方正仿宋_GBK" w:cs="方正仿宋_GBK"/>
          <w:b w:val="0"/>
          <w:bCs w:val="0"/>
          <w:sz w:val="32"/>
          <w:szCs w:val="32"/>
          <w:shd w:val="clear" w:color="auto" w:fill="FFFFFF"/>
        </w:rPr>
        <w:t>54.31</w:t>
      </w:r>
      <w:r>
        <w:rPr>
          <w:rFonts w:ascii="Times New Roman" w:hAnsi="Times New Roman" w:eastAsia="方正仿宋_GBK" w:cs="方正仿宋_GBK"/>
          <w:b w:val="0"/>
          <w:bCs w:val="0"/>
          <w:sz w:val="32"/>
          <w:szCs w:val="32"/>
          <w:shd w:val="clear" w:color="auto" w:fill="FFFFFF"/>
        </w:rPr>
        <w:t>万元，较上年决算数减少6.65万元，下降10.91%，主要原因是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万元，占0.00%；其他收入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万元，占0.00%。此外，使用非财政拨款结余和专用结余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1FECC96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万元，较上年决算数减少6.65万元，下降10.91%，主要原因是</w:t>
      </w:r>
      <w:r>
        <w:rPr>
          <w:rFonts w:hint="eastAsia" w:ascii="Times New Roman" w:hAnsi="Times New Roman" w:eastAsia="方正仿宋_GBK" w:cs="方正仿宋_GBK"/>
          <w:b w:val="0"/>
          <w:bCs w:val="0"/>
          <w:sz w:val="32"/>
          <w:szCs w:val="32"/>
          <w:highlight w:val="none"/>
          <w:shd w:val="clear" w:color="auto" w:fill="FFFFFF"/>
          <w:lang w:val="en-US" w:eastAsia="zh-CN"/>
        </w:rPr>
        <w:t>2023年度本单位压缩开支，日常公用经费减少。</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万元，占100.00%；项目支出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万元，占0.00%。此外，结余分配</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0F06A9D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14:paraId="6BB45E40">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Times New Roman" w:hAnsi="Times New Roman" w:eastAsia="方正楷体_GBK" w:cs="方正楷体_GBK"/>
          <w:b w:val="0"/>
          <w:bCs w:val="0"/>
          <w:sz w:val="32"/>
          <w:szCs w:val="32"/>
          <w:shd w:val="clear" w:color="auto" w:fill="FFFFFF"/>
        </w:rPr>
      </w:pPr>
      <w:r>
        <w:rPr>
          <w:rStyle w:val="9"/>
          <w:rFonts w:hint="eastAsia" w:ascii="Times New Roman" w:hAnsi="Times New Roman" w:eastAsia="方正楷体_GBK" w:cs="方正楷体_GBK"/>
          <w:b w:val="0"/>
          <w:bCs w:val="0"/>
          <w:sz w:val="32"/>
          <w:szCs w:val="32"/>
          <w:shd w:val="clear" w:color="auto" w:fill="FFFFFF"/>
        </w:rPr>
        <w:t>（二）财政拨款收入支出决算总体情况说明</w:t>
      </w:r>
    </w:p>
    <w:p w14:paraId="31F83BE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w:t>
      </w:r>
      <w:r>
        <w:rPr>
          <w:rFonts w:hint="eastAsia" w:ascii="Times New Roman" w:hAnsi="Times New Roman" w:eastAsia="方正仿宋_GBK" w:cs="方正仿宋_GBK"/>
          <w:b w:val="0"/>
          <w:bCs w:val="0"/>
          <w:sz w:val="32"/>
          <w:szCs w:val="32"/>
          <w:shd w:val="clear" w:color="auto" w:fill="FFFFFF"/>
        </w:rPr>
        <w:t>54.31</w:t>
      </w:r>
      <w:r>
        <w:rPr>
          <w:rFonts w:ascii="Times New Roman" w:hAnsi="Times New Roman" w:eastAsia="方正仿宋_GBK" w:cs="方正仿宋_GBK"/>
          <w:b w:val="0"/>
          <w:bCs w:val="0"/>
          <w:sz w:val="32"/>
          <w:szCs w:val="32"/>
          <w:shd w:val="clear" w:color="auto" w:fill="FFFFFF"/>
        </w:rPr>
        <w:t>万元。与2022年相比，财政拨款收、支总计各减少6.65万元，下降10.91%。主要原因是</w:t>
      </w:r>
      <w:r>
        <w:rPr>
          <w:rFonts w:hint="eastAsia" w:ascii="Times New Roman" w:hAnsi="Times New Roman" w:eastAsia="方正仿宋_GBK" w:cs="方正仿宋_GBK"/>
          <w:b w:val="0"/>
          <w:bCs w:val="0"/>
          <w:sz w:val="32"/>
          <w:szCs w:val="32"/>
          <w:shd w:val="clear" w:color="auto" w:fill="FFFFFF"/>
          <w:lang w:val="en-US" w:eastAsia="zh-CN"/>
        </w:rPr>
        <w:t>2023年度本单位落实过紧日子的财政政策，压缩开支。</w:t>
      </w:r>
    </w:p>
    <w:p w14:paraId="319872C5">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Times New Roman" w:hAnsi="Times New Roman" w:eastAsia="方正楷体_GBK" w:cs="方正楷体_GBK"/>
          <w:b w:val="0"/>
          <w:bCs w:val="0"/>
          <w:sz w:val="32"/>
          <w:szCs w:val="32"/>
          <w:shd w:val="clear" w:color="auto" w:fill="FFFFFF"/>
        </w:rPr>
      </w:pPr>
      <w:r>
        <w:rPr>
          <w:rStyle w:val="9"/>
          <w:rFonts w:hint="eastAsia" w:ascii="Times New Roman" w:hAnsi="Times New Roman" w:eastAsia="方正楷体_GBK" w:cs="方正楷体_GBK"/>
          <w:b w:val="0"/>
          <w:bCs w:val="0"/>
          <w:sz w:val="32"/>
          <w:szCs w:val="32"/>
          <w:shd w:val="clear" w:color="auto" w:fill="FFFFFF"/>
        </w:rPr>
        <w:t>（三）一般公共预算财政拨款收入支出决算情况说明</w:t>
      </w:r>
    </w:p>
    <w:p w14:paraId="4FD8F12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万元，较上年决算数减少6.65万元，下降10.91%。主要原因是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2023年一般公共预算财政拨款较上年减少。</w:t>
      </w:r>
      <w:r>
        <w:rPr>
          <w:rFonts w:ascii="Times New Roman" w:hAnsi="Times New Roman" w:eastAsia="方正仿宋_GBK" w:cs="方正仿宋_GBK"/>
          <w:b w:val="0"/>
          <w:bCs w:val="0"/>
          <w:sz w:val="32"/>
          <w:szCs w:val="32"/>
          <w:shd w:val="clear" w:color="auto" w:fill="FFFFFF"/>
        </w:rPr>
        <w:t>较年初预算数减少7.60万元，下降12.28%。主要原因是</w:t>
      </w:r>
      <w:r>
        <w:rPr>
          <w:rFonts w:hint="eastAsia" w:ascii="Times New Roman" w:hAnsi="Times New Roman" w:eastAsia="方正仿宋_GBK" w:cs="方正仿宋_GBK"/>
          <w:b w:val="0"/>
          <w:bCs w:val="0"/>
          <w:sz w:val="32"/>
          <w:szCs w:val="32"/>
          <w:shd w:val="clear" w:color="auto" w:fill="FFFFFF"/>
          <w:lang w:eastAsia="zh-CN"/>
        </w:rPr>
        <w:t>年中追减公用经费。</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3A24C4A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shd w:val="clear" w:color="auto" w:fill="FFFFFF"/>
          <w:lang w:eastAsia="zh-CN"/>
        </w:rPr>
      </w:pPr>
      <w:r>
        <w:rPr>
          <w:rStyle w:val="9"/>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万元，较上年决算数减少6.65万元，下降10.91%。主要原因是</w:t>
      </w:r>
      <w:r>
        <w:rPr>
          <w:rFonts w:hint="eastAsia" w:ascii="Times New Roman" w:hAnsi="Times New Roman" w:eastAsia="方正仿宋_GBK" w:cs="方正仿宋_GBK"/>
          <w:b w:val="0"/>
          <w:bCs w:val="0"/>
          <w:sz w:val="32"/>
          <w:szCs w:val="32"/>
          <w:highlight w:val="none"/>
          <w:shd w:val="clear" w:color="auto" w:fill="FFFFFF"/>
          <w:lang w:val="en-US" w:eastAsia="zh-CN"/>
        </w:rPr>
        <w:t>2023年度本单位压缩开支，日常公用经费减少。</w:t>
      </w:r>
      <w:r>
        <w:rPr>
          <w:rFonts w:ascii="Times New Roman" w:hAnsi="Times New Roman" w:eastAsia="方正仿宋_GBK" w:cs="方正仿宋_GBK"/>
          <w:b w:val="0"/>
          <w:bCs w:val="0"/>
          <w:sz w:val="32"/>
          <w:szCs w:val="32"/>
          <w:shd w:val="clear" w:color="auto" w:fill="FFFFFF"/>
        </w:rPr>
        <w:t>较年初预算数减少7.60万元，下降12.28%。主要原因是</w:t>
      </w:r>
      <w:r>
        <w:rPr>
          <w:rFonts w:hint="eastAsia" w:ascii="Times New Roman" w:hAnsi="Times New Roman" w:eastAsia="方正仿宋_GBK" w:cs="方正仿宋_GBK"/>
          <w:b w:val="0"/>
          <w:bCs w:val="0"/>
          <w:sz w:val="32"/>
          <w:szCs w:val="32"/>
          <w:shd w:val="clear" w:color="auto" w:fill="FFFFFF"/>
          <w:lang w:eastAsia="zh-CN"/>
        </w:rPr>
        <w:t>年中追减公用经费。</w:t>
      </w:r>
    </w:p>
    <w:p w14:paraId="654791C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p>
    <w:p w14:paraId="3D3F54F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color w:val="FF0000"/>
          <w:sz w:val="32"/>
          <w:szCs w:val="32"/>
          <w:highlight w:val="cyan"/>
          <w:shd w:val="clear" w:color="auto" w:fill="FFFFFF"/>
        </w:rPr>
      </w:pPr>
      <w:r>
        <w:rPr>
          <w:rStyle w:val="9"/>
          <w:rFonts w:ascii="Times New Roman" w:hAnsi="Times New Roman" w:eastAsia="方正仿宋_GBK" w:cs="方正仿宋_GBK"/>
          <w:b w:val="0"/>
          <w:bCs w:val="0"/>
          <w:sz w:val="32"/>
          <w:szCs w:val="32"/>
          <w:shd w:val="clear" w:color="auto" w:fill="FFFFFF"/>
        </w:rPr>
        <w:t xml:space="preserve"> 4.比较情况。</w:t>
      </w:r>
      <w:r>
        <w:rPr>
          <w:rFonts w:ascii="Times New Roman" w:hAnsi="Times New Roman" w:eastAsia="方正仿宋_GBK" w:cs="方正仿宋_GBK"/>
          <w:b w:val="0"/>
          <w:bCs w:val="0"/>
          <w:sz w:val="32"/>
          <w:szCs w:val="32"/>
          <w:shd w:val="clear" w:color="auto" w:fill="FFFFFF"/>
        </w:rPr>
        <w:t>本部门2023年度一般公共预算财政拨款支出主要用于以下几个方面：</w:t>
      </w:r>
    </w:p>
    <w:p w14:paraId="0505D43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1</w:t>
      </w:r>
      <w:r>
        <w:rPr>
          <w:rFonts w:ascii="Times New Roman" w:hAnsi="Times New Roman" w:eastAsia="方正仿宋_GBK" w:cs="方正仿宋_GBK"/>
          <w:b w:val="0"/>
          <w:bCs w:val="0"/>
          <w:sz w:val="32"/>
          <w:szCs w:val="32"/>
          <w:shd w:val="clear" w:color="auto" w:fill="FFFFFF"/>
        </w:rPr>
        <w:t>）文化旅游体育与传媒支出</w:t>
      </w:r>
      <w:r>
        <w:rPr>
          <w:rFonts w:ascii="Times New Roman" w:hAnsi="Times New Roman" w:eastAsia="方正仿宋_GBK" w:cs="方正仿宋_GBK"/>
          <w:b w:val="0"/>
          <w:bCs w:val="0"/>
          <w:sz w:val="32"/>
          <w:szCs w:val="32"/>
        </w:rPr>
        <w:t>42.88</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78.95</w:t>
      </w:r>
      <w:r>
        <w:rPr>
          <w:rFonts w:ascii="Times New Roman" w:hAnsi="Times New Roman" w:eastAsia="方正仿宋_GBK" w:cs="方正仿宋_GBK"/>
          <w:b w:val="0"/>
          <w:bCs w:val="0"/>
          <w:sz w:val="32"/>
          <w:szCs w:val="32"/>
          <w:shd w:val="clear" w:color="auto" w:fill="FFFFFF"/>
        </w:rPr>
        <w:t>%，较年初预算数减少7.54万元，下降14.95%，主要原因是</w:t>
      </w:r>
      <w:r>
        <w:rPr>
          <w:rFonts w:hint="eastAsia" w:ascii="Times New Roman" w:hAnsi="Times New Roman" w:eastAsia="方正仿宋_GBK" w:cs="方正仿宋_GBK"/>
          <w:b w:val="0"/>
          <w:bCs w:val="0"/>
          <w:sz w:val="32"/>
          <w:szCs w:val="32"/>
          <w:highlight w:val="none"/>
          <w:shd w:val="clear" w:color="auto" w:fill="FFFFFF"/>
          <w:lang w:eastAsia="zh-CN"/>
        </w:rPr>
        <w:t>年中追减公用经费。</w:t>
      </w:r>
    </w:p>
    <w:p w14:paraId="0439E30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5.51</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10.14</w:t>
      </w:r>
      <w:r>
        <w:rPr>
          <w:rFonts w:ascii="Times New Roman" w:hAnsi="Times New Roman" w:eastAsia="方正仿宋_GBK" w:cs="方正仿宋_GBK"/>
          <w:b w:val="0"/>
          <w:bCs w:val="0"/>
          <w:sz w:val="32"/>
          <w:szCs w:val="32"/>
          <w:shd w:val="clear" w:color="auto" w:fill="FFFFFF"/>
        </w:rPr>
        <w:t>%，较年初预算数无增减</w:t>
      </w:r>
    </w:p>
    <w:p w14:paraId="0D0B8DA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2.77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5.11</w:t>
      </w:r>
      <w:r>
        <w:rPr>
          <w:rFonts w:ascii="Times New Roman" w:hAnsi="Times New Roman" w:eastAsia="方正仿宋_GBK" w:cs="方正仿宋_GBK"/>
          <w:b w:val="0"/>
          <w:bCs w:val="0"/>
          <w:sz w:val="32"/>
          <w:szCs w:val="32"/>
          <w:shd w:val="clear" w:color="auto" w:fill="FFFFFF"/>
        </w:rPr>
        <w:t>%，较年初预算数减少0.46万元，下降14.24%，主要原因是</w:t>
      </w:r>
      <w:r>
        <w:rPr>
          <w:rFonts w:hint="eastAsia" w:ascii="Times New Roman" w:hAnsi="Times New Roman" w:eastAsia="方正仿宋_GBK" w:cs="方正仿宋_GBK"/>
          <w:b w:val="0"/>
          <w:bCs w:val="0"/>
          <w:sz w:val="32"/>
          <w:szCs w:val="32"/>
          <w:highlight w:val="none"/>
          <w:shd w:val="clear" w:color="auto" w:fill="FFFFFF"/>
          <w:lang w:eastAsia="zh-CN"/>
        </w:rPr>
        <w:t>年中追减预算。</w:t>
      </w:r>
    </w:p>
    <w:p w14:paraId="52AB855A">
      <w:pPr>
        <w:keepNext w:val="0"/>
        <w:keepLines w:val="0"/>
        <w:pageBreakBefore w:val="0"/>
        <w:widowControl/>
        <w:kinsoku/>
        <w:overflowPunct/>
        <w:topLinePunct w:val="0"/>
        <w:autoSpaceDN/>
        <w:bidi w:val="0"/>
        <w:adjustRightInd/>
        <w:spacing w:beforeAutospacing="0" w:afterAutospacing="0" w:line="600" w:lineRule="exact"/>
        <w:ind w:firstLine="640" w:firstLineChars="200"/>
        <w:rPr>
          <w:rFonts w:hint="default" w:ascii="Times New Roman" w:hAnsi="Times New Roman" w:eastAsia="方正仿宋_GBK" w:cs="方正仿宋_GBK"/>
          <w:b w:val="0"/>
          <w:bCs w:val="0"/>
          <w:color w:val="FF0000"/>
          <w:sz w:val="32"/>
          <w:szCs w:val="32"/>
          <w:shd w:val="clear" w:color="auto" w:fill="FFFFFF"/>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住房保障支出3.15</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5.80</w:t>
      </w:r>
      <w:r>
        <w:rPr>
          <w:rFonts w:ascii="Times New Roman" w:hAnsi="Times New Roman" w:eastAsia="方正仿宋_GBK" w:cs="方正仿宋_GBK"/>
          <w:b w:val="0"/>
          <w:bCs w:val="0"/>
          <w:sz w:val="32"/>
          <w:szCs w:val="32"/>
          <w:shd w:val="clear" w:color="auto" w:fill="FFFFFF"/>
        </w:rPr>
        <w:t>%，较年初预算数增加0.40万元，增长14.55%，主要原因是</w:t>
      </w:r>
      <w:r>
        <w:rPr>
          <w:rFonts w:hint="eastAsia" w:ascii="Times New Roman" w:hAnsi="Times New Roman" w:eastAsia="方正仿宋_GBK" w:cs="方正仿宋_GBK"/>
          <w:b w:val="0"/>
          <w:bCs w:val="0"/>
          <w:sz w:val="32"/>
          <w:szCs w:val="32"/>
          <w:highlight w:val="none"/>
          <w:shd w:val="clear" w:color="auto" w:fill="FFFFFF"/>
          <w:lang w:eastAsia="zh-CN"/>
        </w:rPr>
        <w:t>年中追加职工公积金。</w:t>
      </w:r>
    </w:p>
    <w:p w14:paraId="40346EFC">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Times New Roman" w:hAnsi="Times New Roman" w:eastAsia="方正楷体_GBK" w:cs="方正楷体_GBK"/>
          <w:b w:val="0"/>
          <w:bCs w:val="0"/>
          <w:sz w:val="32"/>
          <w:szCs w:val="32"/>
          <w:shd w:val="clear" w:color="auto" w:fill="FFFFFF"/>
        </w:rPr>
      </w:pPr>
      <w:r>
        <w:rPr>
          <w:rStyle w:val="9"/>
          <w:rFonts w:hint="eastAsia" w:ascii="Times New Roman" w:hAnsi="Times New Roman" w:eastAsia="方正楷体_GBK" w:cs="方正楷体_GBK"/>
          <w:b w:val="0"/>
          <w:bCs w:val="0"/>
          <w:sz w:val="32"/>
          <w:szCs w:val="32"/>
          <w:shd w:val="clear" w:color="auto" w:fill="FFFFFF"/>
        </w:rPr>
        <w:t>（四）一般公共预算财政拨款基本支出决算情况说明</w:t>
      </w:r>
    </w:p>
    <w:p w14:paraId="7D435D5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54.31</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51.08</w:t>
      </w:r>
      <w:r>
        <w:rPr>
          <w:rFonts w:ascii="Times New Roman" w:hAnsi="Times New Roman" w:eastAsia="方正仿宋_GBK" w:cs="方正仿宋_GBK"/>
          <w:b w:val="0"/>
          <w:bCs w:val="0"/>
          <w:sz w:val="32"/>
          <w:szCs w:val="32"/>
          <w:shd w:val="clear" w:color="auto" w:fill="FFFFFF"/>
        </w:rPr>
        <w:t>万元，较上年决算数减少0.40万元，下降0.78%</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人员经费用途主要包括职工工资、社保费、公积金等。公用经费</w:t>
      </w:r>
      <w:r>
        <w:rPr>
          <w:rFonts w:ascii="Times New Roman" w:hAnsi="Times New Roman" w:eastAsia="方正仿宋_GBK" w:cs="方正仿宋_GBK"/>
          <w:b w:val="0"/>
          <w:bCs w:val="0"/>
          <w:sz w:val="32"/>
          <w:szCs w:val="32"/>
        </w:rPr>
        <w:t>3.23</w:t>
      </w:r>
      <w:r>
        <w:rPr>
          <w:rFonts w:ascii="Times New Roman" w:hAnsi="Times New Roman" w:eastAsia="方正仿宋_GBK" w:cs="方正仿宋_GBK"/>
          <w:b w:val="0"/>
          <w:bCs w:val="0"/>
          <w:sz w:val="32"/>
          <w:szCs w:val="32"/>
          <w:shd w:val="clear" w:color="auto" w:fill="FFFFFF"/>
        </w:rPr>
        <w:t>万元，较上年决算数减少6.25万元，下降65.93%，主要原因是</w:t>
      </w:r>
      <w:r>
        <w:rPr>
          <w:rFonts w:hint="eastAsia" w:ascii="Times New Roman" w:hAnsi="Times New Roman" w:eastAsia="方正仿宋_GBK" w:cs="方正仿宋_GBK"/>
          <w:b w:val="0"/>
          <w:bCs w:val="0"/>
          <w:sz w:val="32"/>
          <w:szCs w:val="32"/>
          <w:highlight w:val="none"/>
          <w:shd w:val="clear" w:color="auto" w:fill="FFFFFF"/>
          <w:lang w:val="en-US" w:eastAsia="zh-CN"/>
        </w:rPr>
        <w:t>2023年度本单位落实过紧日子的财政政策，压缩开支，日常公用经费减少。</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公用经费用途主要包括办公费、差旅费、维修费、公务接待费、工会经费、福利费、其他交通费等。</w:t>
      </w:r>
    </w:p>
    <w:p w14:paraId="3B0A5704">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（五）政府性基金预算收支决算情况说明</w:t>
      </w:r>
    </w:p>
    <w:p w14:paraId="0BE9C18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rPr>
      </w:pPr>
      <w:r>
        <w:rPr>
          <w:rFonts w:hint="eastAsia" w:ascii="Times New Roman" w:hAnsi="Times New Roman" w:eastAsia="方正仿宋_GBK" w:cs="方正仿宋_GBK"/>
          <w:b w:val="0"/>
          <w:bCs w:val="0"/>
          <w:sz w:val="32"/>
          <w:szCs w:val="32"/>
          <w:highlight w:val="none"/>
          <w:shd w:val="clear" w:color="auto" w:fill="FFFFFF"/>
        </w:rPr>
        <w:t>本</w:t>
      </w:r>
      <w:r>
        <w:rPr>
          <w:rFonts w:hint="eastAsia" w:ascii="Times New Roman" w:hAnsi="Times New Roman" w:eastAsia="方正仿宋_GBK" w:cs="方正仿宋_GBK"/>
          <w:b w:val="0"/>
          <w:bCs w:val="0"/>
          <w:sz w:val="32"/>
          <w:szCs w:val="32"/>
          <w:highlight w:val="none"/>
          <w:shd w:val="clear" w:color="auto" w:fill="FFFFFF"/>
          <w:lang w:eastAsia="zh-CN"/>
        </w:rPr>
        <w:t>单位</w:t>
      </w:r>
      <w:r>
        <w:rPr>
          <w:rFonts w:hint="eastAsia" w:ascii="Times New Roman" w:hAnsi="Times New Roman" w:eastAsia="方正仿宋_GBK" w:cs="方正仿宋_GBK"/>
          <w:b w:val="0"/>
          <w:bCs w:val="0"/>
          <w:sz w:val="32"/>
          <w:szCs w:val="32"/>
          <w:highlight w:val="none"/>
          <w:shd w:val="clear" w:color="auto" w:fill="FFFFFF"/>
        </w:rPr>
        <w:t>2023年度无政府性基金预算财政拨款收支。</w:t>
      </w:r>
    </w:p>
    <w:p w14:paraId="202F37CE">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（六）国有资本经营预算财政拨款支出决算情况说明</w:t>
      </w:r>
    </w:p>
    <w:p w14:paraId="72D7107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lang w:eastAsia="zh-CN"/>
        </w:rPr>
        <w:t>本单位2023年度无国有资本经营预算财政拨款支出。</w:t>
      </w:r>
    </w:p>
    <w:p w14:paraId="4EAFEBE7">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三、“三公”经费情况说明</w:t>
      </w:r>
    </w:p>
    <w:p w14:paraId="146C1065">
      <w:pPr>
        <w:pStyle w:val="10"/>
        <w:keepNext w:val="0"/>
        <w:keepLines w:val="0"/>
        <w:pageBreakBefore w:val="0"/>
        <w:widowControl/>
        <w:kinsoku/>
        <w:overflowPunct/>
        <w:topLinePunct w:val="0"/>
        <w:autoSpaceDE w:val="0"/>
        <w:autoSpaceDN/>
        <w:bidi w:val="0"/>
        <w:adjustRightInd/>
        <w:spacing w:beforeAutospacing="0" w:afterAutospacing="0" w:line="600" w:lineRule="exact"/>
        <w:ind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（一）“三公”经费支出总体情况说明</w:t>
      </w:r>
    </w:p>
    <w:p w14:paraId="0EAD549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shd w:val="clear" w:color="auto" w:fill="FFFFFF"/>
        </w:rPr>
        <w:t>2023年度“三公”经费支出共计</w:t>
      </w:r>
      <w:r>
        <w:rPr>
          <w:rFonts w:hint="eastAsia" w:ascii="Times New Roman" w:hAnsi="Times New Roman" w:eastAsia="方正仿宋_GBK" w:cs="方正仿宋_GBK"/>
          <w:b w:val="0"/>
          <w:bCs w:val="0"/>
          <w:sz w:val="32"/>
          <w:szCs w:val="32"/>
        </w:rPr>
        <w:t>0</w:t>
      </w:r>
      <w:r>
        <w:rPr>
          <w:rFonts w:hint="eastAsia" w:ascii="Times New Roman" w:hAnsi="Times New Roman" w:eastAsia="方正仿宋_GBK" w:cs="方正仿宋_GBK"/>
          <w:b w:val="0"/>
          <w:bCs w:val="0"/>
          <w:sz w:val="32"/>
          <w:szCs w:val="32"/>
          <w:highlight w:val="none"/>
          <w:shd w:val="clear" w:color="auto" w:fill="FFFFFF"/>
        </w:rPr>
        <w:t>万元，</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三公”经费</w:t>
      </w:r>
      <w:r>
        <w:rPr>
          <w:rFonts w:hint="eastAsia" w:ascii="Times New Roman" w:hAnsi="Times New Roman" w:eastAsia="方正仿宋_GBK" w:cs="方正仿宋_GBK"/>
          <w:b w:val="0"/>
          <w:bCs w:val="0"/>
          <w:sz w:val="32"/>
          <w:szCs w:val="32"/>
          <w:shd w:val="clear" w:color="auto" w:fill="FFFFFF"/>
          <w:lang w:eastAsia="zh-CN"/>
        </w:rPr>
        <w:t>支出。</w:t>
      </w:r>
    </w:p>
    <w:p w14:paraId="07DCA0E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（二）“三公”经费分项支出情况</w:t>
      </w:r>
    </w:p>
    <w:p w14:paraId="0FE47A1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因公出国（境）费用</w:t>
      </w:r>
      <w:r>
        <w:rPr>
          <w:rFonts w:hint="eastAsia" w:ascii="Times New Roman" w:hAnsi="Times New Roman" w:eastAsia="方正仿宋_GBK" w:cs="方正仿宋_GBK"/>
          <w:b w:val="0"/>
          <w:bCs w:val="0"/>
          <w:sz w:val="32"/>
          <w:szCs w:val="32"/>
          <w:highlight w:val="none"/>
          <w:lang w:eastAsia="zh-CN"/>
        </w:rPr>
        <w:t>。</w:t>
      </w:r>
    </w:p>
    <w:p w14:paraId="571E448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公务车购置费</w:t>
      </w:r>
      <w:r>
        <w:rPr>
          <w:rFonts w:hint="eastAsia" w:ascii="Times New Roman" w:hAnsi="Times New Roman" w:eastAsia="方正仿宋_GBK" w:cs="方正仿宋_GBK"/>
          <w:b w:val="0"/>
          <w:bCs w:val="0"/>
          <w:sz w:val="32"/>
          <w:szCs w:val="32"/>
          <w:highlight w:val="none"/>
          <w:lang w:eastAsia="zh-CN"/>
        </w:rPr>
        <w:t>。</w:t>
      </w:r>
    </w:p>
    <w:p w14:paraId="531349B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公务车运行维护费</w:t>
      </w:r>
      <w:r>
        <w:rPr>
          <w:rFonts w:hint="eastAsia" w:ascii="Times New Roman" w:hAnsi="Times New Roman" w:eastAsia="方正仿宋_GBK" w:cs="方正仿宋_GBK"/>
          <w:b w:val="0"/>
          <w:bCs w:val="0"/>
          <w:sz w:val="32"/>
          <w:szCs w:val="32"/>
          <w:highlight w:val="none"/>
          <w:lang w:eastAsia="zh-CN"/>
        </w:rPr>
        <w:t>。</w:t>
      </w:r>
    </w:p>
    <w:p w14:paraId="4C6C9DB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公务接待费</w:t>
      </w:r>
      <w:r>
        <w:rPr>
          <w:rFonts w:hint="eastAsia" w:ascii="Times New Roman" w:hAnsi="Times New Roman" w:eastAsia="方正仿宋_GBK" w:cs="方正仿宋_GBK"/>
          <w:b w:val="0"/>
          <w:bCs w:val="0"/>
          <w:sz w:val="32"/>
          <w:szCs w:val="32"/>
          <w:lang w:eastAsia="zh-CN"/>
        </w:rPr>
        <w:t>。</w:t>
      </w:r>
    </w:p>
    <w:p w14:paraId="51B57B55">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（三）“三公”经费实物量情况</w:t>
      </w:r>
    </w:p>
    <w:p w14:paraId="02763CA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2023年度本部门因公出国（境）共计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人。2023年本部门人均接待费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14:paraId="078BEA8C">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9"/>
          <w:rFonts w:hint="default" w:ascii="Times New Roman" w:hAnsi="Times New Roman" w:eastAsia="方正仿宋_GBK" w:cs="方正仿宋_GBK"/>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四、其他需要说明的事项</w:t>
      </w:r>
    </w:p>
    <w:p w14:paraId="3237141D">
      <w:pPr>
        <w:pStyle w:val="10"/>
        <w:keepNext w:val="0"/>
        <w:keepLines w:val="0"/>
        <w:pageBreakBefore w:val="0"/>
        <w:widowControl/>
        <w:kinsoku/>
        <w:overflowPunct/>
        <w:topLinePunct w:val="0"/>
        <w:autoSpaceDE w:val="0"/>
        <w:autoSpaceDN/>
        <w:bidi w:val="0"/>
        <w:adjustRightInd/>
        <w:spacing w:beforeAutospacing="0" w:afterAutospacing="0" w:line="600" w:lineRule="exact"/>
        <w:ind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（一）财政拨款会议费和培训费情况说明</w:t>
      </w:r>
    </w:p>
    <w:p w14:paraId="774D353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rPr>
        <w:t>本年度会议费支出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万元，较上年决算数无增减，本年度培训费支出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万元，较上年决算数无变化</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shd w:val="clear" w:color="auto" w:fill="FFFFFF"/>
          <w:lang w:val="en-US" w:eastAsia="zh-CN"/>
        </w:rPr>
        <w:t>田家镇文化服务中心</w:t>
      </w:r>
      <w:r>
        <w:rPr>
          <w:rFonts w:hint="eastAsia" w:ascii="Times New Roman" w:hAnsi="Times New Roman" w:eastAsia="方正仿宋_GBK" w:cs="方正仿宋_GBK"/>
          <w:b w:val="0"/>
          <w:bCs w:val="0"/>
          <w:sz w:val="32"/>
          <w:szCs w:val="32"/>
          <w:highlight w:val="none"/>
          <w:lang w:val="en-US" w:eastAsia="zh-CN"/>
        </w:rPr>
        <w:t>为田家镇人民政府下属事业单位</w:t>
      </w:r>
      <w:r>
        <w:rPr>
          <w:rFonts w:hint="eastAsia" w:ascii="Times New Roman" w:hAnsi="Times New Roman" w:eastAsia="方正仿宋_GBK" w:cs="方正仿宋_GBK"/>
          <w:b w:val="0"/>
          <w:bCs w:val="0"/>
          <w:sz w:val="32"/>
          <w:szCs w:val="32"/>
          <w:highlight w:val="none"/>
          <w:shd w:val="clear" w:color="auto" w:fill="FFFFFF"/>
        </w:rPr>
        <w:t>，</w:t>
      </w:r>
      <w:r>
        <w:rPr>
          <w:rFonts w:hint="eastAsia" w:ascii="Times New Roman" w:hAnsi="Times New Roman" w:eastAsia="方正仿宋_GBK" w:cs="方正仿宋_GBK"/>
          <w:b w:val="0"/>
          <w:bCs w:val="0"/>
          <w:sz w:val="32"/>
          <w:szCs w:val="32"/>
          <w:highlight w:val="none"/>
          <w:lang w:val="en-US" w:eastAsia="zh-CN"/>
        </w:rPr>
        <w:t>本单位2023年度未单独产生会议费和培训费。</w:t>
      </w:r>
      <w:r>
        <w:rPr>
          <w:rFonts w:hint="eastAsia" w:ascii="Times New Roman" w:hAnsi="Times New Roman" w:eastAsia="方正仿宋_GBK" w:cs="方正仿宋_GBK"/>
          <w:b w:val="0"/>
          <w:bCs w:val="0"/>
          <w:sz w:val="32"/>
          <w:szCs w:val="32"/>
          <w:highlight w:val="none"/>
          <w:lang w:eastAsia="zh-CN"/>
        </w:rPr>
        <w:t>）</w:t>
      </w:r>
    </w:p>
    <w:p w14:paraId="70A88D71">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（二）机关运行经费情况说明</w:t>
      </w:r>
    </w:p>
    <w:p w14:paraId="40AF5607">
      <w:pPr>
        <w:pStyle w:val="13"/>
        <w:keepNext w:val="0"/>
        <w:keepLines w:val="0"/>
        <w:pageBreakBefore w:val="0"/>
        <w:widowControl/>
        <w:kinsoku/>
        <w:overflowPunct/>
        <w:topLinePunct w:val="0"/>
        <w:autoSpaceDE w:val="0"/>
        <w:autoSpaceDN/>
        <w:bidi w:val="0"/>
        <w:adjustRightInd/>
        <w:spacing w:beforeAutospacing="0" w:afterAutospacing="0" w:line="600" w:lineRule="exact"/>
        <w:ind w:firstLine="640"/>
        <w:rPr>
          <w:rFonts w:hint="eastAsia" w:ascii="Times New Roman" w:hAnsi="Times New Roman" w:eastAsia="方正仿宋_GBK" w:cs="方正仿宋_GBK"/>
          <w:b w:val="0"/>
          <w:bCs w:val="0"/>
          <w:kern w:val="0"/>
          <w:sz w:val="32"/>
          <w:szCs w:val="32"/>
          <w:highlight w:val="none"/>
          <w:shd w:val="clear" w:color="auto" w:fill="FFFFFF"/>
          <w:lang w:val="en-US" w:eastAsia="zh-CN" w:bidi="ar"/>
        </w:rPr>
      </w:pPr>
      <w:r>
        <w:rPr>
          <w:rFonts w:hint="eastAsia" w:ascii="Times New Roman" w:hAnsi="Times New Roman" w:eastAsia="方正仿宋_GBK" w:cs="方正仿宋_GBK"/>
          <w:b w:val="0"/>
          <w:bCs w:val="0"/>
          <w:kern w:val="0"/>
          <w:sz w:val="32"/>
          <w:szCs w:val="32"/>
          <w:highlight w:val="none"/>
          <w:shd w:val="clear" w:color="auto" w:fill="FFFFFF"/>
          <w:lang w:val="en-US" w:eastAsia="zh-CN" w:bidi="ar"/>
        </w:rPr>
        <w:t>按照单位决算列报口径，我单位不在机关运行经费统计范围之内。</w:t>
      </w:r>
    </w:p>
    <w:p w14:paraId="4496CCBC">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（三）国有资产占用情况说明</w:t>
      </w:r>
    </w:p>
    <w:p w14:paraId="7C3B118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截至2023年12月31日，本部门共有车辆</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14:paraId="2EA15856">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楷体_GBK" w:cs="方正楷体_GBK"/>
          <w:b w:val="0"/>
          <w:bCs w:val="0"/>
          <w:sz w:val="32"/>
          <w:szCs w:val="32"/>
          <w:shd w:val="clear" w:color="auto" w:fill="FFFFFF"/>
          <w:lang w:bidi="ar"/>
        </w:rPr>
      </w:pPr>
      <w:r>
        <w:rPr>
          <w:rFonts w:hint="eastAsia" w:ascii="Times New Roman" w:hAnsi="Times New Roman" w:eastAsia="方正楷体_GBK" w:cs="方正楷体_GBK"/>
          <w:b w:val="0"/>
          <w:bCs w:val="0"/>
          <w:sz w:val="32"/>
          <w:szCs w:val="32"/>
          <w:shd w:val="clear" w:color="auto" w:fill="FFFFFF"/>
          <w:lang w:bidi="ar"/>
        </w:rPr>
        <w:t>（四）政府采购支出情况说明</w:t>
      </w:r>
    </w:p>
    <w:p w14:paraId="7A30623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ascii="Times New Roman" w:hAnsi="Times New Roman" w:eastAsia="方正仿宋_GBK" w:cs="方正仿宋_GBK"/>
          <w:b w:val="0"/>
          <w:bCs w:val="0"/>
          <w:color w:val="FF0000"/>
          <w:sz w:val="32"/>
          <w:szCs w:val="32"/>
          <w:shd w:val="clear" w:color="auto" w:fill="FFFFFF"/>
        </w:rPr>
      </w:pP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eastAsia" w:ascii="Times New Roman" w:hAnsi="Times New Roman" w:eastAsia="方正仿宋_GBK" w:cs="方正仿宋_GBK"/>
          <w:b w:val="0"/>
          <w:bCs w:val="0"/>
          <w:sz w:val="32"/>
          <w:szCs w:val="32"/>
          <w:highlight w:val="none"/>
          <w:shd w:val="clear" w:color="auto" w:fill="FFFFFF"/>
        </w:rPr>
        <w:t>年度我单位未发生政府采购事项</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shd w:val="clear" w:color="auto" w:fill="FFFFFF"/>
        </w:rPr>
        <w:t>无相关经费支出。</w:t>
      </w:r>
    </w:p>
    <w:p w14:paraId="0F2FF105">
      <w:pPr>
        <w:pStyle w:val="5"/>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预算绩效管理情况说明</w:t>
      </w:r>
    </w:p>
    <w:p w14:paraId="5DDC73F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（一）预算绩效管理工作开展情况</w:t>
      </w:r>
    </w:p>
    <w:p w14:paraId="3234108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lang w:eastAsia="zh-CN"/>
        </w:rPr>
      </w:pPr>
      <w:r>
        <w:rPr>
          <w:rFonts w:hint="eastAsia" w:ascii="Times New Roman" w:hAnsi="Times New Roman" w:eastAsia="方正仿宋_GBK" w:cs="方正仿宋_GBK"/>
          <w:b w:val="0"/>
          <w:bCs w:val="0"/>
          <w:sz w:val="32"/>
          <w:szCs w:val="32"/>
          <w:highlight w:val="none"/>
          <w:shd w:val="clear" w:color="auto" w:fill="FFFFFF"/>
        </w:rPr>
        <w:t>根据预算绩效管理要求，对</w:t>
      </w:r>
      <w:r>
        <w:rPr>
          <w:rFonts w:hint="eastAsia" w:ascii="Times New Roman" w:hAnsi="Times New Roman" w:eastAsia="方正仿宋_GBK" w:cs="方正仿宋_GBK"/>
          <w:b w:val="0"/>
          <w:bCs w:val="0"/>
          <w:sz w:val="32"/>
          <w:szCs w:val="32"/>
          <w:highlight w:val="none"/>
          <w:shd w:val="clear" w:color="auto" w:fill="FFFFFF"/>
          <w:lang w:eastAsia="zh-CN"/>
        </w:rPr>
        <w:t>田家镇人民政府</w:t>
      </w:r>
      <w:r>
        <w:rPr>
          <w:rFonts w:hint="eastAsia" w:ascii="Times New Roman" w:hAnsi="Times New Roman" w:eastAsia="方正仿宋_GBK" w:cs="方正仿宋_GBK"/>
          <w:b w:val="0"/>
          <w:bCs w:val="0"/>
          <w:sz w:val="32"/>
          <w:szCs w:val="32"/>
          <w:highlight w:val="none"/>
          <w:shd w:val="clear" w:color="auto" w:fill="FFFFFF"/>
        </w:rPr>
        <w:t>整体开展了绩效自评，但</w:t>
      </w:r>
      <w:r>
        <w:rPr>
          <w:rFonts w:hint="eastAsia" w:ascii="Times New Roman" w:hAnsi="Times New Roman" w:eastAsia="方正仿宋_GBK" w:cs="方正仿宋_GBK"/>
          <w:b w:val="0"/>
          <w:bCs w:val="0"/>
          <w:sz w:val="32"/>
          <w:szCs w:val="32"/>
          <w:highlight w:val="none"/>
          <w:shd w:val="clear" w:color="auto" w:fill="FFFFFF"/>
          <w:lang w:val="en-US" w:eastAsia="zh-CN"/>
        </w:rPr>
        <w:t>田家镇文化服务中心</w:t>
      </w:r>
      <w:r>
        <w:rPr>
          <w:rFonts w:hint="eastAsia" w:ascii="Times New Roman" w:hAnsi="Times New Roman" w:eastAsia="方正仿宋_GBK" w:cs="方正仿宋_GBK"/>
          <w:b w:val="0"/>
          <w:bCs w:val="0"/>
          <w:sz w:val="32"/>
          <w:szCs w:val="32"/>
          <w:highlight w:val="none"/>
          <w:shd w:val="clear" w:color="auto" w:fill="FFFFFF"/>
        </w:rPr>
        <w:t>为二级预算单位，未单独开展绩效自评工作。</w:t>
      </w:r>
      <w:r>
        <w:rPr>
          <w:rFonts w:hint="eastAsia" w:ascii="Times New Roman" w:hAnsi="Times New Roman" w:eastAsia="方正仿宋_GBK" w:cs="方正仿宋_GBK"/>
          <w:b w:val="0"/>
          <w:bCs w:val="0"/>
          <w:sz w:val="32"/>
          <w:szCs w:val="32"/>
          <w:highlight w:val="none"/>
          <w:shd w:val="clear" w:color="auto" w:fill="FFFFFF"/>
          <w:lang w:val="en-US" w:eastAsia="zh-CN"/>
        </w:rPr>
        <w:t>田家镇文化服务中心</w:t>
      </w: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rPr>
        <w:t>年度</w:t>
      </w:r>
      <w:r>
        <w:rPr>
          <w:rFonts w:hint="eastAsia" w:ascii="Times New Roman" w:hAnsi="Times New Roman" w:eastAsia="方正仿宋_GBK" w:cs="方正仿宋_GBK"/>
          <w:b w:val="0"/>
          <w:bCs w:val="0"/>
          <w:sz w:val="32"/>
          <w:szCs w:val="32"/>
          <w:highlight w:val="none"/>
          <w:shd w:val="clear" w:color="auto" w:fill="FFFFFF"/>
          <w:lang w:eastAsia="zh-CN"/>
        </w:rPr>
        <w:t>无项目支出，所以无项目绩效自评。</w:t>
      </w:r>
    </w:p>
    <w:p w14:paraId="3E3C2F46">
      <w:pPr>
        <w:pStyle w:val="5"/>
        <w:keepNext w:val="0"/>
        <w:keepLines w:val="0"/>
        <w:pageBreakBefore w:val="0"/>
        <w:widowControl/>
        <w:numPr>
          <w:ilvl w:val="0"/>
          <w:numId w:val="2"/>
        </w:numPr>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绩效自评结果</w:t>
      </w:r>
    </w:p>
    <w:p w14:paraId="5A1668B9">
      <w:pPr>
        <w:pStyle w:val="5"/>
        <w:keepNext w:val="0"/>
        <w:keepLines w:val="0"/>
        <w:pageBreakBefore w:val="0"/>
        <w:widowControl/>
        <w:numPr>
          <w:ilvl w:val="0"/>
          <w:numId w:val="3"/>
        </w:numPr>
        <w:kinsoku/>
        <w:overflowPunct/>
        <w:topLinePunct w:val="0"/>
        <w:autoSpaceDN/>
        <w:bidi w:val="0"/>
        <w:adjustRightInd/>
        <w:snapToGrid w:val="0"/>
        <w:spacing w:before="0" w:beforeAutospacing="0" w:after="0" w:afterAutospacing="0" w:line="600" w:lineRule="exact"/>
        <w:ind w:left="800" w:leftChars="0" w:right="0" w:rightChars="0" w:firstLine="0" w:firstLine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绩效目标自评表：无</w:t>
      </w:r>
    </w:p>
    <w:p w14:paraId="492BFFAD">
      <w:pPr>
        <w:pStyle w:val="5"/>
        <w:keepNext w:val="0"/>
        <w:keepLines w:val="0"/>
        <w:pageBreakBefore w:val="0"/>
        <w:widowControl/>
        <w:numPr>
          <w:ilvl w:val="0"/>
          <w:numId w:val="3"/>
        </w:numPr>
        <w:kinsoku/>
        <w:overflowPunct/>
        <w:topLinePunct w:val="0"/>
        <w:autoSpaceDN/>
        <w:bidi w:val="0"/>
        <w:adjustRightInd/>
        <w:snapToGrid w:val="0"/>
        <w:spacing w:before="0" w:beforeAutospacing="0" w:after="0" w:afterAutospacing="0" w:line="600" w:lineRule="exact"/>
        <w:ind w:left="800" w:leftChars="0" w:right="0" w:rightChars="0" w:firstLine="0" w:firstLine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绩效自评报告或案例：无</w:t>
      </w:r>
    </w:p>
    <w:p w14:paraId="1166D280">
      <w:pPr>
        <w:pStyle w:val="5"/>
        <w:keepNext w:val="0"/>
        <w:keepLines w:val="0"/>
        <w:pageBreakBefore w:val="0"/>
        <w:widowControl/>
        <w:numPr>
          <w:ilvl w:val="0"/>
          <w:numId w:val="3"/>
        </w:numPr>
        <w:kinsoku/>
        <w:overflowPunct/>
        <w:topLinePunct w:val="0"/>
        <w:autoSpaceDN/>
        <w:bidi w:val="0"/>
        <w:adjustRightInd/>
        <w:snapToGrid w:val="0"/>
        <w:spacing w:before="0" w:beforeAutospacing="0" w:after="0" w:afterAutospacing="0" w:line="600" w:lineRule="exact"/>
        <w:ind w:left="800" w:leftChars="0" w:right="0" w:rightChars="0" w:firstLine="0" w:firstLine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关于绩效自评结果的说明：无</w:t>
      </w:r>
    </w:p>
    <w:p w14:paraId="32468F20">
      <w:pPr>
        <w:pStyle w:val="5"/>
        <w:keepNext w:val="0"/>
        <w:keepLines w:val="0"/>
        <w:pageBreakBefore w:val="0"/>
        <w:widowControl/>
        <w:numPr>
          <w:ilvl w:val="0"/>
          <w:numId w:val="2"/>
        </w:numPr>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highlight w:val="none"/>
          <w:shd w:val="clear" w:color="auto" w:fill="FFFFFF"/>
        </w:rPr>
      </w:pPr>
      <w:r>
        <w:rPr>
          <w:rFonts w:hint="default" w:ascii="Times New Roman" w:hAnsi="Times New Roman" w:eastAsia="方正仿宋_GBK" w:cs="方正仿宋_GBK"/>
          <w:b w:val="0"/>
          <w:bCs w:val="0"/>
          <w:sz w:val="32"/>
          <w:szCs w:val="32"/>
          <w:highlight w:val="none"/>
          <w:shd w:val="clear" w:color="auto" w:fill="FFFFFF"/>
        </w:rPr>
        <w:t>重点绩效评价结果</w:t>
      </w:r>
    </w:p>
    <w:p w14:paraId="28F7DEA2">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Chars="200" w:right="0" w:righ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 xml:space="preserve">  无</w:t>
      </w:r>
    </w:p>
    <w:p w14:paraId="5977DF57">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六、专业名词解释</w:t>
      </w:r>
    </w:p>
    <w:p w14:paraId="5F4EFFE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77C7F9A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bookmarkStart w:id="0" w:name="_GoBack"/>
      <w:bookmarkEnd w:id="0"/>
      <w:r>
        <w:rPr>
          <w:rFonts w:hint="eastAsia" w:ascii="Times New Roman" w:hAnsi="Times New Roman" w:eastAsia="方正楷体_GBK" w:cs="方正楷体_GBK"/>
          <w:b w:val="0"/>
          <w:bCs w:val="0"/>
          <w:sz w:val="32"/>
          <w:szCs w:val="32"/>
          <w:shd w:val="clear" w:color="auto" w:fill="FFFFFF"/>
          <w:lang w:val="en-US" w:eastAsia="zh-CN" w:bidi="ar"/>
        </w:rPr>
        <w:t>（一）财政拨款收入：指本年度从本级财政部门取得的财政拨款，包括一般公共预算财政拨款和政府性基金预算财政拨款。</w:t>
      </w:r>
    </w:p>
    <w:p w14:paraId="297D84C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（二）事业收入：指事业单位开展专业业务活动及其辅助活动取得的现金流入；事业单位收到的财政专户实际核拨的教育收费等资金在此反映。</w:t>
      </w:r>
    </w:p>
    <w:p w14:paraId="61144C9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（三）经营收入：指事业单位在专业业务活动及其辅助活动之外开展非独立核算经营活动取得的现金流入。</w:t>
      </w:r>
    </w:p>
    <w:p w14:paraId="4280597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59BC38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（五）使用非财政拨款结余：指单位在当年的“财政拨款收入”、“事业收入”、“经营收入”、“其他收入”等不足以安排当年支出的情况下，使用以前年度积累的非财政拨款结余弥补本年度收支缺口的资金。</w:t>
      </w:r>
    </w:p>
    <w:p w14:paraId="7317060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（六）年初结转和结余：指单位上年结转本年使用的基本支出结转、项目支出结转和结余、经营结余。</w:t>
      </w:r>
    </w:p>
    <w:p w14:paraId="435194E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（七）结余分配：指单位按照国家有关规定，缴纳所得税、提取专用基金、转入非财政拨款结余等当年结余的分配情况。</w:t>
      </w:r>
    </w:p>
    <w:p w14:paraId="4F308D6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（八）年末结转和结余：指单位结转下年的基本支出结转、项目支出结转和结余、经营结余。</w:t>
      </w:r>
    </w:p>
    <w:p w14:paraId="4412164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EE3FBA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（十）项目支出：指在基本支出之外为完成特定行政任务和事业发展目标所发生的支出。</w:t>
      </w:r>
    </w:p>
    <w:p w14:paraId="2EE0D056">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（十一）经营支出：指事业单位在专业业务活动及其辅助活动之外开展非独立核算经营活动发生的支出。</w:t>
      </w:r>
    </w:p>
    <w:p w14:paraId="0F177A9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D360BC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D519EA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（十四）工资福利支出（支出经济分类科目类级）：反映单位开支的在职职工和编制外长期聘用人员的各类劳动报酬，以及为上述人员缴纳的各项社会保险费等。</w:t>
      </w:r>
    </w:p>
    <w:p w14:paraId="0B024AA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（十五）商品和服务支出（支出经济分类科目类级）：反映单位购买商品和服务的支出（不包括用于购置固定资产的支出、战略性和应急储备支出）。</w:t>
      </w:r>
    </w:p>
    <w:p w14:paraId="5653288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（十六）对个人和家庭的补助（支出经济分类科目类级）：反映用于对个人和家庭的补助支出。</w:t>
      </w:r>
    </w:p>
    <w:p w14:paraId="67122C0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楷体_GBK" w:cs="方正楷体_GBK"/>
          <w:b w:val="0"/>
          <w:bCs w:val="0"/>
          <w:sz w:val="32"/>
          <w:szCs w:val="32"/>
          <w:shd w:val="clear" w:color="auto" w:fill="FFFFFF"/>
          <w:lang w:val="en-US" w:eastAsia="zh-CN" w:bidi="ar"/>
        </w:rPr>
      </w:pPr>
      <w:r>
        <w:rPr>
          <w:rFonts w:hint="eastAsia" w:ascii="Times New Roman" w:hAnsi="Times New Roman" w:eastAsia="方正楷体_GBK" w:cs="方正楷体_GBK"/>
          <w:b w:val="0"/>
          <w:bCs w:val="0"/>
          <w:sz w:val="32"/>
          <w:szCs w:val="32"/>
          <w:shd w:val="clear" w:color="auto" w:fill="FFFFFF"/>
          <w:lang w:val="en-US" w:eastAsia="zh-CN" w:bidi="ar"/>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14:paraId="31ECCDF0">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205F1C3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91D9B4E">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2887AB1A">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lang w:val="en-US" w:eastAsia="zh-CN"/>
        </w:rPr>
        <w:t>支出决算表</w:t>
      </w:r>
    </w:p>
    <w:p w14:paraId="3E71270B">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7FCCD9CF">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一般公共预算财政拨款支出决算表</w:t>
      </w:r>
    </w:p>
    <w:p w14:paraId="66931566">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一般公共预算财政拨款基本支出决算表</w:t>
      </w:r>
    </w:p>
    <w:p w14:paraId="0B379C25">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w:t>
      </w:r>
      <w:r>
        <w:rPr>
          <w:rFonts w:hint="default" w:ascii="Times New Roman" w:hAnsi="Times New Roman" w:eastAsia="方正仿宋_GBK" w:cs="方正仿宋_GBK"/>
          <w:b w:val="0"/>
          <w:bCs w:val="0"/>
          <w:sz w:val="32"/>
          <w:szCs w:val="32"/>
          <w:highlight w:val="none"/>
          <w:shd w:val="clear" w:color="auto" w:fill="FFFFFF"/>
          <w:lang w:val="en-US" w:eastAsia="zh-CN"/>
        </w:rPr>
        <w:t>政府性基金预算财政拨款收入支出决算表</w:t>
      </w:r>
    </w:p>
    <w:p w14:paraId="18C699C0">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w:t>
      </w:r>
      <w:r>
        <w:rPr>
          <w:rFonts w:hint="default" w:ascii="Times New Roman" w:hAnsi="Times New Roman" w:eastAsia="方正仿宋_GBK" w:cs="方正仿宋_GBK"/>
          <w:b w:val="0"/>
          <w:bCs w:val="0"/>
          <w:sz w:val="32"/>
          <w:szCs w:val="32"/>
          <w:highlight w:val="none"/>
          <w:shd w:val="clear" w:color="auto" w:fill="FFFFFF"/>
          <w:lang w:val="en-US" w:eastAsia="zh-CN"/>
        </w:rPr>
        <w:t>国有资本经营预算财政拨款支出决算表</w:t>
      </w:r>
    </w:p>
    <w:p w14:paraId="5EE4496B">
      <w:pPr>
        <w:pStyle w:val="5"/>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left="1600" w:leftChars="0"/>
        <w:jc w:val="both"/>
        <w:rPr>
          <w:rStyle w:val="9"/>
          <w:rFonts w:ascii="Times New Roman" w:hAnsi="Times New Roman" w:eastAsia="方正仿宋_GBK" w:cs="方正仿宋_GBK"/>
          <w:b w:val="0"/>
          <w:bCs w:val="0"/>
          <w:sz w:val="32"/>
          <w:szCs w:val="32"/>
          <w:shd w:val="clear" w:color="auto" w:fill="FFFF00"/>
        </w:rPr>
      </w:pPr>
      <w:r>
        <w:rPr>
          <w:rFonts w:hint="eastAsia" w:ascii="Times New Roman" w:hAnsi="Times New Roman" w:eastAsia="方正仿宋_GBK" w:cs="方正仿宋_GBK"/>
          <w:b w:val="0"/>
          <w:bCs w:val="0"/>
          <w:sz w:val="32"/>
          <w:szCs w:val="32"/>
          <w:highlight w:val="none"/>
          <w:shd w:val="clear" w:color="auto" w:fill="FFFFFF"/>
          <w:lang w:val="en-US" w:eastAsia="zh-CN"/>
        </w:rPr>
        <w:t>9.</w:t>
      </w:r>
      <w:r>
        <w:rPr>
          <w:rFonts w:hint="default" w:ascii="Times New Roman" w:hAnsi="Times New Roman" w:eastAsia="方正仿宋_GBK" w:cs="方正仿宋_GBK"/>
          <w:b w:val="0"/>
          <w:bCs w:val="0"/>
          <w:sz w:val="32"/>
          <w:szCs w:val="32"/>
          <w:highlight w:val="none"/>
          <w:shd w:val="clear" w:color="auto" w:fill="FFFFFF"/>
          <w:lang w:val="en-US" w:eastAsia="zh-CN"/>
        </w:rPr>
        <w:t>机构运行信息表</w:t>
      </w:r>
    </w:p>
    <w:p w14:paraId="3E2F980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0" w:firstLineChars="0"/>
        <w:rPr>
          <w:rStyle w:val="9"/>
          <w:rFonts w:hint="eastAsia" w:ascii="Times New Roman" w:hAnsi="Times New Roman"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26273B0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4830"/>
        <w:gridCol w:w="2908"/>
        <w:gridCol w:w="5099"/>
        <w:gridCol w:w="2540"/>
      </w:tblGrid>
      <w:tr w14:paraId="58ABEDFA">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9D1BCF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收入支出决算总表</w:t>
            </w:r>
          </w:p>
        </w:tc>
      </w:tr>
      <w:tr w14:paraId="1ED54E79">
        <w:tblPrEx>
          <w:tblCellMar>
            <w:top w:w="0" w:type="dxa"/>
            <w:left w:w="0" w:type="dxa"/>
            <w:bottom w:w="0" w:type="dxa"/>
            <w:right w:w="0" w:type="dxa"/>
          </w:tblCellMar>
        </w:tblPrEx>
        <w:trPr>
          <w:trHeight w:val="289" w:hRule="atLeast"/>
        </w:trPr>
        <w:tc>
          <w:tcPr>
            <w:tcW w:w="1570" w:type="pct"/>
            <w:tcBorders>
              <w:top w:val="nil"/>
              <w:left w:val="nil"/>
              <w:bottom w:val="nil"/>
              <w:right w:val="nil"/>
            </w:tcBorders>
            <w:shd w:val="clear" w:color="auto" w:fill="auto"/>
            <w:noWrap/>
            <w:tcMar>
              <w:top w:w="15" w:type="dxa"/>
              <w:left w:w="15" w:type="dxa"/>
              <w:right w:w="15" w:type="dxa"/>
            </w:tcMar>
            <w:vAlign w:val="bottom"/>
          </w:tcPr>
          <w:p w14:paraId="695E563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945" w:type="pct"/>
            <w:tcBorders>
              <w:top w:val="nil"/>
              <w:left w:val="nil"/>
              <w:bottom w:val="nil"/>
              <w:right w:val="nil"/>
            </w:tcBorders>
            <w:shd w:val="clear" w:color="auto" w:fill="auto"/>
            <w:noWrap/>
            <w:tcMar>
              <w:top w:w="15" w:type="dxa"/>
              <w:left w:w="15" w:type="dxa"/>
              <w:right w:w="15" w:type="dxa"/>
            </w:tcMar>
            <w:vAlign w:val="bottom"/>
          </w:tcPr>
          <w:p w14:paraId="187E9762">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658" w:type="pct"/>
            <w:tcBorders>
              <w:top w:val="nil"/>
              <w:left w:val="nil"/>
              <w:bottom w:val="nil"/>
              <w:right w:val="nil"/>
            </w:tcBorders>
            <w:shd w:val="clear" w:color="auto" w:fill="auto"/>
            <w:noWrap/>
            <w:tcMar>
              <w:top w:w="15" w:type="dxa"/>
              <w:left w:w="15" w:type="dxa"/>
              <w:right w:w="15" w:type="dxa"/>
            </w:tcMar>
            <w:vAlign w:val="bottom"/>
          </w:tcPr>
          <w:p w14:paraId="083C4DF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825" w:type="pct"/>
            <w:tcBorders>
              <w:top w:val="nil"/>
              <w:left w:val="nil"/>
              <w:bottom w:val="nil"/>
              <w:right w:val="nil"/>
            </w:tcBorders>
            <w:shd w:val="clear" w:color="auto" w:fill="auto"/>
            <w:noWrap/>
            <w:tcMar>
              <w:top w:w="15" w:type="dxa"/>
              <w:left w:w="15" w:type="dxa"/>
              <w:right w:w="15" w:type="dxa"/>
            </w:tcMar>
            <w:vAlign w:val="bottom"/>
          </w:tcPr>
          <w:p w14:paraId="72449BAB">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公开01表</w:t>
            </w:r>
          </w:p>
        </w:tc>
      </w:tr>
      <w:tr w14:paraId="3E7B333C">
        <w:tblPrEx>
          <w:tblCellMar>
            <w:top w:w="0" w:type="dxa"/>
            <w:left w:w="0" w:type="dxa"/>
            <w:bottom w:w="0" w:type="dxa"/>
            <w:right w:w="0" w:type="dxa"/>
          </w:tblCellMar>
        </w:tblPrEx>
        <w:trPr>
          <w:trHeight w:val="289" w:hRule="atLeast"/>
        </w:trPr>
        <w:tc>
          <w:tcPr>
            <w:tcW w:w="1570" w:type="pct"/>
            <w:tcBorders>
              <w:top w:val="nil"/>
              <w:left w:val="nil"/>
              <w:bottom w:val="nil"/>
              <w:right w:val="nil"/>
            </w:tcBorders>
            <w:shd w:val="clear" w:color="auto" w:fill="auto"/>
            <w:noWrap/>
            <w:tcMar>
              <w:top w:w="15" w:type="dxa"/>
              <w:left w:w="15" w:type="dxa"/>
              <w:right w:w="15" w:type="dxa"/>
            </w:tcMar>
            <w:vAlign w:val="bottom"/>
          </w:tcPr>
          <w:p w14:paraId="28BB3B1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cs="宋体"/>
                <w:b w:val="0"/>
                <w:bCs w:val="0"/>
                <w:sz w:val="24"/>
                <w:szCs w:val="24"/>
                <w:lang w:eastAsia="zh-CN"/>
              </w:rPr>
              <w:t>公开单位</w:t>
            </w:r>
            <w:r>
              <w:rPr>
                <w:rFonts w:hint="eastAsia" w:ascii="Times New Roman" w:hAnsi="Times New Roman" w:eastAsia="宋体" w:cs="宋体"/>
                <w:b w:val="0"/>
                <w:bCs w:val="0"/>
                <w:sz w:val="24"/>
                <w:szCs w:val="24"/>
              </w:rPr>
              <w:t>：</w:t>
            </w:r>
            <w:r>
              <w:rPr>
                <w:rFonts w:ascii="Times New Roman" w:hAnsi="Times New Roman" w:eastAsia="宋体" w:cs="宋体"/>
                <w:b w:val="0"/>
                <w:bCs w:val="0"/>
                <w:sz w:val="24"/>
                <w:u w:color="auto"/>
              </w:rPr>
              <w:t>重庆市潼南区田家镇文化服务中心</w:t>
            </w:r>
          </w:p>
        </w:tc>
        <w:tc>
          <w:tcPr>
            <w:tcW w:w="945" w:type="pct"/>
            <w:tcBorders>
              <w:top w:val="nil"/>
              <w:left w:val="nil"/>
              <w:bottom w:val="nil"/>
              <w:right w:val="nil"/>
            </w:tcBorders>
            <w:shd w:val="clear" w:color="auto" w:fill="auto"/>
            <w:noWrap/>
            <w:tcMar>
              <w:top w:w="15" w:type="dxa"/>
              <w:left w:w="15" w:type="dxa"/>
              <w:right w:w="15" w:type="dxa"/>
            </w:tcMar>
            <w:vAlign w:val="bottom"/>
          </w:tcPr>
          <w:p w14:paraId="368B55A5">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2"/>
                <w:szCs w:val="22"/>
                <w:u w:val="none"/>
              </w:rPr>
            </w:pPr>
          </w:p>
        </w:tc>
        <w:tc>
          <w:tcPr>
            <w:tcW w:w="1658" w:type="pct"/>
            <w:tcBorders>
              <w:top w:val="nil"/>
              <w:left w:val="nil"/>
              <w:bottom w:val="nil"/>
              <w:right w:val="nil"/>
            </w:tcBorders>
            <w:shd w:val="clear" w:color="auto" w:fill="auto"/>
            <w:noWrap/>
            <w:tcMar>
              <w:top w:w="15" w:type="dxa"/>
              <w:left w:w="15" w:type="dxa"/>
              <w:right w:w="15" w:type="dxa"/>
            </w:tcMar>
            <w:vAlign w:val="bottom"/>
          </w:tcPr>
          <w:p w14:paraId="06C5FC9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825" w:type="pct"/>
            <w:tcBorders>
              <w:top w:val="nil"/>
              <w:left w:val="nil"/>
              <w:bottom w:val="nil"/>
              <w:right w:val="nil"/>
            </w:tcBorders>
            <w:shd w:val="clear" w:color="auto" w:fill="auto"/>
            <w:noWrap/>
            <w:tcMar>
              <w:top w:w="15" w:type="dxa"/>
              <w:left w:w="15" w:type="dxa"/>
              <w:right w:w="15" w:type="dxa"/>
            </w:tcMar>
            <w:vAlign w:val="bottom"/>
          </w:tcPr>
          <w:p w14:paraId="69A5B39B">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38ADBA1C">
        <w:tblPrEx>
          <w:tblCellMar>
            <w:top w:w="0" w:type="dxa"/>
            <w:left w:w="0" w:type="dxa"/>
            <w:bottom w:w="0" w:type="dxa"/>
            <w:right w:w="0" w:type="dxa"/>
          </w:tblCellMar>
        </w:tblPrEx>
        <w:trPr>
          <w:trHeight w:val="298" w:hRule="atLeast"/>
        </w:trPr>
        <w:tc>
          <w:tcPr>
            <w:tcW w:w="251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4F37D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收入</w:t>
            </w:r>
          </w:p>
        </w:tc>
        <w:tc>
          <w:tcPr>
            <w:tcW w:w="2483"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5203C2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支出</w:t>
            </w:r>
          </w:p>
        </w:tc>
      </w:tr>
      <w:tr w14:paraId="0D0B4AA5">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DA92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94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6743A4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8B5C3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lang w:eastAsia="zh-CN"/>
              </w:rPr>
            </w:pPr>
            <w:r>
              <w:rPr>
                <w:rFonts w:hint="eastAsia" w:ascii="Times New Roman" w:hAnsi="Times New Roman" w:cs="宋体"/>
                <w:b w:val="0"/>
                <w:bCs w:val="0"/>
                <w:i w:val="0"/>
                <w:color w:val="000000"/>
                <w:sz w:val="22"/>
                <w:szCs w:val="22"/>
                <w:u w:val="none"/>
                <w:lang w:eastAsia="zh-CN"/>
              </w:rPr>
              <w:t>功能分类科目</w:t>
            </w:r>
          </w:p>
        </w:tc>
        <w:tc>
          <w:tcPr>
            <w:tcW w:w="82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5A3BAB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2D83B74B">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04668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一、一般公共预算财政拨款收入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AF8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A79E8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一、一般公共服务支出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50E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A7A52F">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F94F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二、政府性基金预算财政拨款收入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C68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85493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二、外交支出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819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DED4D23">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D3D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三、国有资本经营预算财政拨款收入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2D5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5C64A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三、国防支出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866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3060D6">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B083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四、上级补助收入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ED2DB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7073D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四、公共安全支出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5A8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1172A2">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9D40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五、事业收入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7390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D03C6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五、教育支出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82F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62CAAE0">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5035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六、经营收入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77B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45FB8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六、科学技术支出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C8343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A5BEBE8">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7501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七、附属单位上缴收入</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42F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50B5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七、文化旅游体育与传媒支出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B95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r>
      <w:tr w14:paraId="7E68F310">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A44E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八、其他收入</w:t>
            </w:r>
          </w:p>
        </w:tc>
        <w:tc>
          <w:tcPr>
            <w:tcW w:w="945" w:type="pct"/>
            <w:tcBorders>
              <w:top w:val="nil"/>
              <w:left w:val="nil"/>
              <w:bottom w:val="nil"/>
              <w:right w:val="single" w:color="000000" w:sz="4" w:space="0"/>
            </w:tcBorders>
            <w:shd w:val="clear" w:color="auto" w:fill="auto"/>
            <w:noWrap/>
            <w:tcMar>
              <w:top w:w="15" w:type="dxa"/>
              <w:left w:w="15" w:type="dxa"/>
              <w:right w:w="15" w:type="dxa"/>
            </w:tcMar>
            <w:vAlign w:val="center"/>
          </w:tcPr>
          <w:p w14:paraId="3D7B94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7E0BA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八、社会保障和就业支出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52D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r>
      <w:tr w14:paraId="3CCDB80D">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8B25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2F7193">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95110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九、卫生健康支出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F8D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r>
      <w:tr w14:paraId="519622EC">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DDE0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75A5C0">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F261C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十、节能环保支出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C82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919EBEF">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9E11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AA457E">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05BE6F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十一、城乡社区支出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F38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2B166C1">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27E5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B97157">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14561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十二、农林水支出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8C1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CF5305C">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5106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FE26">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909D0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十三、交通运输支出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2C8A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B64CCD9">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C2F2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E4D10">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FAC12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十四、资源勘探工业信息等支出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4780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A7ACBCF">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EDB79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02BF5">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EDB013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十五、商业服务业等支出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C08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2BF6635">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3605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E6DD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BE5E8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十六、金融支出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266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BE9D95F">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7A53D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EC1F0">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6FBBF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十七、援助其他地区支出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31C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1AD05FC">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ED203">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7928B5">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E4AD46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十八、自然资源海洋气象等支出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4F2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F105CE3">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AF513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910D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3342CC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十九、住房保障支出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EC7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r>
      <w:tr w14:paraId="76791E5E">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2566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1861F">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E777F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二十、粮油物资储备支出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C36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2AFB59">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66D8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B6ECA">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EB895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二十一、国有资本经营预算支出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581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D7D127">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6DF44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47CC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F1021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二十二、灾害防治及应急管理支出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8F6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E09C76">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CF31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20F9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64A42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二十三、其他支出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6D5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881F3D8">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4400F6">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3F196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2EC7D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二十四、债务还本支出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EA3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6A2F1F0">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2FF4C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CC132">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AE2B5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二十五、债务付息支出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B89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4CA56C">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EA4D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F707B">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265A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二十六、抗疫特别国债安排的支出</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1F6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55B187B">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7CE5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84C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9B725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7A3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default"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r>
      <w:tr w14:paraId="26E4FBBD">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A6420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使用非财政拨款结余和专用结余</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5D5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707F88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结余分配</w:t>
            </w:r>
          </w:p>
        </w:tc>
        <w:tc>
          <w:tcPr>
            <w:tcW w:w="8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178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25E4BE">
        <w:tblPrEx>
          <w:tblCellMar>
            <w:top w:w="0" w:type="dxa"/>
            <w:left w:w="0" w:type="dxa"/>
            <w:bottom w:w="0" w:type="dxa"/>
            <w:right w:w="0" w:type="dxa"/>
          </w:tblCellMar>
        </w:tblPrEx>
        <w:trPr>
          <w:trHeight w:val="298"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9D98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年初结转和结余</w:t>
            </w:r>
          </w:p>
        </w:tc>
        <w:tc>
          <w:tcPr>
            <w:tcW w:w="9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73E0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A8FC9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年末结转和结余</w:t>
            </w:r>
          </w:p>
        </w:tc>
        <w:tc>
          <w:tcPr>
            <w:tcW w:w="82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59CA11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0275157">
        <w:tblPrEx>
          <w:tblCellMar>
            <w:top w:w="0" w:type="dxa"/>
            <w:left w:w="0" w:type="dxa"/>
            <w:bottom w:w="0" w:type="dxa"/>
            <w:right w:w="0" w:type="dxa"/>
          </w:tblCellMar>
        </w:tblPrEx>
        <w:trPr>
          <w:trHeight w:val="307" w:hRule="atLeast"/>
        </w:trPr>
        <w:tc>
          <w:tcPr>
            <w:tcW w:w="1570"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E112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9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CF71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658"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16AA70A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8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C36394">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r>
    </w:tbl>
    <w:p w14:paraId="2E592E1E">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5CCADF04">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p w14:paraId="29AE4B0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黑体_GBK" w:cs="方正黑体_GBK"/>
          <w:b w:val="0"/>
          <w:bCs w:val="0"/>
          <w:sz w:val="32"/>
          <w:szCs w:val="32"/>
          <w:lang w:val="en-US" w:eastAsia="zh-CN"/>
        </w:rPr>
        <w:t>附件2</w:t>
      </w:r>
    </w:p>
    <w:tbl>
      <w:tblPr>
        <w:tblStyle w:val="6"/>
        <w:tblW w:w="5000" w:type="pct"/>
        <w:tblInd w:w="0" w:type="dxa"/>
        <w:shd w:val="clear" w:color="auto" w:fill="auto"/>
        <w:tblLayout w:type="autofit"/>
        <w:tblCellMar>
          <w:top w:w="0" w:type="dxa"/>
          <w:left w:w="0" w:type="dxa"/>
          <w:bottom w:w="0" w:type="dxa"/>
          <w:right w:w="0" w:type="dxa"/>
        </w:tblCellMar>
      </w:tblPr>
      <w:tblGrid>
        <w:gridCol w:w="1790"/>
        <w:gridCol w:w="3390"/>
        <w:gridCol w:w="1474"/>
        <w:gridCol w:w="1465"/>
        <w:gridCol w:w="1163"/>
        <w:gridCol w:w="1163"/>
        <w:gridCol w:w="1166"/>
        <w:gridCol w:w="1163"/>
        <w:gridCol w:w="1163"/>
        <w:gridCol w:w="1440"/>
      </w:tblGrid>
      <w:tr w14:paraId="308C496D">
        <w:tblPrEx>
          <w:shd w:val="clear" w:color="auto" w:fill="auto"/>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7B4FC6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收入决算表</w:t>
            </w:r>
          </w:p>
        </w:tc>
      </w:tr>
      <w:tr w14:paraId="40D3ABD2">
        <w:tblPrEx>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44F9BBB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r>
              <w:rPr>
                <w:rFonts w:hint="eastAsia" w:ascii="Times New Roman" w:hAnsi="Times New Roman" w:cs="宋体"/>
                <w:b w:val="0"/>
                <w:bCs w:val="0"/>
                <w:sz w:val="24"/>
                <w:szCs w:val="24"/>
                <w:lang w:eastAsia="zh-CN"/>
              </w:rPr>
              <w:t>公开单位</w:t>
            </w:r>
            <w:r>
              <w:rPr>
                <w:rFonts w:hint="eastAsia" w:ascii="Times New Roman" w:hAnsi="Times New Roman" w:eastAsia="宋体" w:cs="宋体"/>
                <w:b w:val="0"/>
                <w:bCs w:val="0"/>
                <w:sz w:val="24"/>
                <w:szCs w:val="24"/>
              </w:rPr>
              <w:t>：</w:t>
            </w:r>
            <w:r>
              <w:rPr>
                <w:rFonts w:ascii="Times New Roman" w:hAnsi="Times New Roman" w:eastAsia="宋体" w:cs="宋体"/>
                <w:b w:val="0"/>
                <w:bCs w:val="0"/>
                <w:sz w:val="24"/>
                <w:u w:color="auto"/>
              </w:rPr>
              <w:t>重庆市潼南区田家镇文化服务中心</w:t>
            </w:r>
          </w:p>
        </w:tc>
        <w:tc>
          <w:tcPr>
            <w:tcW w:w="542" w:type="pct"/>
            <w:tcBorders>
              <w:top w:val="nil"/>
              <w:left w:val="nil"/>
              <w:bottom w:val="nil"/>
              <w:right w:val="nil"/>
            </w:tcBorders>
            <w:shd w:val="clear" w:color="auto" w:fill="auto"/>
            <w:noWrap/>
            <w:tcMar>
              <w:top w:w="15" w:type="dxa"/>
              <w:left w:w="15" w:type="dxa"/>
              <w:right w:w="15" w:type="dxa"/>
            </w:tcMar>
            <w:vAlign w:val="bottom"/>
          </w:tcPr>
          <w:p w14:paraId="5FBDA9E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0FEDF8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F42510B">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74DD9383">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A4E244E">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374D66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25AA718">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19C0835F">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公开02表</w:t>
            </w:r>
          </w:p>
        </w:tc>
      </w:tr>
      <w:tr w14:paraId="65D06DC9">
        <w:tblPrEx>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3D13E8EE">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7F83BD5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D50F29B">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0BD849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1F413B1">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2F0C61EB">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809454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DA4CB0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146816A2">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0494C92F">
        <w:tblPrEx>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4B68ED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EF01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D990B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A939B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2F990C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AE3E2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2BFB8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B1E1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其他收入</w:t>
            </w:r>
          </w:p>
        </w:tc>
      </w:tr>
      <w:tr w14:paraId="0FE2EECF">
        <w:tblPrEx>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7086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0B8366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B818F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36EC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C2EBC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4026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C711B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5475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6F67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D156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3FD9D2D0">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C99A6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C9196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8E5B0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8937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DD2EC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8200F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7C026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3A1D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02018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6516E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29097FC8">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0E5FD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F4896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75314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E8F96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07CF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F90D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D92F8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D3A4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227BE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C637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00BA044F">
        <w:tblPrEx>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A76F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58DD2F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C4772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85E33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A229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EA05E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86A8C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CB037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13FA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559E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5E3BBF1D">
        <w:tblPrEx>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5E98C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4D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74D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960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2B7F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B2F8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D228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34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E551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455F6E3">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61CF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DCFF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文化旅游体育与传媒支出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79E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32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4F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C36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4D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2C1C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76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DD0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D0F490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E3E7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7FC5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文化和旅游</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604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67F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1C1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2F8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BEB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950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89B8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4BC4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57A020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35E9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2070109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C2DF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群众文化</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6D2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113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5A5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C5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F8A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0EF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C55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73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0DCD44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63B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5EA16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E0B9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1B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A80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D9E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22F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5DD1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7B8D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57D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69ED00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AF2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378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014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A7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03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67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AF7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72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F5D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1B7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5B493F8">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AC18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898A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BF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A87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AF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36F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A3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62C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703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DA3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B24279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A51B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E786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09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37D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8A1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E4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8A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B2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90E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6DD8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029946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23A8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E18B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805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E1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D0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06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ED9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DCA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B64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9B7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565FD32">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E16D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D798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07E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2A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D50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28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BD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4C9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94B5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27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9CE64D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430F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C68A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6D0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E3EA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CE4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CBB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78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D4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EA6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62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4A686E6">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2CE5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7F75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C21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77D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7F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4DCF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060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460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DE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933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7D70671">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2E0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C2F6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E4A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881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3244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2A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1A4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9CE0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3289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9323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6C141C">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FB1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BF4E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6E88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F7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606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445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A21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A0F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FDF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0281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EC72959">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ABC3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DB98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EA8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B6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BC1D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ACF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905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AE8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20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AEC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3ED4549C">
      <w:pPr>
        <w:keepNext w:val="0"/>
        <w:keepLines w:val="0"/>
        <w:pageBreakBefore w:val="0"/>
        <w:widowControl/>
        <w:kinsoku/>
        <w:overflowPunct/>
        <w:topLinePunct w:val="0"/>
        <w:autoSpaceDN/>
        <w:bidi w:val="0"/>
        <w:adjustRightInd/>
        <w:spacing w:beforeAutospacing="0" w:afterAutospacing="0" w:line="600" w:lineRule="exact"/>
        <w:ind w:left="630" w:hanging="630" w:hangingChars="30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p>
    <w:p w14:paraId="35B874A2">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p w14:paraId="63DCA54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黑体_GBK" w:cs="方正黑体_GBK"/>
          <w:b w:val="0"/>
          <w:bCs w:val="0"/>
          <w:sz w:val="32"/>
          <w:szCs w:val="32"/>
          <w:lang w:val="en-US" w:eastAsia="zh-CN"/>
        </w:rPr>
        <w:t>附件3</w:t>
      </w:r>
    </w:p>
    <w:tbl>
      <w:tblPr>
        <w:tblStyle w:val="6"/>
        <w:tblW w:w="5000" w:type="pct"/>
        <w:tblInd w:w="0" w:type="dxa"/>
        <w:shd w:val="clear" w:color="auto" w:fill="auto"/>
        <w:tblLayout w:type="autofit"/>
        <w:tblCellMar>
          <w:top w:w="0" w:type="dxa"/>
          <w:left w:w="0" w:type="dxa"/>
          <w:bottom w:w="0" w:type="dxa"/>
          <w:right w:w="0" w:type="dxa"/>
        </w:tblCellMar>
      </w:tblPr>
      <w:tblGrid>
        <w:gridCol w:w="1790"/>
        <w:gridCol w:w="3390"/>
        <w:gridCol w:w="1697"/>
        <w:gridCol w:w="1697"/>
        <w:gridCol w:w="1697"/>
        <w:gridCol w:w="1698"/>
        <w:gridCol w:w="1698"/>
        <w:gridCol w:w="1710"/>
      </w:tblGrid>
      <w:tr w14:paraId="4CE23A20">
        <w:tblPrEx>
          <w:shd w:val="clear" w:color="auto" w:fill="auto"/>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118FE4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支出决算表</w:t>
            </w:r>
          </w:p>
        </w:tc>
      </w:tr>
      <w:tr w14:paraId="661360AD">
        <w:tblPrEx>
          <w:shd w:val="clear" w:color="auto" w:fill="auto"/>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2922662E">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 xml:space="preserve">重庆市潼南区田家镇文化服务中心 </w:t>
            </w:r>
          </w:p>
        </w:tc>
        <w:tc>
          <w:tcPr>
            <w:tcW w:w="622" w:type="pct"/>
            <w:tcBorders>
              <w:top w:val="nil"/>
              <w:left w:val="nil"/>
              <w:bottom w:val="nil"/>
              <w:right w:val="nil"/>
            </w:tcBorders>
            <w:shd w:val="clear" w:color="auto" w:fill="auto"/>
            <w:noWrap/>
            <w:tcMar>
              <w:top w:w="15" w:type="dxa"/>
              <w:left w:w="15" w:type="dxa"/>
              <w:right w:w="15" w:type="dxa"/>
            </w:tcMar>
            <w:vAlign w:val="bottom"/>
          </w:tcPr>
          <w:p w14:paraId="177BE59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211EDB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C7AA44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2B30B46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C2B082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3C895A8A">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公开03表</w:t>
            </w:r>
          </w:p>
        </w:tc>
      </w:tr>
      <w:tr w14:paraId="591E23B1">
        <w:tblPrEx>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56D7794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820550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6E1C0A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B8D94D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9C10DF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622B035E">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5392DCD2">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83DD6CA">
        <w:tblPrEx>
          <w:shd w:val="clear" w:color="auto" w:fill="auto"/>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290986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004CA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FDF98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A386A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FCB4A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D79CF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DC976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对附属单位补助支出</w:t>
            </w:r>
          </w:p>
        </w:tc>
      </w:tr>
      <w:tr w14:paraId="7809EB79">
        <w:tblPrEx>
          <w:shd w:val="clear" w:color="auto" w:fill="auto"/>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F899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A7D1B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32247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091DA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87548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80A7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FF92A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022B0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00551417">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3DDF4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5833D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9E49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435E6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FB02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DE40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999B1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86A65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12DCA8A7">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0713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65A171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60236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CB43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DEA3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37A87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3DF6A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51726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67E1E583">
        <w:tblPrEx>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AC286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D84626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7BEF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287BA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B898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BB82D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452BD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D139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5A502289">
        <w:tblPrEx>
          <w:shd w:val="clear" w:color="auto" w:fill="auto"/>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CFDA6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F9C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8FD6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37A3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5E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40FB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784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88DC631">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82B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3091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文化旅游体育与传媒支出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191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2B20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A6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EDB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A98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8E43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15FD38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92D3B">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45205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文化和旅游</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672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8C24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FE40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3C35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2C0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A82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2D332D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EB7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2070109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BDAB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群众文化</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A69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DB5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10B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C9E7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5DC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551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3BFF0B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79A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F01D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D277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4D6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D0E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92B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B556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E81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8D69D1">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98E2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D6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1C21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8D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5A0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366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B5C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D64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0FEF808">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D9A8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3178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8BA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2BD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94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95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23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7C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44F012C">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EE8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37C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8ED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CC7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B17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88C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D8A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92A3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B63A90D">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7FD8">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79C4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F7C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486D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923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8F9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081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C25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613D319">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C812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2D4F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8F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956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AC9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59F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0A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8A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DAC6BB0">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DF73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E3F8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437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F4D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208C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30A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8A7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CF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AD7615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496A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FB67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65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EB6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2D0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B0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050A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353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A58A0F4">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A1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8E1F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815C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60F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02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46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7C6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035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D320F69">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924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E0075">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A8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85B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48A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0450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EFF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EE9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F833247">
        <w:tblPrEx>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D34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93CA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1BAA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E4DE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9D1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B94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04CF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208B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254CD99B">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4C67C3E6">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3110"/>
        <w:gridCol w:w="1961"/>
        <w:gridCol w:w="3330"/>
        <w:gridCol w:w="1727"/>
        <w:gridCol w:w="1731"/>
        <w:gridCol w:w="1731"/>
        <w:gridCol w:w="1787"/>
      </w:tblGrid>
      <w:tr w14:paraId="2B0E79F2">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DDF8AD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方正黑体_GBK" w:cs="方正黑体_GBK"/>
                <w:b w:val="0"/>
                <w:bCs w:val="0"/>
                <w:sz w:val="32"/>
                <w:szCs w:val="32"/>
                <w:lang w:val="en-US" w:eastAsia="zh-CN"/>
              </w:rPr>
              <w:t>附件4</w:t>
            </w:r>
          </w:p>
          <w:p w14:paraId="5FE79AA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财政拨款收入支出决算总表</w:t>
            </w:r>
          </w:p>
        </w:tc>
      </w:tr>
      <w:tr w14:paraId="5DF8F79D">
        <w:tblPrEx>
          <w:shd w:val="clear" w:color="auto" w:fill="auto"/>
          <w:tblCellMar>
            <w:top w:w="0" w:type="dxa"/>
            <w:left w:w="0" w:type="dxa"/>
            <w:bottom w:w="0" w:type="dxa"/>
            <w:right w:w="0" w:type="dxa"/>
          </w:tblCellMar>
        </w:tblPrEx>
        <w:trPr>
          <w:trHeight w:val="90" w:hRule="atLeast"/>
        </w:trPr>
        <w:tc>
          <w:tcPr>
            <w:tcW w:w="1649" w:type="pct"/>
            <w:gridSpan w:val="2"/>
            <w:vMerge w:val="restart"/>
            <w:tcBorders>
              <w:top w:val="nil"/>
              <w:left w:val="nil"/>
              <w:right w:val="nil"/>
            </w:tcBorders>
            <w:shd w:val="clear" w:color="auto" w:fill="auto"/>
            <w:noWrap/>
            <w:tcMar>
              <w:top w:w="15" w:type="dxa"/>
              <w:left w:w="15" w:type="dxa"/>
              <w:right w:w="15" w:type="dxa"/>
            </w:tcMar>
            <w:vAlign w:val="bottom"/>
          </w:tcPr>
          <w:p w14:paraId="7EEB36CF">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1082" w:type="pct"/>
            <w:tcBorders>
              <w:top w:val="nil"/>
              <w:left w:val="nil"/>
              <w:bottom w:val="nil"/>
              <w:right w:val="nil"/>
            </w:tcBorders>
            <w:shd w:val="clear" w:color="auto" w:fill="auto"/>
            <w:noWrap/>
            <w:tcMar>
              <w:top w:w="15" w:type="dxa"/>
              <w:left w:w="15" w:type="dxa"/>
              <w:right w:w="15" w:type="dxa"/>
            </w:tcMar>
            <w:vAlign w:val="bottom"/>
          </w:tcPr>
          <w:p w14:paraId="4311EC6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2" w:type="pct"/>
            <w:tcBorders>
              <w:top w:val="nil"/>
              <w:left w:val="nil"/>
              <w:bottom w:val="nil"/>
              <w:right w:val="nil"/>
            </w:tcBorders>
            <w:shd w:val="clear" w:color="auto" w:fill="auto"/>
            <w:noWrap/>
            <w:tcMar>
              <w:top w:w="15" w:type="dxa"/>
              <w:left w:w="15" w:type="dxa"/>
              <w:right w:w="15" w:type="dxa"/>
            </w:tcMar>
            <w:vAlign w:val="bottom"/>
          </w:tcPr>
          <w:p w14:paraId="068330A3">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304D568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3A79A1D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78" w:type="pct"/>
            <w:tcBorders>
              <w:top w:val="nil"/>
              <w:left w:val="nil"/>
              <w:bottom w:val="nil"/>
              <w:right w:val="nil"/>
            </w:tcBorders>
            <w:shd w:val="clear" w:color="auto" w:fill="auto"/>
            <w:noWrap/>
            <w:tcMar>
              <w:top w:w="15" w:type="dxa"/>
              <w:left w:w="15" w:type="dxa"/>
              <w:right w:w="15" w:type="dxa"/>
            </w:tcMar>
            <w:vAlign w:val="bottom"/>
          </w:tcPr>
          <w:p w14:paraId="078ADF53">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公开04表</w:t>
            </w:r>
          </w:p>
        </w:tc>
      </w:tr>
      <w:tr w14:paraId="50E60EC6">
        <w:tblPrEx>
          <w:shd w:val="clear" w:color="auto" w:fill="auto"/>
          <w:tblCellMar>
            <w:top w:w="0" w:type="dxa"/>
            <w:left w:w="0" w:type="dxa"/>
            <w:bottom w:w="0" w:type="dxa"/>
            <w:right w:w="0" w:type="dxa"/>
          </w:tblCellMar>
        </w:tblPrEx>
        <w:trPr>
          <w:trHeight w:val="90" w:hRule="atLeast"/>
        </w:trPr>
        <w:tc>
          <w:tcPr>
            <w:tcW w:w="1649" w:type="pct"/>
            <w:gridSpan w:val="2"/>
            <w:vMerge w:val="continue"/>
            <w:tcBorders>
              <w:left w:val="nil"/>
              <w:bottom w:val="nil"/>
              <w:right w:val="nil"/>
            </w:tcBorders>
            <w:shd w:val="clear" w:color="auto" w:fill="auto"/>
            <w:noWrap/>
            <w:tcMar>
              <w:top w:w="15" w:type="dxa"/>
              <w:left w:w="15" w:type="dxa"/>
              <w:right w:w="15" w:type="dxa"/>
            </w:tcMar>
            <w:vAlign w:val="bottom"/>
          </w:tcPr>
          <w:p w14:paraId="646C2D5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82" w:type="pct"/>
            <w:tcBorders>
              <w:top w:val="nil"/>
              <w:left w:val="nil"/>
              <w:bottom w:val="nil"/>
              <w:right w:val="nil"/>
            </w:tcBorders>
            <w:shd w:val="clear" w:color="auto" w:fill="auto"/>
            <w:noWrap/>
            <w:tcMar>
              <w:top w:w="15" w:type="dxa"/>
              <w:left w:w="15" w:type="dxa"/>
              <w:right w:w="15" w:type="dxa"/>
            </w:tcMar>
            <w:vAlign w:val="bottom"/>
          </w:tcPr>
          <w:p w14:paraId="3D4D92F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62" w:type="pct"/>
            <w:tcBorders>
              <w:top w:val="nil"/>
              <w:left w:val="nil"/>
              <w:bottom w:val="nil"/>
              <w:right w:val="nil"/>
            </w:tcBorders>
            <w:shd w:val="clear" w:color="auto" w:fill="auto"/>
            <w:noWrap/>
            <w:tcMar>
              <w:top w:w="15" w:type="dxa"/>
              <w:left w:w="15" w:type="dxa"/>
              <w:right w:w="15" w:type="dxa"/>
            </w:tcMar>
            <w:vAlign w:val="bottom"/>
          </w:tcPr>
          <w:p w14:paraId="0AB1F471">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00296D5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63" w:type="pct"/>
            <w:tcBorders>
              <w:top w:val="nil"/>
              <w:left w:val="nil"/>
              <w:bottom w:val="nil"/>
              <w:right w:val="nil"/>
            </w:tcBorders>
            <w:shd w:val="clear" w:color="auto" w:fill="auto"/>
            <w:noWrap/>
            <w:tcMar>
              <w:top w:w="15" w:type="dxa"/>
              <w:left w:w="15" w:type="dxa"/>
              <w:right w:w="15" w:type="dxa"/>
            </w:tcMar>
            <w:vAlign w:val="bottom"/>
          </w:tcPr>
          <w:p w14:paraId="7D9C7A8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78" w:type="pct"/>
            <w:tcBorders>
              <w:top w:val="nil"/>
              <w:left w:val="nil"/>
              <w:bottom w:val="nil"/>
              <w:right w:val="nil"/>
            </w:tcBorders>
            <w:shd w:val="clear" w:color="auto" w:fill="auto"/>
            <w:noWrap/>
            <w:tcMar>
              <w:top w:w="15" w:type="dxa"/>
              <w:left w:w="15" w:type="dxa"/>
              <w:right w:w="15" w:type="dxa"/>
            </w:tcMar>
            <w:vAlign w:val="bottom"/>
          </w:tcPr>
          <w:p w14:paraId="3E1A1B71">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4722482B">
        <w:tblPrEx>
          <w:shd w:val="clear" w:color="auto" w:fill="auto"/>
          <w:tblCellMar>
            <w:top w:w="0" w:type="dxa"/>
            <w:left w:w="0" w:type="dxa"/>
            <w:bottom w:w="0" w:type="dxa"/>
            <w:right w:w="0" w:type="dxa"/>
          </w:tblCellMar>
        </w:tblPrEx>
        <w:trPr>
          <w:trHeight w:val="90" w:hRule="atLeast"/>
        </w:trPr>
        <w:tc>
          <w:tcPr>
            <w:tcW w:w="164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FD35E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收     入</w:t>
            </w:r>
          </w:p>
        </w:tc>
        <w:tc>
          <w:tcPr>
            <w:tcW w:w="3350"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1299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支     出</w:t>
            </w:r>
          </w:p>
        </w:tc>
      </w:tr>
      <w:tr w14:paraId="0F7E25D6">
        <w:tblPrEx>
          <w:shd w:val="clear" w:color="auto" w:fill="auto"/>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F2C0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4E724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108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6F5D9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w:t>
            </w:r>
          </w:p>
        </w:tc>
        <w:tc>
          <w:tcPr>
            <w:tcW w:w="2267"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EE7DB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5CFCA622">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456C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377B7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8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912BE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30F72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小计</w:t>
            </w:r>
          </w:p>
        </w:tc>
        <w:tc>
          <w:tcPr>
            <w:tcW w:w="56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A8D9E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一般公共预算财政拨款</w:t>
            </w:r>
          </w:p>
        </w:tc>
        <w:tc>
          <w:tcPr>
            <w:tcW w:w="56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CF1A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政府性基金预算财政拨款</w:t>
            </w:r>
          </w:p>
        </w:tc>
        <w:tc>
          <w:tcPr>
            <w:tcW w:w="57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344B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国有资本经营预算财政拨款</w:t>
            </w:r>
          </w:p>
        </w:tc>
      </w:tr>
      <w:tr w14:paraId="0BA9989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7F7A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771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03AF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一、一般公共服务支出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53E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C682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566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64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9ECE798">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E75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二、政府性基金预算财政拨款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9A66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FAD6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二、外交支出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7F1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EB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22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2E9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3B6A3B9">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2260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三、国有资本经营预算财政拨款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8C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8E062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三、国防支出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D1C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7B5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52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0D2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D136016">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A04B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ADB1A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D7F6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四、公共安全支出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B101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89F7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59B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259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36F3F1C">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93436">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87290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7E2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五、教育支出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6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333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88E7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B3D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1ED29C9">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D579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8B8F7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219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六、科学技术支出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B87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22FF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4D56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596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0E6A2E3">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1E0AF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8DECB3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E8B1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七、文化旅游体育与传媒支出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DE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B566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FB46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435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C94B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9DA7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04907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74A9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八、社会保障和就业支出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4A32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2F6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ACB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933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0975B18">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05E8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0C8CB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0A6D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九、卫生健康支出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29C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C44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0D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72F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2E716A">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6697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E0FB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216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十、节能环保支出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D36B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6017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9C1F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EF09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279A00">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C94B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1BD00">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5D507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十一、城乡社区支出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F93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7C9A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591A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197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B0E9738">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B23B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8FFB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E91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十二、农林水支出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EC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8F92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A2AF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829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478E50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07A4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14B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F734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十三、交通运输支出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F25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0B1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421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A2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547CF78">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2076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B31C1">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E681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十四、资源勘探工业信息等支出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8B40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876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44D2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B08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85EDED2">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5326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8DA7">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A2F5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十五、商业服务业等支出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EC25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D67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595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29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1F6E123">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200D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08E06">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190A3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十六、金融支出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921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2F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A0A1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42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9D14763">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49E235">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DF17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D4D9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十七、援助其他地区支出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287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67F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F0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7745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FEE33F9">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31BFB8">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58E50">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F56F0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十八、自然资源海洋气象等支出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C82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2F69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BF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AA56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7507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57B9E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0DE94">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86A0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十九、住房保障支出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D7A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694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AC32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68A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CBDA35">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1DB9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2A8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78FB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二十、粮油物资储备支出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2C6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127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454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19C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98FAE03">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B0C2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BF5CE">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FC6D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二十一、国有资本经营预算支出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BE0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8E4C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46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5A34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CD755E8">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D23BA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485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EE65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二十二、灾害防治及应急管理支出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8555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1E65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13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5CE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B3364E">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D645B">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EAD63">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53B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二十三、其他支出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EFA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2F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A7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2A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BCC7B50">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CB48947">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36DA">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BFA0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二十四、债务还本支出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53AF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4DE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F11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15DF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6B05D0">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0D13AE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0D73">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D7C2B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二十五、债务付息支出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5C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014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6C12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55E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E2F4531">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545B06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EC050">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ADC86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二十六、抗疫特别国债安排的支出</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6B4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58C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55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B0A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2F7E4A7">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3C0E7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B5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A5B8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21A9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82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F3D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C69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2FA76C5">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046D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年初财政拨款结转和结余</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EF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3486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年末财政拨款结转和结余</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D1E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F909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C17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72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56532B6">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671E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一般公共预算财政拨款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3963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655CDD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DC27B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FE8BD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16EA5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A49081">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r>
      <w:tr w14:paraId="4792B1DA">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124A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政府性基金预算财政拨款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1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61AE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C8D0C">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59886">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54D3D">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2409">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72ACA82B">
        <w:tblPrEx>
          <w:shd w:val="clear" w:color="auto" w:fill="auto"/>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E2512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国有资本经营预算财政拨款</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7B7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2F857">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95DB5">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1E96B">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DF783">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0"/>
                <w:szCs w:val="20"/>
                <w:u w:val="none"/>
              </w:rPr>
            </w:pP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47F28">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5BFC89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3108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63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297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08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2ABD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ED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B197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5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035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C3E3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12DFC7A8">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5C3B91E4">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54"/>
        <w:gridCol w:w="3552"/>
        <w:gridCol w:w="3318"/>
        <w:gridCol w:w="3318"/>
        <w:gridCol w:w="3335"/>
      </w:tblGrid>
      <w:tr w14:paraId="5C6B97D9">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F646DBF">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color w:val="000000"/>
                <w:kern w:val="0"/>
                <w:sz w:val="44"/>
                <w:szCs w:val="44"/>
                <w:u w:val="none"/>
                <w:lang w:val="en-US" w:eastAsia="zh-CN" w:bidi="ar"/>
              </w:rPr>
            </w:pPr>
            <w:r>
              <w:rPr>
                <w:rFonts w:hint="eastAsia" w:ascii="Times New Roman" w:hAnsi="Times New Roman" w:eastAsia="方正黑体_GBK" w:cs="方正黑体_GBK"/>
                <w:b w:val="0"/>
                <w:bCs w:val="0"/>
                <w:sz w:val="32"/>
                <w:szCs w:val="32"/>
                <w:lang w:val="en-US" w:eastAsia="zh-CN"/>
              </w:rPr>
              <w:t>附件5</w:t>
            </w:r>
          </w:p>
          <w:p w14:paraId="7761B45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一般公共预算财政拨款支出决算表</w:t>
            </w:r>
          </w:p>
        </w:tc>
      </w:tr>
      <w:tr w14:paraId="4A18150E">
        <w:tblPrEx>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1E5B76D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4DECFEF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ED277B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73548BCA">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公开05表</w:t>
            </w:r>
          </w:p>
        </w:tc>
      </w:tr>
      <w:tr w14:paraId="2DD0606D">
        <w:tblPrEx>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19AEDA51">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DBEAC5F">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67C3D3F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1C568102">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48DF2767">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A67D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A5FEAC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r>
      <w:tr w14:paraId="4D0F41FB">
        <w:tblPrEx>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0A67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E4D03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44B94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ACD0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95C52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r>
      <w:tr w14:paraId="2E366347">
        <w:tblPrEx>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A6E54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7B0FF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99518">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EF4CC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37D43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6124CA01">
        <w:tblPrEx>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EA24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4139E2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411386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3AD10C">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22527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2973E6E7">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4D095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65874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D18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54.31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CF1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42751B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292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B070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2FBB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7954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5BC8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49CE6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41E2E">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7FE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C8BFB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720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BABC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FA635F2">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A763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ECCF6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4E8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3D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42.88</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88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647F5C6">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1EEE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5336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2FF0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853A1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8D11A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231E0E">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EA369">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5B7E7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850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26CC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5.51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4F4A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F99909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68B7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4F704">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0E4D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F3218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613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88001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8BB4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E4FD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7AD6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CBE1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3F39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ED78D51">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1AB9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C73C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9303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200B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4B9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2ACB7A6">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317AD">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0AC20">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CD8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1ED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66CC2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8C4E6F3">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04B4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458F43">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DAE5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6F19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2.29</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817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9545DE7">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DCA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7A96">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DD6E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92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6EC4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171F89">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3257">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E7732">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A86F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C2C9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411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23F8AD5">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C53F">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6871A">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9B7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C7D6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33C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C3E3D4B">
        <w:tblPrEx>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391E1">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A78C">
            <w:pPr>
              <w:keepNext w:val="0"/>
              <w:keepLines w:val="0"/>
              <w:pageBreakBefore w:val="0"/>
              <w:widowControl/>
              <w:kinsoku/>
              <w:overflowPunct/>
              <w:topLinePunct w:val="0"/>
              <w:autoSpaceDN/>
              <w:bidi w:val="0"/>
              <w:adjustRightInd/>
              <w:spacing w:beforeAutospacing="0" w:afterAutospacing="0" w:line="600" w:lineRule="exac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33E4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CE4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B594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26508F48">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676B4347">
      <w:pPr>
        <w:keepNext w:val="0"/>
        <w:keepLines w:val="0"/>
        <w:pageBreakBefore w:val="0"/>
        <w:widowControl/>
        <w:numPr>
          <w:ilvl w:val="0"/>
          <w:numId w:val="0"/>
        </w:numPr>
        <w:kinsoku/>
        <w:overflowPunct/>
        <w:topLinePunct w:val="0"/>
        <w:autoSpaceDN/>
        <w:bidi w:val="0"/>
        <w:adjustRightInd/>
        <w:spacing w:beforeAutospacing="0" w:afterAutospacing="0" w:line="600" w:lineRule="exact"/>
        <w:ind w:firstLine="630" w:firstLineChars="30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333"/>
        <w:gridCol w:w="3617"/>
        <w:gridCol w:w="1071"/>
        <w:gridCol w:w="580"/>
        <w:gridCol w:w="2230"/>
        <w:gridCol w:w="526"/>
        <w:gridCol w:w="580"/>
        <w:gridCol w:w="4210"/>
        <w:gridCol w:w="1230"/>
      </w:tblGrid>
      <w:tr w14:paraId="7C2CFBE6">
        <w:tblPrEx>
          <w:shd w:val="clear" w:color="auto" w:fill="auto"/>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E06B92B">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color w:val="000000"/>
                <w:kern w:val="0"/>
                <w:sz w:val="44"/>
                <w:szCs w:val="44"/>
                <w:u w:val="none"/>
                <w:lang w:val="en-US" w:eastAsia="zh-CN" w:bidi="ar"/>
              </w:rPr>
            </w:pPr>
            <w:r>
              <w:rPr>
                <w:rFonts w:hint="eastAsia" w:ascii="Times New Roman" w:hAnsi="Times New Roman" w:eastAsia="方正黑体_GBK" w:cs="方正黑体_GBK"/>
                <w:b w:val="0"/>
                <w:bCs w:val="0"/>
                <w:sz w:val="32"/>
                <w:szCs w:val="32"/>
                <w:lang w:val="en-US" w:eastAsia="zh-CN"/>
              </w:rPr>
              <w:t>附件6</w:t>
            </w:r>
          </w:p>
          <w:p w14:paraId="3B02181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一般公共预算财政拨款基本支出决算表</w:t>
            </w:r>
          </w:p>
        </w:tc>
      </w:tr>
      <w:tr w14:paraId="105444DF">
        <w:tblPrEx>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7C8F4733">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634" w:type="pct"/>
            <w:tcBorders>
              <w:top w:val="nil"/>
              <w:left w:val="nil"/>
              <w:bottom w:val="nil"/>
              <w:right w:val="nil"/>
            </w:tcBorders>
            <w:shd w:val="clear" w:color="auto" w:fill="auto"/>
            <w:noWrap/>
            <w:tcMar>
              <w:top w:w="15" w:type="dxa"/>
              <w:left w:w="15" w:type="dxa"/>
              <w:right w:w="15" w:type="dxa"/>
            </w:tcMar>
            <w:vAlign w:val="bottom"/>
          </w:tcPr>
          <w:p w14:paraId="7C18EB8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362A648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4EDEA8B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694BC50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0374CF5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2ACADFB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7851EBF">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公开06表</w:t>
            </w:r>
          </w:p>
        </w:tc>
      </w:tr>
      <w:tr w14:paraId="3CE72085">
        <w:tblPrEx>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293F0B33">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5EFA099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7E1FCFEE">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20C3102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1BB1DD0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4BB4E11F">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1BC7776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48A6F009">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56882357">
        <w:tblPrEx>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C63F7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F32562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公用经费</w:t>
            </w:r>
          </w:p>
        </w:tc>
      </w:tr>
      <w:tr w14:paraId="59DA759F">
        <w:tblPrEx>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21E14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9552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C6ECB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7210C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35A4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ADF0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4400D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01199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10B58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r>
      <w:tr w14:paraId="431AA710">
        <w:tblPrEx>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505BB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205DB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8E538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FCF5F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3728B2E">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BFE6E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B60C5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35648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20BD3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08048CA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582D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9C899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44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51.08</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0027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792F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CD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3.23</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12E68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28A6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618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EE66F5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21B6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A8F0F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8717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12.31</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6A4A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7C1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EBF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0.05</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BAF89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6F1B1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5E2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4815EC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125E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3460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C285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1.20</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3DBAE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ACA8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8DA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2192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51333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4F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955F4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D90BC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3C89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13AF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0C10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DB86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DA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4343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44F63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66C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6509AD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6FD9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059F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8E1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D3E0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73CF9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410A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5AE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5248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8489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B5B3FE">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D7B3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2FC1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DD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25.95</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0ADD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912B7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2112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0.10</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B306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86808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8D16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397229">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4D43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BB3E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DD7E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3.67</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17BA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E1C0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9E1B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0.05</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BADB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6D16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6C4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C51E8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1780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2389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B75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1.84</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3C48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2FEF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6B7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0F15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43904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2AC1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1CE91F1">
        <w:tblPrEx>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2391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A7EE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C09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1.95</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6C435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9837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3CD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832E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E5C8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702F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1AB35C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D71E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6DE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C4AB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922C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88E66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476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2E2F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13D6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F686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2D314D6">
        <w:tblPrEx>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FF298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AA0E5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EE0D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0.53</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9B59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F26B9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785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2.75</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3E1F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59D6F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EBBC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06B32F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EB8E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F180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3BF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3.15</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6063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D812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E00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0C474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AD34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5207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9C1265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6310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08AE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1BB3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0.48</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F1CE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13646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1BE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F740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3D20E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E1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D643EC9">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4355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0272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0DE5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BAB24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A80A1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CDCE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F98A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55B2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A7D2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D213336">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F3E0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FD78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97E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829C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C84D7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8ED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175D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2B6EE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745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5E246D3">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00E7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2F10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84E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9174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BE356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8220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4A33A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ED3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6BF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BA7EB0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E0DBA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80340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E9FB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C752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54C6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AF6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91CB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4B2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351C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1E3421C">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15C0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ED0D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203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69A8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29E1A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4071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E863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544EC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AA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A8EC37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6E99F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7A63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AA0D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F74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9D57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72B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B5AE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A5F1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5055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5CF430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BF2C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5830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BB8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6CFD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59B42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814E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CD5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7D79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78E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32B529B">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1F2A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71091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F583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580A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9DF2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2B2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415C6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5A49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49DD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07CA8F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97D6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FFC8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50F9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B1606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6C45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3F6D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872B4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DD579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F61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2852F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E23D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1D0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682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6A86B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32A8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9968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0.28</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366C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1FF1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B4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A3B0CB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0878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0C25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A0D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5AAC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BC6D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7A4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F354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7C4C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0739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ED87F3A">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E51E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5B64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F8A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07436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E3C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9001">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7BF22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EADF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066E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9ED3EC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3ABED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2962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6AB6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5431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01A2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8E30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433C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0786F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E88C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74406D">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3A120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89374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96F3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140F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7773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8FBB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F2C7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8E11E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BAAF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A661E5F">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1D28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C849B">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D9B709">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8599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7130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381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A3D0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50AB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11CBD">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99773C1">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49952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0BFA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F7D10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AD0F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9C70D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2E80C">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6D2F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C47DA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5262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07C8457">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1948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75CAC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15FF68">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E438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9289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C2D0">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F17AC">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05127">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AD60B">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57B05238">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33F2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BC1CF2">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9CA4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8DA52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0A1E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8473E">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5C61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5D079F">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A67B">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1AC3B825">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9A54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76CE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0F74B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EC5A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A6D9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3F706">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A1D29">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0D80">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5E3F">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327A4AD2">
        <w:tblPrEx>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50466">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B464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B8A19F">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903B4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62DEA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24B5">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219DE">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00A604">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0E1C">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r>
      <w:tr w14:paraId="617B7E96">
        <w:tblPrEx>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020E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F1F25A">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51.08</w:t>
            </w:r>
            <w:r>
              <w:rPr>
                <w:rFonts w:hint="eastAsia" w:ascii="Times New Roman" w:hAnsi="Times New Roman" w:cs="宋体"/>
                <w:b w:val="0"/>
                <w:bCs w:val="0"/>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90C073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BC39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3.23</w:t>
            </w:r>
            <w:r>
              <w:rPr>
                <w:rFonts w:hint="eastAsia" w:ascii="Times New Roman" w:hAnsi="Times New Roman" w:cs="宋体"/>
                <w:b w:val="0"/>
                <w:bCs w:val="0"/>
                <w:color w:val="000000"/>
                <w:sz w:val="21"/>
                <w:szCs w:val="21"/>
                <w:lang w:val="en-US" w:eastAsia="zh-CN" w:bidi="ar"/>
              </w:rPr>
              <w:t xml:space="preserve"> </w:t>
            </w:r>
          </w:p>
        </w:tc>
      </w:tr>
    </w:tbl>
    <w:p w14:paraId="5A9455F7">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4444A1A7">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57"/>
        <w:gridCol w:w="3093"/>
        <w:gridCol w:w="1705"/>
        <w:gridCol w:w="1705"/>
        <w:gridCol w:w="1706"/>
        <w:gridCol w:w="1706"/>
        <w:gridCol w:w="1770"/>
        <w:gridCol w:w="1835"/>
      </w:tblGrid>
      <w:tr w14:paraId="0AF83D9F">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C284F6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color w:val="000000"/>
                <w:kern w:val="0"/>
                <w:sz w:val="44"/>
                <w:szCs w:val="44"/>
                <w:u w:val="none"/>
                <w:lang w:val="en-US" w:eastAsia="zh-CN" w:bidi="ar"/>
              </w:rPr>
            </w:pPr>
            <w:r>
              <w:rPr>
                <w:rFonts w:hint="eastAsia" w:ascii="Times New Roman" w:hAnsi="Times New Roman" w:eastAsia="方正黑体_GBK" w:cs="方正黑体_GBK"/>
                <w:b w:val="0"/>
                <w:bCs w:val="0"/>
                <w:sz w:val="32"/>
                <w:szCs w:val="32"/>
                <w:lang w:val="en-US" w:eastAsia="zh-CN"/>
              </w:rPr>
              <w:t>附件7</w:t>
            </w:r>
          </w:p>
          <w:p w14:paraId="0F0B65B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政府性基金预算财政拨款收入支出决算表</w:t>
            </w:r>
          </w:p>
        </w:tc>
      </w:tr>
      <w:tr w14:paraId="29DFEABA">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28446D2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3B1256F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543E38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6C7576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11CFF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700DB524">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4AECE386">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公开07表</w:t>
            </w:r>
          </w:p>
        </w:tc>
      </w:tr>
      <w:tr w14:paraId="3DA86CDA">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1B1AC6D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71390AF">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6B88BC">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03D03A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6E09EE6">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4F195BAA">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077580EA">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61D1B63">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162ED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6A4E2E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F203C">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09B266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9B92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年末结转和结余</w:t>
            </w:r>
          </w:p>
        </w:tc>
      </w:tr>
      <w:tr w14:paraId="1484327F">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16B5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BBC3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DCCAC5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389F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376CA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F42DB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561AE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C0A2F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03413D6A">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EF7D8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8EF5E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276433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C384D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DA4B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8CA1A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995EA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0882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4762B781">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20AD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A28E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FC6BF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DBC25">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E1B95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5E614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75ADE0">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A410D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0DA57E27">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1B4A1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04D0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0B54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461E2">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D10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E338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2E95C">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75C3C675">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4CCC3878">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87"/>
        <w:gridCol w:w="3063"/>
        <w:gridCol w:w="3273"/>
        <w:gridCol w:w="3751"/>
        <w:gridCol w:w="3403"/>
      </w:tblGrid>
      <w:tr w14:paraId="3BF2C5BD">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305018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color w:val="000000"/>
                <w:kern w:val="0"/>
                <w:sz w:val="44"/>
                <w:szCs w:val="44"/>
                <w:u w:val="none"/>
                <w:lang w:val="en-US" w:eastAsia="zh-CN" w:bidi="ar"/>
              </w:rPr>
            </w:pPr>
            <w:r>
              <w:rPr>
                <w:rFonts w:hint="eastAsia" w:ascii="Times New Roman" w:hAnsi="Times New Roman" w:eastAsia="方正黑体_GBK" w:cs="方正黑体_GBK"/>
                <w:b w:val="0"/>
                <w:bCs w:val="0"/>
                <w:sz w:val="32"/>
                <w:szCs w:val="32"/>
                <w:lang w:val="en-US" w:eastAsia="zh-CN"/>
              </w:rPr>
              <w:t>附件8</w:t>
            </w:r>
          </w:p>
          <w:p w14:paraId="6233A79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国有资本经营预算财政拨款支出决算表</w:t>
            </w:r>
          </w:p>
        </w:tc>
      </w:tr>
      <w:tr w14:paraId="0D014064">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1991139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14:paraId="434DAAF5">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3283DED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58CD7DA5">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公开08表</w:t>
            </w:r>
          </w:p>
        </w:tc>
      </w:tr>
      <w:tr w14:paraId="6CD8C4B9">
        <w:tblPrEx>
          <w:shd w:val="clear" w:color="auto" w:fill="auto"/>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4A5DC93D">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5755B51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142E32B0">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10E3D681">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19C83398">
        <w:tblPrEx>
          <w:shd w:val="clear" w:color="auto" w:fill="auto"/>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B12A7C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87C89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r>
      <w:tr w14:paraId="5AAB9617">
        <w:tblPrEx>
          <w:shd w:val="clear" w:color="auto" w:fill="auto"/>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8489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0F22B6">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1892C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F0137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9692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r>
      <w:tr w14:paraId="4169C963">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CAF62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2C0D3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B68D31">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CB7A1D">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2080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3E56B6F5">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56D1EA">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F51D23">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41FF2B">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88858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A794B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6E5F30D4">
        <w:tblPrEx>
          <w:shd w:val="clear" w:color="auto" w:fill="auto"/>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4F8174">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87226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438FB2">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0BB91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C0644F">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r>
      <w:tr w14:paraId="3A97F807">
        <w:tblPrEx>
          <w:shd w:val="clear" w:color="auto" w:fill="auto"/>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B58E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D25A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139F60">
            <w:pPr>
              <w:keepNext w:val="0"/>
              <w:keepLines w:val="0"/>
              <w:pageBreakBefore w:val="0"/>
              <w:widowControl/>
              <w:kinsoku/>
              <w:overflowPunct/>
              <w:topLinePunct w:val="0"/>
              <w:autoSpaceDN/>
              <w:bidi w:val="0"/>
              <w:adjustRightInd/>
              <w:spacing w:beforeAutospacing="0" w:afterAutospacing="0" w:line="600" w:lineRule="exact"/>
              <w:jc w:val="right"/>
              <w:rPr>
                <w:rFonts w:hint="eastAsia" w:ascii="Times New Roman" w:hAnsi="Times New Roman" w:eastAsia="宋体" w:cs="宋体"/>
                <w:b w:val="0"/>
                <w:bCs w:val="0"/>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340E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1852F720">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4723B89E">
      <w:pPr>
        <w:keepNext w:val="0"/>
        <w:keepLines w:val="0"/>
        <w:pageBreakBefore w:val="0"/>
        <w:widowControl/>
        <w:numPr>
          <w:ilvl w:val="0"/>
          <w:numId w:val="0"/>
        </w:numPr>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4950"/>
        <w:gridCol w:w="2017"/>
        <w:gridCol w:w="1640"/>
        <w:gridCol w:w="5090"/>
        <w:gridCol w:w="1680"/>
      </w:tblGrid>
      <w:tr w14:paraId="1655811B">
        <w:tblPrEx>
          <w:shd w:val="clear" w:color="auto" w:fill="auto"/>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57130CA">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color w:val="000000"/>
                <w:kern w:val="0"/>
                <w:sz w:val="44"/>
                <w:szCs w:val="44"/>
                <w:u w:val="none"/>
                <w:lang w:val="en-US" w:eastAsia="zh-CN" w:bidi="ar"/>
              </w:rPr>
            </w:pPr>
            <w:r>
              <w:rPr>
                <w:rFonts w:hint="eastAsia" w:ascii="Times New Roman" w:hAnsi="Times New Roman" w:eastAsia="方正黑体_GBK" w:cs="方正黑体_GBK"/>
                <w:b w:val="0"/>
                <w:bCs w:val="0"/>
                <w:sz w:val="32"/>
                <w:szCs w:val="32"/>
                <w:lang w:val="en-US" w:eastAsia="zh-CN"/>
              </w:rPr>
              <w:t>附件9</w:t>
            </w:r>
          </w:p>
          <w:p w14:paraId="5889717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bottom"/>
              <w:rPr>
                <w:rFonts w:hint="eastAsia" w:ascii="Times New Roman" w:hAnsi="Times New Roman" w:eastAsia="宋体" w:cs="宋体"/>
                <w:b w:val="0"/>
                <w:bCs w:val="0"/>
                <w:i w:val="0"/>
                <w:color w:val="000000"/>
                <w:sz w:val="40"/>
                <w:szCs w:val="40"/>
                <w:u w:val="none"/>
              </w:rPr>
            </w:pPr>
            <w:r>
              <w:rPr>
                <w:rFonts w:hint="eastAsia" w:ascii="Times New Roman" w:hAnsi="Times New Roman" w:eastAsia="方正小标宋_GBK" w:cs="方正小标宋_GBK"/>
                <w:b w:val="0"/>
                <w:bCs w:val="0"/>
                <w:i w:val="0"/>
                <w:color w:val="000000"/>
                <w:kern w:val="0"/>
                <w:sz w:val="44"/>
                <w:szCs w:val="44"/>
                <w:u w:val="none"/>
                <w:lang w:val="en-US" w:eastAsia="zh-CN" w:bidi="ar"/>
              </w:rPr>
              <w:t>机构运行信息表</w:t>
            </w:r>
          </w:p>
        </w:tc>
      </w:tr>
      <w:tr w14:paraId="274A46EF">
        <w:tblPrEx>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16905282">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76247F65">
            <w:pPr>
              <w:keepNext w:val="0"/>
              <w:keepLines w:val="0"/>
              <w:pageBreakBefore w:val="0"/>
              <w:widowControl/>
              <w:kinsoku/>
              <w:overflowPunct/>
              <w:topLinePunct w:val="0"/>
              <w:autoSpaceDN/>
              <w:bidi w:val="0"/>
              <w:adjustRightInd/>
              <w:spacing w:beforeAutospacing="0" w:afterAutospacing="0" w:line="600" w:lineRule="exact"/>
              <w:jc w:val="center"/>
              <w:rPr>
                <w:rFonts w:hint="default" w:ascii="Times New Roman" w:hAnsi="Times New Roman" w:eastAsia="宋体" w:cs="Arial"/>
                <w:b w:val="0"/>
                <w:bCs w:val="0"/>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53075660">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6BC19163">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53C77096">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公开09表</w:t>
            </w:r>
          </w:p>
        </w:tc>
      </w:tr>
      <w:tr w14:paraId="74E47485">
        <w:tblPrEx>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1868305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bottom"/>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重庆市潼南区田家镇文化服务中心</w:t>
            </w:r>
          </w:p>
        </w:tc>
        <w:tc>
          <w:tcPr>
            <w:tcW w:w="862" w:type="pct"/>
            <w:tcBorders>
              <w:top w:val="nil"/>
              <w:left w:val="nil"/>
              <w:bottom w:val="nil"/>
              <w:right w:val="nil"/>
            </w:tcBorders>
            <w:shd w:val="clear" w:color="auto" w:fill="auto"/>
            <w:noWrap/>
            <w:tcMar>
              <w:top w:w="15" w:type="dxa"/>
              <w:left w:w="15" w:type="dxa"/>
              <w:right w:w="15" w:type="dxa"/>
            </w:tcMar>
            <w:vAlign w:val="bottom"/>
          </w:tcPr>
          <w:p w14:paraId="5F9BFD49">
            <w:pPr>
              <w:keepNext w:val="0"/>
              <w:keepLines w:val="0"/>
              <w:pageBreakBefore w:val="0"/>
              <w:widowControl/>
              <w:kinsoku/>
              <w:overflowPunct/>
              <w:topLinePunct w:val="0"/>
              <w:autoSpaceDN/>
              <w:bidi w:val="0"/>
              <w:adjustRightInd/>
              <w:spacing w:beforeAutospacing="0" w:afterAutospacing="0" w:line="600" w:lineRule="exact"/>
              <w:jc w:val="center"/>
              <w:rPr>
                <w:rFonts w:hint="eastAsia" w:ascii="Times New Roman" w:hAnsi="Times New Roman" w:eastAsia="宋体" w:cs="宋体"/>
                <w:b w:val="0"/>
                <w:bCs w:val="0"/>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231DD9AA">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07997021">
            <w:pPr>
              <w:keepNext w:val="0"/>
              <w:keepLines w:val="0"/>
              <w:pageBreakBefore w:val="0"/>
              <w:widowControl/>
              <w:kinsoku/>
              <w:overflowPunct/>
              <w:topLinePunct w:val="0"/>
              <w:autoSpaceDN/>
              <w:bidi w:val="0"/>
              <w:adjustRightInd/>
              <w:spacing w:beforeAutospacing="0" w:afterAutospacing="0" w:line="600" w:lineRule="exact"/>
              <w:rPr>
                <w:rFonts w:hint="default" w:ascii="Times New Roman" w:hAnsi="Times New Roman" w:eastAsia="宋体" w:cs="Arial"/>
                <w:b w:val="0"/>
                <w:bCs w:val="0"/>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71B00D80">
            <w:pPr>
              <w:keepNext w:val="0"/>
              <w:keepLines w:val="0"/>
              <w:pageBreakBefore w:val="0"/>
              <w:widowControl/>
              <w:suppressLineNumbers w:val="0"/>
              <w:kinsoku/>
              <w:overflowPunct/>
              <w:topLinePunct w:val="0"/>
              <w:autoSpaceDN/>
              <w:bidi w:val="0"/>
              <w:adjustRightInd/>
              <w:spacing w:beforeAutospacing="0" w:afterAutospacing="0" w:line="600" w:lineRule="exact"/>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4693F78">
        <w:tblPrEx>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14C327D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D60F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1B53405D">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22F521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5C6FE60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4BA0C39C">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8EBBE1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B292499">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7DA428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90DE9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4938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7322AB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DBEAD1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E6D7AC0">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99A0E31">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4B5CB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4C627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89522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2206A8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55E8AF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8DABA7">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5E8C9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E063B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7B1696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A5BBB3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2778B8D">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CD0937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CA1BA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D3B9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r>
      <w:tr w14:paraId="4346931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67597A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5A7EB06">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10FD344">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D0E729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280A4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1937C90">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1CA143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E0E636B">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30F9067">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4CBAE5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27114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20BE08C">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CFC247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B726015">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BBA74FD">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26DF73C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1548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B057672">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583E0F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9352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678AD523">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7BB754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3618C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9AFC92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31EC48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02AD7">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28FA5E2">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1DF551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C8A7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9B697A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E7BD1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7C44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9504D9">
            <w:pPr>
              <w:keepNext w:val="0"/>
              <w:keepLines w:val="0"/>
              <w:pageBreakBefore w:val="0"/>
              <w:widowControl/>
              <w:suppressLineNumbers w:val="0"/>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774C27F">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ABB73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E442F85">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6DF486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FDD825">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A7DE8E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719D592">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BB9837">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D0D8688">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9881C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CDD4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19EA21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EAA8C0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2FC856">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B1168B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2EA1D4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1964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B087B64">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50C014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330A0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891F3D6">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C2354EA">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9BBAF">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865201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349882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85690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6B9FBB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EA1E93D">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71B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A02601D">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1BF99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02068">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r>
      <w:tr w14:paraId="0347EAB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25B0C64C">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7D3A0">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E1449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8B681B">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30DDC8">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AB9B06">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7D666F0">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CCE8B">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668248A">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F075E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45046B">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9488D8">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74BD09BE">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FE9A3">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74148C5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6E7545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DF5DE79">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960AA3">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6A11783">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FB9E2">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0E4D390F">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764B7">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DE50D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5B4B399">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7597E44">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BBD4E">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5199D95">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BAA9E6">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46D54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ACDAE3A">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00C7469">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98702A">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25061D0">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F35038">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F9F0D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0CD489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4D96FE5">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F56A4">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2476823">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2724281">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BA8CB6">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r>
      <w:tr w14:paraId="1E32F2F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1932B71">
            <w:pPr>
              <w:keepNext w:val="0"/>
              <w:keepLines w:val="0"/>
              <w:pageBreakBefore w:val="0"/>
              <w:widowControl/>
              <w:suppressLineNumbers w:val="0"/>
              <w:kinsoku/>
              <w:overflowPunct/>
              <w:topLinePunct w:val="0"/>
              <w:autoSpaceDN/>
              <w:bidi w:val="0"/>
              <w:adjustRightInd/>
              <w:spacing w:beforeAutospacing="0" w:afterAutospacing="0" w:line="600" w:lineRule="exact"/>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23831">
            <w:pPr>
              <w:keepNext w:val="0"/>
              <w:keepLines w:val="0"/>
              <w:pageBreakBefore w:val="0"/>
              <w:widowControl/>
              <w:suppressLineNumbers w:val="0"/>
              <w:kinsoku/>
              <w:overflowPunct/>
              <w:topLinePunct w:val="0"/>
              <w:autoSpaceDN/>
              <w:bidi w:val="0"/>
              <w:adjustRightInd/>
              <w:spacing w:beforeAutospacing="0" w:afterAutospacing="0" w:line="600" w:lineRule="exact"/>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EFE0BAE">
            <w:pPr>
              <w:keepNext w:val="0"/>
              <w:keepLines w:val="0"/>
              <w:pageBreakBefore w:val="0"/>
              <w:widowControl/>
              <w:kinsoku/>
              <w:wordWrap w:val="0"/>
              <w:overflowPunct/>
              <w:topLinePunct w:val="0"/>
              <w:autoSpaceDN/>
              <w:bidi w:val="0"/>
              <w:adjustRightInd/>
              <w:spacing w:beforeAutospacing="0" w:afterAutospacing="0" w:line="600" w:lineRule="exact"/>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18D22D">
            <w:pPr>
              <w:keepNext w:val="0"/>
              <w:keepLines w:val="0"/>
              <w:pageBreakBefore w:val="0"/>
              <w:widowControl/>
              <w:kinsoku/>
              <w:overflowPunct/>
              <w:topLinePunct w:val="0"/>
              <w:autoSpaceDN/>
              <w:bidi w:val="0"/>
              <w:adjustRightInd/>
              <w:spacing w:beforeAutospacing="0" w:afterAutospacing="0" w:line="600" w:lineRule="exact"/>
              <w:jc w:val="left"/>
              <w:rPr>
                <w:rFonts w:hint="eastAsia" w:ascii="Times New Roman" w:hAnsi="Times New Roman"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F22AE7">
            <w:pPr>
              <w:keepNext w:val="0"/>
              <w:keepLines w:val="0"/>
              <w:pageBreakBefore w:val="0"/>
              <w:widowControl/>
              <w:kinsoku/>
              <w:overflowPunct/>
              <w:topLinePunct w:val="0"/>
              <w:autoSpaceDN/>
              <w:bidi w:val="0"/>
              <w:adjustRightInd/>
              <w:spacing w:beforeAutospacing="0" w:afterAutospacing="0" w:line="600" w:lineRule="exact"/>
              <w:jc w:val="right"/>
              <w:rPr>
                <w:rFonts w:hint="default" w:ascii="Times New Roman" w:hAnsi="Times New Roman" w:eastAsia="宋体" w:cs="Arial"/>
                <w:b w:val="0"/>
                <w:bCs w:val="0"/>
                <w:i w:val="0"/>
                <w:color w:val="000000"/>
                <w:sz w:val="20"/>
                <w:szCs w:val="20"/>
                <w:u w:val="none"/>
              </w:rPr>
            </w:pPr>
          </w:p>
        </w:tc>
      </w:tr>
    </w:tbl>
    <w:p w14:paraId="2624331B">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7D3382E8">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60035639">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05BF23CD">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1E904B87">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16E84AC7">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267D40D2">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74622615">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6C02BD99">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5C4EABB5">
      <w:pPr>
        <w:keepNext w:val="0"/>
        <w:keepLines w:val="0"/>
        <w:pageBreakBefore w:val="0"/>
        <w:widowControl/>
        <w:kinsoku/>
        <w:overflowPunct/>
        <w:topLinePunct w:val="0"/>
        <w:autoSpaceDN/>
        <w:bidi w:val="0"/>
        <w:adjustRightInd/>
        <w:spacing w:beforeAutospacing="0" w:afterAutospacing="0" w:line="600" w:lineRule="exact"/>
        <w:rPr>
          <w:rFonts w:hint="eastAsia" w:ascii="Times New Roman" w:hAnsi="Times New Roman" w:eastAsia="宋体" w:cs="宋体"/>
          <w:b w:val="0"/>
          <w:bCs w:val="0"/>
          <w:color w:val="000000"/>
          <w:sz w:val="21"/>
          <w:szCs w:val="21"/>
          <w:lang w:bidi="ar"/>
        </w:rPr>
      </w:pPr>
    </w:p>
    <w:p w14:paraId="3719EB51">
      <w:pPr>
        <w:pStyle w:val="10"/>
        <w:keepNext w:val="0"/>
        <w:keepLines w:val="0"/>
        <w:pageBreakBefore w:val="0"/>
        <w:widowControl/>
        <w:kinsoku/>
        <w:overflowPunct/>
        <w:topLinePunct w:val="0"/>
        <w:autoSpaceDE w:val="0"/>
        <w:autoSpaceDN/>
        <w:bidi w:val="0"/>
        <w:adjustRightInd/>
        <w:spacing w:beforeAutospacing="0" w:afterAutospacing="0" w:line="600" w:lineRule="exact"/>
        <w:ind w:firstLine="0" w:firstLineChars="0"/>
        <w:rPr>
          <w:rFonts w:hint="default" w:ascii="Times New Roman" w:hAnsi="Times New Roman" w:eastAsia="宋体" w:cs="宋体"/>
          <w:b w:val="0"/>
          <w:bCs w:val="0"/>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F46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69B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069B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5C335">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5D0FDE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5D0FDE4">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2533C5">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2533C5">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D89EC">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30FC3F9C"/>
    <w:multiLevelType w:val="singleLevel"/>
    <w:tmpl w:val="30FC3F9C"/>
    <w:lvl w:ilvl="0" w:tentative="0">
      <w:start w:val="2"/>
      <w:numFmt w:val="chineseCounting"/>
      <w:suff w:val="nothing"/>
      <w:lvlText w:val="（%1）"/>
      <w:lvlJc w:val="left"/>
      <w:rPr>
        <w:rFonts w:hint="eastAsia"/>
      </w:rPr>
    </w:lvl>
  </w:abstractNum>
  <w:abstractNum w:abstractNumId="2">
    <w:nsid w:val="6BE329D7"/>
    <w:multiLevelType w:val="singleLevel"/>
    <w:tmpl w:val="6BE329D7"/>
    <w:lvl w:ilvl="0" w:tentative="0">
      <w:start w:val="1"/>
      <w:numFmt w:val="decimal"/>
      <w:suff w:val="nothing"/>
      <w:lvlText w:val="%1、"/>
      <w:lvlJc w:val="left"/>
      <w:pPr>
        <w:ind w:left="80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3E7197"/>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13695B"/>
    <w:rsid w:val="2F4D0C70"/>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2045EE"/>
    <w:rsid w:val="36C9128A"/>
    <w:rsid w:val="37841E99"/>
    <w:rsid w:val="37BF1123"/>
    <w:rsid w:val="383C3F15"/>
    <w:rsid w:val="38BE4696"/>
    <w:rsid w:val="3939115E"/>
    <w:rsid w:val="39B82A39"/>
    <w:rsid w:val="39C42CA8"/>
    <w:rsid w:val="39DC4FD6"/>
    <w:rsid w:val="39F03D7A"/>
    <w:rsid w:val="39F33306"/>
    <w:rsid w:val="3A2C1C67"/>
    <w:rsid w:val="3A564216"/>
    <w:rsid w:val="3ADD7F09"/>
    <w:rsid w:val="3B1705E5"/>
    <w:rsid w:val="3B18334B"/>
    <w:rsid w:val="3B36794F"/>
    <w:rsid w:val="3B5E7AD5"/>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E23419"/>
    <w:rsid w:val="4A263DF2"/>
    <w:rsid w:val="4A5329AF"/>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7463F8"/>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E734D64"/>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7546</Words>
  <Characters>8906</Characters>
  <Lines>161</Lines>
  <Paragraphs>45</Paragraphs>
  <TotalTime>0</TotalTime>
  <ScaleCrop>false</ScaleCrop>
  <LinksUpToDate>false</LinksUpToDate>
  <CharactersWithSpaces>9923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2024-08-21T07:12:17Z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