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0EDB0">
      <w:pPr>
        <w:pStyle w:val="5"/>
        <w:keepNext w:val="0"/>
        <w:keepLines w:val="0"/>
        <w:pageBreakBefore w:val="0"/>
        <w:widowControl/>
        <w:kinsoku/>
        <w:overflowPunct/>
        <w:topLinePunct w:val="0"/>
        <w:autoSpaceDN/>
        <w:bidi w:val="0"/>
        <w:adjustRightInd/>
        <w:spacing w:before="0" w:beforeAutospacing="0" w:after="0" w:afterAutospacing="0" w:line="600" w:lineRule="exact"/>
        <w:ind w:left="0" w:leftChars="0"/>
        <w:jc w:val="center"/>
        <w:rPr>
          <w:rFonts w:ascii="Times New Roman" w:hAnsi="Times New Roman" w:eastAsia="方正小标宋_GBK" w:cs="方正小标宋_GBK"/>
          <w:b w:val="0"/>
          <w:bCs w:val="0"/>
          <w:sz w:val="36"/>
          <w:szCs w:val="36"/>
          <w:shd w:val="clear" w:color="auto" w:fill="FFFFFF"/>
        </w:rPr>
      </w:pPr>
      <w:r>
        <w:rPr>
          <w:rFonts w:ascii="Times New Roman" w:hAnsi="Times New Roman" w:eastAsia="方正小标宋_GBK" w:cs="方正小标宋_GBK"/>
          <w:b w:val="0"/>
          <w:bCs w:val="0"/>
          <w:sz w:val="36"/>
          <w:szCs w:val="36"/>
        </w:rPr>
        <w:t>重庆市潼南区田家镇产业发展服务中心</w:t>
      </w:r>
      <w:r>
        <w:rPr>
          <w:rFonts w:ascii="Times New Roman" w:hAnsi="Times New Roman" w:eastAsia="方正小标宋_GBK" w:cs="方正小标宋_GBK"/>
          <w:b w:val="0"/>
          <w:bCs w:val="0"/>
          <w:sz w:val="36"/>
          <w:szCs w:val="36"/>
          <w:shd w:val="clear" w:color="auto" w:fill="FFFFFF"/>
        </w:rPr>
        <w:t>2023年度</w:t>
      </w:r>
    </w:p>
    <w:p w14:paraId="73B2F209">
      <w:pPr>
        <w:pStyle w:val="5"/>
        <w:keepNext w:val="0"/>
        <w:keepLines w:val="0"/>
        <w:pageBreakBefore w:val="0"/>
        <w:widowControl/>
        <w:kinsoku/>
        <w:overflowPunct/>
        <w:topLinePunct w:val="0"/>
        <w:autoSpaceDN/>
        <w:bidi w:val="0"/>
        <w:adjustRightInd/>
        <w:spacing w:before="0" w:beforeAutospacing="0" w:after="0" w:afterAutospacing="0" w:line="600" w:lineRule="exact"/>
        <w:ind w:left="0" w:leftChars="0"/>
        <w:jc w:val="center"/>
        <w:rPr>
          <w:rFonts w:hint="default" w:ascii="Times New Roman" w:hAnsi="Times New Roman" w:eastAsia="方正小标宋_GBK" w:cs="方正小标宋_GBK"/>
          <w:b w:val="0"/>
          <w:bCs w:val="0"/>
          <w:sz w:val="36"/>
          <w:szCs w:val="36"/>
          <w:shd w:val="clear" w:color="auto" w:fill="FFFFFF"/>
        </w:rPr>
      </w:pPr>
      <w:r>
        <w:rPr>
          <w:rFonts w:ascii="Times New Roman" w:hAnsi="Times New Roman" w:eastAsia="方正小标宋_GBK" w:cs="方正小标宋_GBK"/>
          <w:b w:val="0"/>
          <w:bCs w:val="0"/>
          <w:sz w:val="36"/>
          <w:szCs w:val="36"/>
          <w:shd w:val="clear" w:color="auto" w:fill="FFFFFF"/>
        </w:rPr>
        <w:t>决算</w:t>
      </w:r>
      <w:r>
        <w:rPr>
          <w:rFonts w:hint="eastAsia" w:ascii="Times New Roman" w:hAnsi="Times New Roman" w:eastAsia="方正小标宋_GBK" w:cs="方正小标宋_GBK"/>
          <w:b w:val="0"/>
          <w:bCs w:val="0"/>
          <w:sz w:val="36"/>
          <w:szCs w:val="36"/>
          <w:shd w:val="clear" w:color="auto" w:fill="FFFFFF"/>
          <w:lang w:eastAsia="zh-CN"/>
        </w:rPr>
        <w:t>公开</w:t>
      </w:r>
      <w:r>
        <w:rPr>
          <w:rFonts w:ascii="Times New Roman" w:hAnsi="Times New Roman" w:eastAsia="方正小标宋_GBK" w:cs="方正小标宋_GBK"/>
          <w:b w:val="0"/>
          <w:bCs w:val="0"/>
          <w:sz w:val="36"/>
          <w:szCs w:val="36"/>
          <w:shd w:val="clear" w:color="auto" w:fill="FFFFFF"/>
        </w:rPr>
        <w:t>说明</w:t>
      </w:r>
    </w:p>
    <w:p w14:paraId="477510D2">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rPr>
          <w:rStyle w:val="9"/>
          <w:rFonts w:hint="eastAsia" w:ascii="Times New Roman" w:hAnsi="Times New Roman" w:eastAsia="黑体" w:cs="黑体"/>
          <w:b w:val="0"/>
          <w:bCs w:val="0"/>
          <w:sz w:val="32"/>
          <w:szCs w:val="32"/>
          <w:shd w:val="clear" w:color="auto" w:fill="FFFFFF"/>
        </w:rPr>
      </w:pPr>
    </w:p>
    <w:p w14:paraId="7EE38515">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rPr>
          <w:rFonts w:hint="eastAsia" w:ascii="Times New Roman" w:hAnsi="Times New Roman" w:eastAsia="黑体" w:cs="黑体"/>
          <w:b w:val="0"/>
          <w:bCs w:val="0"/>
          <w:sz w:val="32"/>
          <w:szCs w:val="32"/>
        </w:rPr>
      </w:pPr>
      <w:r>
        <w:rPr>
          <w:rStyle w:val="9"/>
          <w:rFonts w:hint="eastAsia" w:ascii="Times New Roman" w:hAnsi="Times New Roman" w:eastAsia="黑体" w:cs="黑体"/>
          <w:b w:val="0"/>
          <w:bCs w:val="0"/>
          <w:sz w:val="32"/>
          <w:szCs w:val="32"/>
          <w:shd w:val="clear" w:color="auto" w:fill="FFFFFF"/>
        </w:rPr>
        <w:t>一、部门基本情况</w:t>
      </w:r>
    </w:p>
    <w:p w14:paraId="0D588062">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Fonts w:hint="eastAsia" w:ascii="方正楷体_GBK" w:hAnsi="方正楷体_GBK" w:eastAsia="方正楷体_GBK" w:cs="方正楷体_GBK"/>
          <w:b w:val="0"/>
          <w:bCs w:val="0"/>
          <w:sz w:val="32"/>
          <w:szCs w:val="32"/>
        </w:rPr>
      </w:pPr>
      <w:r>
        <w:rPr>
          <w:rStyle w:val="9"/>
          <w:rFonts w:hint="eastAsia" w:ascii="方正楷体_GBK" w:hAnsi="方正楷体_GBK" w:eastAsia="方正楷体_GBK" w:cs="方正楷体_GBK"/>
          <w:b w:val="0"/>
          <w:bCs w:val="0"/>
          <w:sz w:val="32"/>
          <w:szCs w:val="32"/>
          <w:shd w:val="clear" w:color="auto" w:fill="FFFFFF"/>
        </w:rPr>
        <w:t>（一）职能职责</w:t>
      </w:r>
    </w:p>
    <w:p w14:paraId="2D291B4D">
      <w:pPr>
        <w:pStyle w:val="11"/>
        <w:keepNext w:val="0"/>
        <w:keepLines w:val="0"/>
        <w:pageBreakBefore w:val="0"/>
        <w:widowControl/>
        <w:suppressLineNumbers w:val="0"/>
        <w:kinsoku/>
        <w:overflowPunct/>
        <w:topLinePunct w:val="0"/>
        <w:autoSpaceDN/>
        <w:bidi w:val="0"/>
        <w:adjustRightInd/>
        <w:spacing w:before="0" w:beforeAutospacing="0" w:after="0" w:afterAutospacing="0" w:line="600" w:lineRule="exact"/>
        <w:ind w:left="0" w:leftChars="0" w:firstLine="640" w:firstLineChars="200"/>
        <w:jc w:val="left"/>
        <w:rPr>
          <w:rFonts w:hint="eastAsia" w:ascii="Times New Roman" w:hAnsi="Times New Roman" w:eastAsia="方正仿宋_GBK" w:cs="方正仿宋_GBK"/>
          <w:b w:val="0"/>
          <w:bCs w:val="0"/>
          <w:sz w:val="32"/>
          <w:szCs w:val="32"/>
          <w:shd w:val="clear" w:color="auto" w:fill="FFFFFF"/>
          <w:lang w:val="en-US" w:eastAsia="zh-CN" w:bidi="ar-SA"/>
        </w:rPr>
      </w:pPr>
      <w:r>
        <w:rPr>
          <w:rFonts w:hint="eastAsia" w:ascii="Times New Roman" w:hAnsi="Times New Roman" w:eastAsia="方正仿宋_GBK" w:cs="方正仿宋_GBK"/>
          <w:b w:val="0"/>
          <w:bCs w:val="0"/>
          <w:sz w:val="32"/>
          <w:szCs w:val="32"/>
          <w:shd w:val="clear" w:color="auto" w:fill="FFFFFF"/>
          <w:lang w:val="en-US" w:eastAsia="zh-CN" w:bidi="ar-SA"/>
        </w:rPr>
        <w:t>主要承担产业规划、布局、引进、培育、发展等工作；负责招商引资年度计划和产业发展规划的实施；承担农村经营管理、经济社会统计、扶贫开发、产业扶贫、脱贫攻坚等事务性工作,承担各类招商项目洽谈、推介活动等投资服务具体工作。</w:t>
      </w:r>
    </w:p>
    <w:p w14:paraId="2C3A333B">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（二）机构设置</w:t>
      </w:r>
    </w:p>
    <w:p w14:paraId="26974A9B">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640" w:firstLineChars="200"/>
        <w:rPr>
          <w:rFonts w:hint="default" w:ascii="Times New Roman" w:hAnsi="Times New Roman" w:eastAsia="方正仿宋_GBK" w:cs="方正仿宋_GBK"/>
          <w:b w:val="0"/>
          <w:bCs w:val="0"/>
          <w:sz w:val="32"/>
          <w:szCs w:val="32"/>
          <w:shd w:val="clear" w:color="auto" w:fill="FFFFFF"/>
        </w:rPr>
      </w:pPr>
      <w:r>
        <w:rPr>
          <w:rFonts w:ascii="Times New Roman" w:hAnsi="Times New Roman" w:eastAsia="方正仿宋_GBK" w:cs="方正仿宋_GBK"/>
          <w:b w:val="0"/>
          <w:bCs w:val="0"/>
          <w:sz w:val="32"/>
          <w:szCs w:val="32"/>
          <w:shd w:val="clear" w:color="auto" w:fill="FFFFFF"/>
        </w:rPr>
        <w:t>本单位为重庆市潼南区</w:t>
      </w:r>
      <w:r>
        <w:rPr>
          <w:rFonts w:hint="eastAsia" w:ascii="Times New Roman" w:hAnsi="Times New Roman" w:eastAsia="方正仿宋_GBK" w:cs="方正仿宋_GBK"/>
          <w:b w:val="0"/>
          <w:bCs w:val="0"/>
          <w:sz w:val="32"/>
          <w:szCs w:val="32"/>
          <w:shd w:val="clear" w:color="auto" w:fill="FFFFFF"/>
          <w:lang w:val="en-US" w:eastAsia="zh-CN"/>
        </w:rPr>
        <w:t>田家镇</w:t>
      </w:r>
      <w:r>
        <w:rPr>
          <w:rFonts w:ascii="Times New Roman" w:hAnsi="Times New Roman" w:eastAsia="方正仿宋_GBK" w:cs="方正仿宋_GBK"/>
          <w:b w:val="0"/>
          <w:bCs w:val="0"/>
          <w:sz w:val="32"/>
          <w:szCs w:val="32"/>
          <w:shd w:val="clear" w:color="auto" w:fill="FFFFFF"/>
        </w:rPr>
        <w:t>人民政府</w:t>
      </w:r>
      <w:r>
        <w:rPr>
          <w:rFonts w:hint="eastAsia" w:ascii="Times New Roman" w:hAnsi="Times New Roman" w:eastAsia="方正仿宋_GBK" w:cs="方正仿宋_GBK"/>
          <w:b w:val="0"/>
          <w:bCs w:val="0"/>
          <w:sz w:val="32"/>
          <w:szCs w:val="32"/>
          <w:shd w:val="clear" w:color="auto" w:fill="FFFFFF"/>
          <w:lang w:eastAsia="zh-CN"/>
        </w:rPr>
        <w:t>下属</w:t>
      </w:r>
      <w:r>
        <w:rPr>
          <w:rFonts w:ascii="Times New Roman" w:hAnsi="Times New Roman" w:eastAsia="方正仿宋_GBK" w:cs="方正仿宋_GBK"/>
          <w:b w:val="0"/>
          <w:bCs w:val="0"/>
          <w:sz w:val="32"/>
          <w:szCs w:val="32"/>
          <w:shd w:val="clear" w:color="auto" w:fill="FFFFFF"/>
        </w:rPr>
        <w:t>二级预算单位，单位类型为公益一类事业单位。本单位</w:t>
      </w:r>
      <w:r>
        <w:rPr>
          <w:rFonts w:hint="default" w:ascii="Times New Roman" w:hAnsi="Times New Roman" w:eastAsia="方正仿宋_GBK" w:cs="方正仿宋_GBK"/>
          <w:b w:val="0"/>
          <w:bCs w:val="0"/>
          <w:sz w:val="32"/>
          <w:szCs w:val="32"/>
          <w:shd w:val="clear" w:color="auto" w:fill="FFFFFF"/>
        </w:rPr>
        <w:t>实有在职职工</w:t>
      </w:r>
      <w:r>
        <w:rPr>
          <w:rFonts w:hint="eastAsia" w:ascii="Times New Roman" w:hAnsi="Times New Roman" w:eastAsia="方正仿宋_GBK" w:cs="方正仿宋_GBK"/>
          <w:b w:val="0"/>
          <w:bCs w:val="0"/>
          <w:sz w:val="32"/>
          <w:szCs w:val="32"/>
          <w:shd w:val="clear" w:color="auto" w:fill="FFFFFF"/>
          <w:lang w:val="en-US" w:eastAsia="zh-CN"/>
        </w:rPr>
        <w:t>4</w:t>
      </w:r>
      <w:r>
        <w:rPr>
          <w:rFonts w:hint="default" w:ascii="Times New Roman" w:hAnsi="Times New Roman" w:eastAsia="方正仿宋_GBK" w:cs="方正仿宋_GBK"/>
          <w:b w:val="0"/>
          <w:bCs w:val="0"/>
          <w:sz w:val="32"/>
          <w:szCs w:val="32"/>
          <w:shd w:val="clear" w:color="auto" w:fill="FFFFFF"/>
        </w:rPr>
        <w:t>人。</w:t>
      </w:r>
    </w:p>
    <w:p w14:paraId="4466C0A4">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rPr>
          <w:rFonts w:hint="default" w:ascii="Times New Roman" w:hAnsi="Times New Roman" w:eastAsia="方正仿宋_GBK" w:cs="方正仿宋_GBK"/>
          <w:b w:val="0"/>
          <w:bCs w:val="0"/>
          <w:sz w:val="32"/>
          <w:szCs w:val="32"/>
        </w:rPr>
      </w:pPr>
      <w:r>
        <w:rPr>
          <w:rStyle w:val="9"/>
          <w:rFonts w:hint="eastAsia" w:ascii="Times New Roman" w:hAnsi="Times New Roman" w:eastAsia="黑体" w:cs="黑体"/>
          <w:b w:val="0"/>
          <w:bCs w:val="0"/>
          <w:sz w:val="32"/>
          <w:szCs w:val="32"/>
          <w:shd w:val="clear" w:color="auto" w:fill="FFFFFF"/>
        </w:rPr>
        <w:t>二、部门决算情况说明</w:t>
      </w:r>
    </w:p>
    <w:p w14:paraId="1663D004">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（一）收入支出决算总体情况说明。</w:t>
      </w:r>
    </w:p>
    <w:p w14:paraId="5A799ED7">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640" w:firstLineChars="200"/>
        <w:rPr>
          <w:rFonts w:hint="default" w:ascii="Times New Roman" w:hAnsi="Times New Roman" w:eastAsia="方正仿宋_GBK" w:cs="方正仿宋_GBK"/>
          <w:b w:val="0"/>
          <w:bCs w:val="0"/>
          <w:sz w:val="32"/>
          <w:szCs w:val="32"/>
        </w:rPr>
      </w:pPr>
      <w:r>
        <w:rPr>
          <w:rStyle w:val="9"/>
          <w:rFonts w:ascii="Times New Roman" w:hAnsi="Times New Roman" w:eastAsia="方正仿宋_GBK" w:cs="方正仿宋_GBK"/>
          <w:b w:val="0"/>
          <w:bCs w:val="0"/>
          <w:sz w:val="32"/>
          <w:szCs w:val="32"/>
          <w:shd w:val="clear" w:color="auto" w:fill="FFFFFF"/>
        </w:rPr>
        <w:t>1.总体情况。</w:t>
      </w:r>
      <w:r>
        <w:rPr>
          <w:rFonts w:ascii="Times New Roman" w:hAnsi="Times New Roman" w:eastAsia="方正仿宋_GBK" w:cs="方正仿宋_GBK"/>
          <w:b w:val="0"/>
          <w:bCs w:val="0"/>
          <w:sz w:val="32"/>
          <w:szCs w:val="32"/>
          <w:shd w:val="clear" w:color="auto" w:fill="FFFFFF"/>
        </w:rPr>
        <w:t>2023年度收入总计71.77万元，支出总计</w:t>
      </w:r>
      <w:r>
        <w:rPr>
          <w:rFonts w:ascii="Times New Roman" w:hAnsi="Times New Roman" w:eastAsia="方正仿宋_GBK" w:cs="方正仿宋_GBK"/>
          <w:b w:val="0"/>
          <w:bCs w:val="0"/>
          <w:sz w:val="32"/>
          <w:szCs w:val="32"/>
        </w:rPr>
        <w:t>71.77</w:t>
      </w:r>
      <w:r>
        <w:rPr>
          <w:rFonts w:ascii="Times New Roman" w:hAnsi="Times New Roman" w:eastAsia="方正仿宋_GBK" w:cs="方正仿宋_GBK"/>
          <w:b w:val="0"/>
          <w:bCs w:val="0"/>
          <w:sz w:val="32"/>
          <w:szCs w:val="32"/>
          <w:shd w:val="clear" w:color="auto" w:fill="FFFFFF"/>
        </w:rPr>
        <w:t>万元。收支较上年决算数增加1.12万元，增长1.59%，主要原因是</w:t>
      </w:r>
      <w:r>
        <w:rPr>
          <w:rFonts w:hint="eastAsia" w:ascii="Times New Roman" w:hAnsi="Times New Roman" w:eastAsia="方正仿宋_GBK" w:cs="方正仿宋_GBK"/>
          <w:b w:val="0"/>
          <w:bCs w:val="0"/>
          <w:sz w:val="32"/>
          <w:szCs w:val="32"/>
          <w:shd w:val="clear" w:color="auto" w:fill="FFFFFF"/>
          <w:lang w:val="en-US" w:eastAsia="zh-CN"/>
        </w:rPr>
        <w:t>2023年一般公共预算财政拨款较上年增加、</w:t>
      </w:r>
      <w:r>
        <w:rPr>
          <w:rFonts w:hint="eastAsia" w:ascii="Times New Roman" w:hAnsi="Times New Roman" w:eastAsia="方正仿宋_GBK" w:cs="方正仿宋_GBK"/>
          <w:b w:val="0"/>
          <w:bCs w:val="0"/>
          <w:sz w:val="32"/>
          <w:szCs w:val="32"/>
          <w:highlight w:val="none"/>
          <w:shd w:val="clear" w:color="auto" w:fill="FFFFFF"/>
          <w:lang w:val="en-US" w:eastAsia="zh-CN"/>
        </w:rPr>
        <w:t>2023年日常公用经费单列</w:t>
      </w:r>
      <w:r>
        <w:rPr>
          <w:rFonts w:hint="eastAsia" w:ascii="Times New Roman" w:hAnsi="Times New Roman" w:eastAsia="方正仿宋_GBK" w:cs="方正仿宋_GBK"/>
          <w:b w:val="0"/>
          <w:bCs w:val="0"/>
          <w:sz w:val="32"/>
          <w:szCs w:val="32"/>
          <w:shd w:val="clear" w:color="auto" w:fill="FFFFFF"/>
          <w:lang w:val="en-US" w:eastAsia="zh-CN"/>
        </w:rPr>
        <w:t>。</w:t>
      </w:r>
    </w:p>
    <w:p w14:paraId="3CB5F69E">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rPr>
      </w:pPr>
      <w:r>
        <w:rPr>
          <w:rStyle w:val="9"/>
          <w:rFonts w:ascii="Times New Roman" w:hAnsi="Times New Roman" w:eastAsia="方正仿宋_GBK" w:cs="方正仿宋_GBK"/>
          <w:b w:val="0"/>
          <w:bCs w:val="0"/>
          <w:sz w:val="32"/>
          <w:szCs w:val="32"/>
          <w:shd w:val="clear" w:color="auto" w:fill="FFFFFF"/>
        </w:rPr>
        <w:t>2.收入情况。</w:t>
      </w:r>
      <w:r>
        <w:rPr>
          <w:rFonts w:ascii="Times New Roman" w:hAnsi="Times New Roman" w:eastAsia="方正仿宋_GBK" w:cs="方正仿宋_GBK"/>
          <w:b w:val="0"/>
          <w:bCs w:val="0"/>
          <w:sz w:val="32"/>
          <w:szCs w:val="32"/>
          <w:shd w:val="clear" w:color="auto" w:fill="FFFFFF"/>
        </w:rPr>
        <w:t>2023年度收入合计</w:t>
      </w:r>
      <w:r>
        <w:rPr>
          <w:rFonts w:hint="eastAsia" w:ascii="Times New Roman" w:hAnsi="Times New Roman" w:eastAsia="方正仿宋_GBK" w:cs="方正仿宋_GBK"/>
          <w:b w:val="0"/>
          <w:bCs w:val="0"/>
          <w:sz w:val="32"/>
          <w:szCs w:val="32"/>
          <w:shd w:val="clear" w:color="auto" w:fill="FFFFFF"/>
        </w:rPr>
        <w:t>71.77</w:t>
      </w:r>
      <w:r>
        <w:rPr>
          <w:rFonts w:ascii="Times New Roman" w:hAnsi="Times New Roman" w:eastAsia="方正仿宋_GBK" w:cs="方正仿宋_GBK"/>
          <w:b w:val="0"/>
          <w:bCs w:val="0"/>
          <w:sz w:val="32"/>
          <w:szCs w:val="32"/>
          <w:shd w:val="clear" w:color="auto" w:fill="FFFFFF"/>
        </w:rPr>
        <w:t>万元，较上年决算数增加1.12万元，增长1.59%，主要原因是</w:t>
      </w:r>
      <w:r>
        <w:rPr>
          <w:rFonts w:hint="eastAsia" w:ascii="Times New Roman" w:hAnsi="Times New Roman" w:eastAsia="方正仿宋_GBK" w:cs="方正仿宋_GBK"/>
          <w:b w:val="0"/>
          <w:bCs w:val="0"/>
          <w:sz w:val="32"/>
          <w:szCs w:val="32"/>
          <w:shd w:val="clear" w:color="auto" w:fill="FFFFFF"/>
          <w:lang w:val="en-US" w:eastAsia="zh-CN"/>
        </w:rPr>
        <w:t>2023年一般公共预算财政拨款较上年增加。</w:t>
      </w:r>
      <w:r>
        <w:rPr>
          <w:rFonts w:ascii="Times New Roman" w:hAnsi="Times New Roman" w:eastAsia="方正仿宋_GBK" w:cs="方正仿宋_GBK"/>
          <w:b w:val="0"/>
          <w:bCs w:val="0"/>
          <w:sz w:val="32"/>
          <w:szCs w:val="32"/>
          <w:shd w:val="clear" w:color="auto" w:fill="FFFFFF"/>
        </w:rPr>
        <w:t>其中：财政拨款收入</w:t>
      </w:r>
      <w:r>
        <w:rPr>
          <w:rFonts w:ascii="Times New Roman" w:hAnsi="Times New Roman" w:eastAsia="方正仿宋_GBK" w:cs="方正仿宋_GBK"/>
          <w:b w:val="0"/>
          <w:bCs w:val="0"/>
          <w:sz w:val="32"/>
          <w:szCs w:val="32"/>
        </w:rPr>
        <w:t>71.77</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100.00</w:t>
      </w:r>
      <w:r>
        <w:rPr>
          <w:rFonts w:ascii="Times New Roman" w:hAnsi="Times New Roman" w:eastAsia="方正仿宋_GBK" w:cs="方正仿宋_GBK"/>
          <w:b w:val="0"/>
          <w:bCs w:val="0"/>
          <w:sz w:val="32"/>
          <w:szCs w:val="32"/>
          <w:shd w:val="clear" w:color="auto" w:fill="FFFFFF"/>
        </w:rPr>
        <w:t>%；事业收入</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万元，占0.00%；经营收入</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万元，占0.00%；其他收入</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万元，占0.00%。此外，使用非财政拨款结余和专用结余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万元，年初结转和结余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w:t>
      </w:r>
    </w:p>
    <w:p w14:paraId="64DC3B3E">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shd w:val="clear" w:color="auto" w:fill="FFFFFF"/>
        </w:rPr>
      </w:pPr>
      <w:r>
        <w:rPr>
          <w:rStyle w:val="9"/>
          <w:rFonts w:ascii="Times New Roman" w:hAnsi="Times New Roman" w:eastAsia="方正仿宋_GBK" w:cs="方正仿宋_GBK"/>
          <w:b w:val="0"/>
          <w:bCs w:val="0"/>
          <w:sz w:val="32"/>
          <w:szCs w:val="32"/>
          <w:shd w:val="clear" w:color="auto" w:fill="FFFFFF"/>
        </w:rPr>
        <w:t>3.支出情况。</w:t>
      </w:r>
      <w:r>
        <w:rPr>
          <w:rFonts w:ascii="Times New Roman" w:hAnsi="Times New Roman" w:eastAsia="方正仿宋_GBK" w:cs="方正仿宋_GBK"/>
          <w:b w:val="0"/>
          <w:bCs w:val="0"/>
          <w:sz w:val="32"/>
          <w:szCs w:val="32"/>
          <w:shd w:val="clear" w:color="auto" w:fill="FFFFFF"/>
        </w:rPr>
        <w:t>2023年度支出合计</w:t>
      </w:r>
      <w:r>
        <w:rPr>
          <w:rFonts w:ascii="Times New Roman" w:hAnsi="Times New Roman" w:eastAsia="方正仿宋_GBK" w:cs="方正仿宋_GBK"/>
          <w:b w:val="0"/>
          <w:bCs w:val="0"/>
          <w:sz w:val="32"/>
          <w:szCs w:val="32"/>
        </w:rPr>
        <w:t>71.77</w:t>
      </w:r>
      <w:r>
        <w:rPr>
          <w:rFonts w:ascii="Times New Roman" w:hAnsi="Times New Roman" w:eastAsia="方正仿宋_GBK" w:cs="方正仿宋_GBK"/>
          <w:b w:val="0"/>
          <w:bCs w:val="0"/>
          <w:sz w:val="32"/>
          <w:szCs w:val="32"/>
          <w:shd w:val="clear" w:color="auto" w:fill="FFFFFF"/>
        </w:rPr>
        <w:t>万元，较上年决算数增加1.12万元，增长1.59%，主要原因是</w:t>
      </w:r>
      <w:r>
        <w:rPr>
          <w:rFonts w:hint="eastAsia" w:ascii="Times New Roman" w:hAnsi="Times New Roman" w:eastAsia="方正仿宋_GBK" w:cs="方正仿宋_GBK"/>
          <w:b w:val="0"/>
          <w:bCs w:val="0"/>
          <w:sz w:val="32"/>
          <w:szCs w:val="32"/>
          <w:highlight w:val="none"/>
          <w:shd w:val="clear" w:color="auto" w:fill="FFFFFF"/>
          <w:lang w:val="en-US" w:eastAsia="zh-CN"/>
        </w:rPr>
        <w:t>2023年日常公用经费单列</w:t>
      </w:r>
      <w:r>
        <w:rPr>
          <w:rFonts w:hint="eastAsia" w:ascii="Times New Roman" w:hAnsi="Times New Roman" w:eastAsia="方正仿宋_GBK" w:cs="方正仿宋_GBK"/>
          <w:b w:val="0"/>
          <w:bCs w:val="0"/>
          <w:sz w:val="32"/>
          <w:szCs w:val="32"/>
          <w:shd w:val="clear" w:color="auto" w:fill="FFFFFF"/>
          <w:lang w:val="en-US" w:eastAsia="zh-CN"/>
        </w:rPr>
        <w:t>。</w:t>
      </w:r>
      <w:r>
        <w:rPr>
          <w:rFonts w:ascii="Times New Roman" w:hAnsi="Times New Roman" w:eastAsia="方正仿宋_GBK" w:cs="方正仿宋_GBK"/>
          <w:b w:val="0"/>
          <w:bCs w:val="0"/>
          <w:sz w:val="32"/>
          <w:szCs w:val="32"/>
          <w:shd w:val="clear" w:color="auto" w:fill="FFFFFF"/>
        </w:rPr>
        <w:t>其中：基本支出</w:t>
      </w:r>
      <w:r>
        <w:rPr>
          <w:rFonts w:ascii="Times New Roman" w:hAnsi="Times New Roman" w:eastAsia="方正仿宋_GBK" w:cs="方正仿宋_GBK"/>
          <w:b w:val="0"/>
          <w:bCs w:val="0"/>
          <w:sz w:val="32"/>
          <w:szCs w:val="32"/>
        </w:rPr>
        <w:t>71.77</w:t>
      </w:r>
      <w:r>
        <w:rPr>
          <w:rFonts w:ascii="Times New Roman" w:hAnsi="Times New Roman" w:eastAsia="方正仿宋_GBK" w:cs="方正仿宋_GBK"/>
          <w:b w:val="0"/>
          <w:bCs w:val="0"/>
          <w:sz w:val="32"/>
          <w:szCs w:val="32"/>
          <w:shd w:val="clear" w:color="auto" w:fill="FFFFFF"/>
        </w:rPr>
        <w:t>万元，占100.00%；项目支出</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万元，占0.00%；经营支出</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万元，占0.00%。此外，结余分配</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w:t>
      </w:r>
    </w:p>
    <w:p w14:paraId="5B562825">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lang w:eastAsia="zh-CN"/>
        </w:rPr>
      </w:pPr>
      <w:r>
        <w:rPr>
          <w:rStyle w:val="9"/>
          <w:rFonts w:ascii="Times New Roman" w:hAnsi="Times New Roman" w:eastAsia="方正仿宋_GBK" w:cs="方正仿宋_GBK"/>
          <w:b w:val="0"/>
          <w:bCs w:val="0"/>
          <w:sz w:val="32"/>
          <w:szCs w:val="32"/>
          <w:shd w:val="clear" w:color="auto" w:fill="FFFFFF"/>
        </w:rPr>
        <w:t>4.结转结余情况。</w:t>
      </w:r>
      <w:r>
        <w:rPr>
          <w:rFonts w:ascii="Times New Roman" w:hAnsi="Times New Roman" w:eastAsia="方正仿宋_GBK" w:cs="方正仿宋_GBK"/>
          <w:b w:val="0"/>
          <w:bCs w:val="0"/>
          <w:sz w:val="32"/>
          <w:szCs w:val="32"/>
          <w:shd w:val="clear" w:color="auto" w:fill="FFFFFF"/>
        </w:rPr>
        <w:t>2023年度年末结转和结余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万元，较上年决算数无增减</w:t>
      </w:r>
      <w:r>
        <w:rPr>
          <w:rFonts w:hint="eastAsia" w:ascii="Times New Roman" w:hAnsi="Times New Roman" w:eastAsia="方正仿宋_GBK" w:cs="方正仿宋_GBK"/>
          <w:b w:val="0"/>
          <w:bCs w:val="0"/>
          <w:sz w:val="32"/>
          <w:szCs w:val="32"/>
          <w:shd w:val="clear" w:color="auto" w:fill="FFFFFF"/>
          <w:lang w:eastAsia="zh-CN"/>
        </w:rPr>
        <w:t>。</w:t>
      </w:r>
    </w:p>
    <w:p w14:paraId="38361B7C">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（二）财政拨款收入支出决算总体情况说明</w:t>
      </w:r>
    </w:p>
    <w:p w14:paraId="14A36286">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640" w:firstLineChars="200"/>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2023年度财政拨款收、支总计</w:t>
      </w:r>
      <w:r>
        <w:rPr>
          <w:rFonts w:hint="eastAsia" w:ascii="Times New Roman" w:hAnsi="Times New Roman" w:eastAsia="方正仿宋_GBK" w:cs="方正仿宋_GBK"/>
          <w:b w:val="0"/>
          <w:bCs w:val="0"/>
          <w:sz w:val="32"/>
          <w:szCs w:val="32"/>
          <w:shd w:val="clear" w:color="auto" w:fill="FFFFFF"/>
        </w:rPr>
        <w:t>71.77</w:t>
      </w:r>
      <w:r>
        <w:rPr>
          <w:rFonts w:ascii="Times New Roman" w:hAnsi="Times New Roman" w:eastAsia="方正仿宋_GBK" w:cs="方正仿宋_GBK"/>
          <w:b w:val="0"/>
          <w:bCs w:val="0"/>
          <w:sz w:val="32"/>
          <w:szCs w:val="32"/>
          <w:shd w:val="clear" w:color="auto" w:fill="FFFFFF"/>
        </w:rPr>
        <w:t>万元。与2022年相比，财政拨款收、支总计各增加1.12万元，增长1.59%。主要原因是</w:t>
      </w:r>
      <w:r>
        <w:rPr>
          <w:rFonts w:hint="eastAsia" w:ascii="Times New Roman" w:hAnsi="Times New Roman" w:eastAsia="方正仿宋_GBK" w:cs="方正仿宋_GBK"/>
          <w:b w:val="0"/>
          <w:bCs w:val="0"/>
          <w:sz w:val="32"/>
          <w:szCs w:val="32"/>
          <w:shd w:val="clear" w:color="auto" w:fill="FFFFFF"/>
          <w:lang w:val="en-US" w:eastAsia="zh-CN"/>
        </w:rPr>
        <w:t>2023年一般公共预算财政拨款较上年增加、</w:t>
      </w:r>
      <w:r>
        <w:rPr>
          <w:rFonts w:hint="eastAsia" w:ascii="Times New Roman" w:hAnsi="Times New Roman" w:eastAsia="方正仿宋_GBK" w:cs="方正仿宋_GBK"/>
          <w:b w:val="0"/>
          <w:bCs w:val="0"/>
          <w:sz w:val="32"/>
          <w:szCs w:val="32"/>
          <w:highlight w:val="none"/>
          <w:shd w:val="clear" w:color="auto" w:fill="FFFFFF"/>
          <w:lang w:val="en-US" w:eastAsia="zh-CN"/>
        </w:rPr>
        <w:t>2023年日常公用经费单列</w:t>
      </w:r>
      <w:r>
        <w:rPr>
          <w:rFonts w:hint="eastAsia" w:ascii="Times New Roman" w:hAnsi="Times New Roman" w:eastAsia="方正仿宋_GBK" w:cs="方正仿宋_GBK"/>
          <w:b w:val="0"/>
          <w:bCs w:val="0"/>
          <w:sz w:val="32"/>
          <w:szCs w:val="32"/>
          <w:shd w:val="clear" w:color="auto" w:fill="FFFFFF"/>
          <w:lang w:val="en-US" w:eastAsia="zh-CN"/>
        </w:rPr>
        <w:t>。</w:t>
      </w:r>
    </w:p>
    <w:p w14:paraId="59F40092">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（三）一般公共预算财政拨款收入支出决算情况说明</w:t>
      </w:r>
    </w:p>
    <w:p w14:paraId="55151A10">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rPr>
      </w:pPr>
      <w:r>
        <w:rPr>
          <w:rStyle w:val="9"/>
          <w:rFonts w:ascii="Times New Roman" w:hAnsi="Times New Roman" w:eastAsia="方正仿宋_GBK" w:cs="方正仿宋_GBK"/>
          <w:b w:val="0"/>
          <w:bCs w:val="0"/>
          <w:sz w:val="32"/>
          <w:szCs w:val="32"/>
          <w:shd w:val="clear" w:color="auto" w:fill="FFFFFF"/>
        </w:rPr>
        <w:t>1.收入情况。</w:t>
      </w:r>
      <w:r>
        <w:rPr>
          <w:rFonts w:ascii="Times New Roman" w:hAnsi="Times New Roman" w:eastAsia="方正仿宋_GBK" w:cs="方正仿宋_GBK"/>
          <w:b w:val="0"/>
          <w:bCs w:val="0"/>
          <w:sz w:val="32"/>
          <w:szCs w:val="32"/>
          <w:shd w:val="clear" w:color="auto" w:fill="FFFFFF"/>
        </w:rPr>
        <w:t>2023年度一般公共预算财政拨款收入</w:t>
      </w:r>
      <w:r>
        <w:rPr>
          <w:rFonts w:ascii="Times New Roman" w:hAnsi="Times New Roman" w:eastAsia="方正仿宋_GBK" w:cs="方正仿宋_GBK"/>
          <w:b w:val="0"/>
          <w:bCs w:val="0"/>
          <w:sz w:val="32"/>
          <w:szCs w:val="32"/>
        </w:rPr>
        <w:t>71.77</w:t>
      </w:r>
      <w:r>
        <w:rPr>
          <w:rFonts w:ascii="Times New Roman" w:hAnsi="Times New Roman" w:eastAsia="方正仿宋_GBK" w:cs="方正仿宋_GBK"/>
          <w:b w:val="0"/>
          <w:bCs w:val="0"/>
          <w:sz w:val="32"/>
          <w:szCs w:val="32"/>
          <w:shd w:val="clear" w:color="auto" w:fill="FFFFFF"/>
        </w:rPr>
        <w:t>万元，较上年决算数增加1.12万元，增长1.59%。主要原因是</w:t>
      </w:r>
      <w:r>
        <w:rPr>
          <w:rFonts w:hint="eastAsia" w:ascii="Times New Roman" w:hAnsi="Times New Roman" w:eastAsia="方正仿宋_GBK" w:cs="方正仿宋_GBK"/>
          <w:b w:val="0"/>
          <w:bCs w:val="0"/>
          <w:sz w:val="32"/>
          <w:szCs w:val="32"/>
          <w:shd w:val="clear" w:color="auto" w:fill="FFFFFF"/>
          <w:lang w:val="en-US" w:eastAsia="zh-CN"/>
        </w:rPr>
        <w:t>023年一般公共预算财政拨款较上年增加。</w:t>
      </w:r>
      <w:r>
        <w:rPr>
          <w:rFonts w:ascii="Times New Roman" w:hAnsi="Times New Roman" w:eastAsia="方正仿宋_GBK" w:cs="方正仿宋_GBK"/>
          <w:b w:val="0"/>
          <w:bCs w:val="0"/>
          <w:sz w:val="32"/>
          <w:szCs w:val="32"/>
          <w:shd w:val="clear" w:color="auto" w:fill="FFFFFF"/>
        </w:rPr>
        <w:t>较年初预算数减少9.68万元，下降11.88%。主要原因是</w:t>
      </w:r>
      <w:r>
        <w:rPr>
          <w:rFonts w:hint="eastAsia" w:ascii="Times New Roman" w:hAnsi="Times New Roman" w:eastAsia="方正仿宋_GBK" w:cs="方正仿宋_GBK"/>
          <w:b w:val="0"/>
          <w:bCs w:val="0"/>
          <w:sz w:val="32"/>
          <w:szCs w:val="32"/>
          <w:shd w:val="clear" w:color="auto" w:fill="FFFFFF"/>
          <w:lang w:eastAsia="zh-CN"/>
        </w:rPr>
        <w:t>年中追减预算。</w:t>
      </w:r>
      <w:r>
        <w:rPr>
          <w:rFonts w:ascii="Times New Roman" w:hAnsi="Times New Roman" w:eastAsia="方正仿宋_GBK" w:cs="方正仿宋_GBK"/>
          <w:b w:val="0"/>
          <w:bCs w:val="0"/>
          <w:sz w:val="32"/>
          <w:szCs w:val="32"/>
          <w:shd w:val="clear" w:color="auto" w:fill="FFFFFF"/>
        </w:rPr>
        <w:t>此外，年初财政拨款结转和结余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w:t>
      </w:r>
    </w:p>
    <w:p w14:paraId="492B9703">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lang w:eastAsia="zh-CN"/>
        </w:rPr>
      </w:pPr>
      <w:r>
        <w:rPr>
          <w:rStyle w:val="9"/>
          <w:rFonts w:ascii="Times New Roman" w:hAnsi="Times New Roman" w:eastAsia="方正仿宋_GBK" w:cs="方正仿宋_GBK"/>
          <w:b w:val="0"/>
          <w:bCs w:val="0"/>
          <w:sz w:val="32"/>
          <w:szCs w:val="32"/>
          <w:shd w:val="clear" w:color="auto" w:fill="FFFFFF"/>
        </w:rPr>
        <w:t>2.支出情况。</w:t>
      </w:r>
      <w:r>
        <w:rPr>
          <w:rFonts w:ascii="Times New Roman" w:hAnsi="Times New Roman" w:eastAsia="方正仿宋_GBK" w:cs="方正仿宋_GBK"/>
          <w:b w:val="0"/>
          <w:bCs w:val="0"/>
          <w:sz w:val="32"/>
          <w:szCs w:val="32"/>
          <w:shd w:val="clear" w:color="auto" w:fill="FFFFFF"/>
        </w:rPr>
        <w:t>2023年度一般公共预算财政拨款支出</w:t>
      </w:r>
      <w:r>
        <w:rPr>
          <w:rFonts w:ascii="Times New Roman" w:hAnsi="Times New Roman" w:eastAsia="方正仿宋_GBK" w:cs="方正仿宋_GBK"/>
          <w:b w:val="0"/>
          <w:bCs w:val="0"/>
          <w:sz w:val="32"/>
          <w:szCs w:val="32"/>
        </w:rPr>
        <w:t>71.77</w:t>
      </w:r>
      <w:r>
        <w:rPr>
          <w:rFonts w:ascii="Times New Roman" w:hAnsi="Times New Roman" w:eastAsia="方正仿宋_GBK" w:cs="方正仿宋_GBK"/>
          <w:b w:val="0"/>
          <w:bCs w:val="0"/>
          <w:sz w:val="32"/>
          <w:szCs w:val="32"/>
          <w:shd w:val="clear" w:color="auto" w:fill="FFFFFF"/>
        </w:rPr>
        <w:t>万元，较上年决算数增加1.12万元，增长1.59%。主要原因是</w:t>
      </w:r>
      <w:r>
        <w:rPr>
          <w:rFonts w:hint="eastAsia" w:ascii="Times New Roman" w:hAnsi="Times New Roman" w:eastAsia="方正仿宋_GBK" w:cs="方正仿宋_GBK"/>
          <w:b w:val="0"/>
          <w:bCs w:val="0"/>
          <w:sz w:val="32"/>
          <w:szCs w:val="32"/>
          <w:shd w:val="clear" w:color="auto" w:fill="FFFFFF"/>
          <w:lang w:val="en-US" w:eastAsia="zh-CN"/>
        </w:rPr>
        <w:t>2022年度日常公用经费为单列。</w:t>
      </w:r>
      <w:r>
        <w:rPr>
          <w:rFonts w:ascii="Times New Roman" w:hAnsi="Times New Roman" w:eastAsia="方正仿宋_GBK" w:cs="方正仿宋_GBK"/>
          <w:b w:val="0"/>
          <w:bCs w:val="0"/>
          <w:sz w:val="32"/>
          <w:szCs w:val="32"/>
          <w:shd w:val="clear" w:color="auto" w:fill="FFFFFF"/>
        </w:rPr>
        <w:t>较年初预算数减少9.68万元，下降11.88%。主要原因是</w:t>
      </w:r>
      <w:r>
        <w:rPr>
          <w:rFonts w:hint="eastAsia" w:ascii="Times New Roman" w:hAnsi="Times New Roman" w:eastAsia="方正仿宋_GBK" w:cs="方正仿宋_GBK"/>
          <w:b w:val="0"/>
          <w:bCs w:val="0"/>
          <w:sz w:val="32"/>
          <w:szCs w:val="32"/>
          <w:shd w:val="clear" w:color="auto" w:fill="FFFFFF"/>
          <w:lang w:eastAsia="zh-CN"/>
        </w:rPr>
        <w:t>年中追减。</w:t>
      </w:r>
    </w:p>
    <w:p w14:paraId="057229D3">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lang w:val="en-US" w:eastAsia="zh-CN"/>
        </w:rPr>
      </w:pPr>
      <w:r>
        <w:rPr>
          <w:rStyle w:val="9"/>
          <w:rFonts w:ascii="Times New Roman" w:hAnsi="Times New Roman" w:eastAsia="方正仿宋_GBK" w:cs="方正仿宋_GBK"/>
          <w:b w:val="0"/>
          <w:bCs w:val="0"/>
          <w:sz w:val="32"/>
          <w:szCs w:val="32"/>
          <w:shd w:val="clear" w:color="auto" w:fill="FFFFFF"/>
        </w:rPr>
        <w:t>3.结转结余情况。</w:t>
      </w:r>
      <w:r>
        <w:rPr>
          <w:rFonts w:ascii="Times New Roman" w:hAnsi="Times New Roman" w:eastAsia="方正仿宋_GBK" w:cs="方正仿宋_GBK"/>
          <w:b w:val="0"/>
          <w:bCs w:val="0"/>
          <w:sz w:val="32"/>
          <w:szCs w:val="32"/>
          <w:shd w:val="clear" w:color="auto" w:fill="FFFFFF"/>
        </w:rPr>
        <w:t>2023年度年末一般公共预算财政拨款结转和结余</w:t>
      </w:r>
      <w:r>
        <w:rPr>
          <w:rFonts w:ascii="Times New Roman" w:hAnsi="Times New Roman" w:eastAsia="方正仿宋_GBK" w:cs="方正仿宋_GBK"/>
          <w:b w:val="0"/>
          <w:bCs w:val="0"/>
          <w:sz w:val="32"/>
          <w:szCs w:val="32"/>
        </w:rPr>
        <w:t>0.00</w:t>
      </w:r>
      <w:r>
        <w:rPr>
          <w:rFonts w:ascii="Times New Roman" w:hAnsi="Times New Roman" w:eastAsia="方正仿宋_GBK" w:cs="方正仿宋_GBK"/>
          <w:b w:val="0"/>
          <w:bCs w:val="0"/>
          <w:sz w:val="32"/>
          <w:szCs w:val="32"/>
          <w:shd w:val="clear" w:color="auto" w:fill="FFFFFF"/>
        </w:rPr>
        <w:t>万元，较上年决算数无增减</w:t>
      </w:r>
      <w:r>
        <w:rPr>
          <w:rFonts w:hint="eastAsia" w:ascii="Times New Roman" w:hAnsi="Times New Roman" w:eastAsia="方正仿宋_GBK" w:cs="方正仿宋_GBK"/>
          <w:b w:val="0"/>
          <w:bCs w:val="0"/>
          <w:sz w:val="32"/>
          <w:szCs w:val="32"/>
          <w:shd w:val="clear" w:color="auto" w:fill="FFFFFF"/>
          <w:lang w:eastAsia="zh-CN"/>
        </w:rPr>
        <w:t>。</w:t>
      </w:r>
    </w:p>
    <w:p w14:paraId="56A0CB3F">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color w:val="FF0000"/>
          <w:sz w:val="32"/>
          <w:szCs w:val="32"/>
          <w:highlight w:val="cyan"/>
          <w:shd w:val="clear" w:color="auto" w:fill="FFFFFF"/>
        </w:rPr>
      </w:pPr>
      <w:r>
        <w:rPr>
          <w:rStyle w:val="9"/>
          <w:rFonts w:ascii="Times New Roman" w:hAnsi="Times New Roman" w:eastAsia="方正仿宋_GBK" w:cs="方正仿宋_GBK"/>
          <w:b w:val="0"/>
          <w:bCs w:val="0"/>
          <w:sz w:val="32"/>
          <w:szCs w:val="32"/>
          <w:shd w:val="clear" w:color="auto" w:fill="FFFFFF"/>
        </w:rPr>
        <w:t>4.比较情况。</w:t>
      </w:r>
      <w:r>
        <w:rPr>
          <w:rFonts w:ascii="Times New Roman" w:hAnsi="Times New Roman" w:eastAsia="方正仿宋_GBK" w:cs="方正仿宋_GBK"/>
          <w:b w:val="0"/>
          <w:bCs w:val="0"/>
          <w:sz w:val="32"/>
          <w:szCs w:val="32"/>
          <w:shd w:val="clear" w:color="auto" w:fill="FFFFFF"/>
        </w:rPr>
        <w:t>本部门2023年度一般公共预算财政拨款支出主要用于以下几个方面：</w:t>
      </w:r>
    </w:p>
    <w:p w14:paraId="0B14EACC">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1</w:t>
      </w:r>
      <w:r>
        <w:rPr>
          <w:rFonts w:ascii="Times New Roman" w:hAnsi="Times New Roman" w:eastAsia="方正仿宋_GBK" w:cs="方正仿宋_GBK"/>
          <w:b w:val="0"/>
          <w:bCs w:val="0"/>
          <w:sz w:val="32"/>
          <w:szCs w:val="32"/>
          <w:shd w:val="clear" w:color="auto" w:fill="FFFFFF"/>
        </w:rPr>
        <w:t>）社会保障与就业支出</w:t>
      </w:r>
      <w:r>
        <w:rPr>
          <w:rFonts w:ascii="Times New Roman" w:hAnsi="Times New Roman" w:eastAsia="方正仿宋_GBK" w:cs="方正仿宋_GBK"/>
          <w:b w:val="0"/>
          <w:bCs w:val="0"/>
          <w:sz w:val="32"/>
          <w:szCs w:val="32"/>
        </w:rPr>
        <w:t>7.17</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9.99</w:t>
      </w:r>
      <w:r>
        <w:rPr>
          <w:rFonts w:ascii="Times New Roman" w:hAnsi="Times New Roman" w:eastAsia="方正仿宋_GBK" w:cs="方正仿宋_GBK"/>
          <w:b w:val="0"/>
          <w:bCs w:val="0"/>
          <w:sz w:val="32"/>
          <w:szCs w:val="32"/>
          <w:shd w:val="clear" w:color="auto" w:fill="FFFFFF"/>
        </w:rPr>
        <w:t>%，较年初预算数无增减</w:t>
      </w:r>
      <w:r>
        <w:rPr>
          <w:rFonts w:hint="eastAsia" w:ascii="Times New Roman" w:hAnsi="Times New Roman" w:eastAsia="方正仿宋_GBK" w:cs="方正仿宋_GBK"/>
          <w:b w:val="0"/>
          <w:bCs w:val="0"/>
          <w:sz w:val="32"/>
          <w:szCs w:val="32"/>
          <w:shd w:val="clear" w:color="auto" w:fill="FFFFFF"/>
          <w:lang w:eastAsia="zh-CN"/>
        </w:rPr>
        <w:t>。</w:t>
      </w:r>
    </w:p>
    <w:p w14:paraId="5A697F19">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shd w:val="clear" w:color="auto" w:fill="FFFFFF"/>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2</w:t>
      </w:r>
      <w:r>
        <w:rPr>
          <w:rFonts w:ascii="Times New Roman" w:hAnsi="Times New Roman" w:eastAsia="方正仿宋_GBK" w:cs="方正仿宋_GBK"/>
          <w:b w:val="0"/>
          <w:bCs w:val="0"/>
          <w:sz w:val="32"/>
          <w:szCs w:val="32"/>
          <w:shd w:val="clear" w:color="auto" w:fill="FFFFFF"/>
        </w:rPr>
        <w:t>）卫生健康支出</w:t>
      </w:r>
      <w:r>
        <w:rPr>
          <w:rFonts w:ascii="Times New Roman" w:hAnsi="Times New Roman" w:eastAsia="方正仿宋_GBK" w:cs="方正仿宋_GBK"/>
          <w:b w:val="0"/>
          <w:bCs w:val="0"/>
          <w:sz w:val="32"/>
          <w:szCs w:val="32"/>
        </w:rPr>
        <w:t>3.63</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5.06</w:t>
      </w:r>
      <w:r>
        <w:rPr>
          <w:rFonts w:ascii="Times New Roman" w:hAnsi="Times New Roman" w:eastAsia="方正仿宋_GBK" w:cs="方正仿宋_GBK"/>
          <w:b w:val="0"/>
          <w:bCs w:val="0"/>
          <w:sz w:val="32"/>
          <w:szCs w:val="32"/>
          <w:shd w:val="clear" w:color="auto" w:fill="FFFFFF"/>
        </w:rPr>
        <w:t>%，较年初预算数减少0.60万元，下降14.18%，主要原因是</w:t>
      </w:r>
      <w:r>
        <w:rPr>
          <w:rFonts w:hint="eastAsia" w:ascii="Times New Roman" w:hAnsi="Times New Roman" w:eastAsia="方正仿宋_GBK" w:cs="方正仿宋_GBK"/>
          <w:b w:val="0"/>
          <w:bCs w:val="0"/>
          <w:sz w:val="32"/>
          <w:szCs w:val="32"/>
          <w:shd w:val="clear" w:color="auto" w:fill="FFFFFF"/>
          <w:lang w:eastAsia="zh-CN"/>
        </w:rPr>
        <w:t>年中调减预算。</w:t>
      </w:r>
    </w:p>
    <w:p w14:paraId="16CD03E3">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color w:val="FF0000"/>
          <w:sz w:val="32"/>
          <w:szCs w:val="32"/>
          <w:shd w:val="clear" w:color="auto" w:fill="FFFFFF"/>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3</w:t>
      </w:r>
      <w:r>
        <w:rPr>
          <w:rFonts w:ascii="Times New Roman" w:hAnsi="Times New Roman" w:eastAsia="方正仿宋_GBK" w:cs="方正仿宋_GBK"/>
          <w:b w:val="0"/>
          <w:bCs w:val="0"/>
          <w:sz w:val="32"/>
          <w:szCs w:val="32"/>
          <w:shd w:val="clear" w:color="auto" w:fill="FFFFFF"/>
        </w:rPr>
        <w:t>）农林水支出</w:t>
      </w:r>
      <w:r>
        <w:rPr>
          <w:rFonts w:ascii="Times New Roman" w:hAnsi="Times New Roman" w:eastAsia="方正仿宋_GBK" w:cs="方正仿宋_GBK"/>
          <w:b w:val="0"/>
          <w:bCs w:val="0"/>
          <w:sz w:val="32"/>
          <w:szCs w:val="32"/>
        </w:rPr>
        <w:t>56.86</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79.23</w:t>
      </w:r>
      <w:r>
        <w:rPr>
          <w:rFonts w:ascii="Times New Roman" w:hAnsi="Times New Roman" w:eastAsia="方正仿宋_GBK" w:cs="方正仿宋_GBK"/>
          <w:b w:val="0"/>
          <w:bCs w:val="0"/>
          <w:sz w:val="32"/>
          <w:szCs w:val="32"/>
          <w:shd w:val="clear" w:color="auto" w:fill="FFFFFF"/>
        </w:rPr>
        <w:t>%，较年初预算数减少8.99万元，下降13.65%，主要原因是</w:t>
      </w:r>
      <w:r>
        <w:rPr>
          <w:rFonts w:hint="eastAsia" w:ascii="Times New Roman" w:hAnsi="Times New Roman" w:eastAsia="方正仿宋_GBK" w:cs="方正仿宋_GBK"/>
          <w:b w:val="0"/>
          <w:bCs w:val="0"/>
          <w:sz w:val="32"/>
          <w:szCs w:val="32"/>
          <w:shd w:val="clear" w:color="auto" w:fill="FFFFFF"/>
          <w:lang w:eastAsia="zh-CN"/>
        </w:rPr>
        <w:t>年中指标追减。</w:t>
      </w:r>
    </w:p>
    <w:p w14:paraId="5A907007">
      <w:pPr>
        <w:keepNext w:val="0"/>
        <w:keepLines w:val="0"/>
        <w:pageBreakBefore w:val="0"/>
        <w:widowControl/>
        <w:kinsoku/>
        <w:overflowPunct/>
        <w:topLinePunct w:val="0"/>
        <w:autoSpaceDN/>
        <w:bidi w:val="0"/>
        <w:adjustRightInd/>
        <w:spacing w:beforeAutospacing="0" w:afterAutospacing="0" w:line="600" w:lineRule="exact"/>
        <w:ind w:left="0" w:leftChars="0" w:firstLine="640" w:firstLineChars="200"/>
        <w:rPr>
          <w:rFonts w:hint="eastAsia" w:ascii="Times New Roman" w:hAnsi="Times New Roman" w:eastAsia="方正仿宋_GBK" w:cs="方正仿宋_GBK"/>
          <w:b w:val="0"/>
          <w:bCs w:val="0"/>
          <w:color w:val="FF0000"/>
          <w:sz w:val="32"/>
          <w:szCs w:val="32"/>
          <w:shd w:val="clear" w:color="auto" w:fill="FFFFFF"/>
          <w:lang w:eastAsia="zh-CN"/>
        </w:rPr>
      </w:pPr>
      <w:r>
        <w:rPr>
          <w:rFonts w:ascii="Times New Roman" w:hAnsi="Times New Roman" w:eastAsia="方正仿宋_GBK" w:cs="方正仿宋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lang w:val="en-US" w:eastAsia="zh-CN"/>
        </w:rPr>
        <w:t>4</w:t>
      </w:r>
      <w:r>
        <w:rPr>
          <w:rFonts w:ascii="Times New Roman" w:hAnsi="Times New Roman" w:eastAsia="方正仿宋_GBK" w:cs="方正仿宋_GBK"/>
          <w:b w:val="0"/>
          <w:bCs w:val="0"/>
          <w:sz w:val="32"/>
          <w:szCs w:val="32"/>
          <w:shd w:val="clear" w:color="auto" w:fill="FFFFFF"/>
        </w:rPr>
        <w:t>）</w:t>
      </w:r>
      <w:r>
        <w:rPr>
          <w:rFonts w:ascii="Times New Roman" w:hAnsi="Times New Roman" w:eastAsia="方正仿宋_GBK" w:cs="方正仿宋_GBK"/>
          <w:b w:val="0"/>
          <w:bCs w:val="0"/>
          <w:sz w:val="32"/>
          <w:szCs w:val="32"/>
        </w:rPr>
        <w:t>住房保障支出4.11</w:t>
      </w:r>
      <w:r>
        <w:rPr>
          <w:rFonts w:ascii="Times New Roman" w:hAnsi="Times New Roman" w:eastAsia="方正仿宋_GBK" w:cs="方正仿宋_GBK"/>
          <w:b w:val="0"/>
          <w:bCs w:val="0"/>
          <w:sz w:val="32"/>
          <w:szCs w:val="32"/>
          <w:shd w:val="clear" w:color="auto" w:fill="FFFFFF"/>
        </w:rPr>
        <w:t>万元，占</w:t>
      </w:r>
      <w:r>
        <w:rPr>
          <w:rFonts w:ascii="Times New Roman" w:hAnsi="Times New Roman" w:eastAsia="方正仿宋_GBK" w:cs="方正仿宋_GBK"/>
          <w:b w:val="0"/>
          <w:bCs w:val="0"/>
          <w:sz w:val="32"/>
          <w:szCs w:val="32"/>
        </w:rPr>
        <w:t>5.72</w:t>
      </w:r>
      <w:r>
        <w:rPr>
          <w:rFonts w:ascii="Times New Roman" w:hAnsi="Times New Roman" w:eastAsia="方正仿宋_GBK" w:cs="方正仿宋_GBK"/>
          <w:b w:val="0"/>
          <w:bCs w:val="0"/>
          <w:sz w:val="32"/>
          <w:szCs w:val="32"/>
          <w:shd w:val="clear" w:color="auto" w:fill="FFFFFF"/>
        </w:rPr>
        <w:t>%，较年初预算数增加0.52万元，增长14.48%，主要原因是</w:t>
      </w:r>
      <w:r>
        <w:rPr>
          <w:rFonts w:hint="eastAsia" w:ascii="Times New Roman" w:hAnsi="Times New Roman" w:eastAsia="方正仿宋_GBK" w:cs="方正仿宋_GBK"/>
          <w:b w:val="0"/>
          <w:bCs w:val="0"/>
          <w:sz w:val="32"/>
          <w:szCs w:val="32"/>
          <w:shd w:val="clear" w:color="auto" w:fill="FFFFFF"/>
          <w:lang w:eastAsia="zh-CN"/>
        </w:rPr>
        <w:t>年中追加职工公积金。</w:t>
      </w:r>
    </w:p>
    <w:p w14:paraId="372350A2">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420"/>
        <w:rPr>
          <w:rStyle w:val="9"/>
          <w:rFonts w:hint="eastAsia" w:ascii="方正楷体_GBK" w:hAnsi="方正楷体_GBK" w:eastAsia="方正楷体_GBK" w:cs="方正楷体_GBK"/>
          <w:b w:val="0"/>
          <w:bCs w:val="0"/>
          <w:sz w:val="32"/>
          <w:szCs w:val="32"/>
          <w:shd w:val="clear" w:color="auto" w:fill="FFFFFF"/>
        </w:rPr>
      </w:pPr>
      <w:r>
        <w:rPr>
          <w:rStyle w:val="9"/>
          <w:rFonts w:hint="eastAsia" w:ascii="方正楷体_GBK" w:hAnsi="方正楷体_GBK" w:eastAsia="方正楷体_GBK" w:cs="方正楷体_GBK"/>
          <w:b w:val="0"/>
          <w:bCs w:val="0"/>
          <w:sz w:val="32"/>
          <w:szCs w:val="32"/>
          <w:shd w:val="clear" w:color="auto" w:fill="FFFFFF"/>
        </w:rPr>
        <w:t>（四）一般公共预算财政拨款基本支出决算情况说明</w:t>
      </w:r>
    </w:p>
    <w:p w14:paraId="4A7CD4B6">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firstLine="640" w:firstLineChars="200"/>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2023年度一般公共财政拨款基本支出</w:t>
      </w:r>
      <w:r>
        <w:rPr>
          <w:rFonts w:ascii="Times New Roman" w:hAnsi="Times New Roman" w:eastAsia="方正仿宋_GBK" w:cs="方正仿宋_GBK"/>
          <w:b w:val="0"/>
          <w:bCs w:val="0"/>
          <w:sz w:val="32"/>
          <w:szCs w:val="32"/>
        </w:rPr>
        <w:t>71.77</w:t>
      </w:r>
      <w:r>
        <w:rPr>
          <w:rFonts w:ascii="Times New Roman" w:hAnsi="Times New Roman" w:eastAsia="方正仿宋_GBK" w:cs="方正仿宋_GBK"/>
          <w:b w:val="0"/>
          <w:bCs w:val="0"/>
          <w:sz w:val="32"/>
          <w:szCs w:val="32"/>
          <w:shd w:val="clear" w:color="auto" w:fill="FFFFFF"/>
        </w:rPr>
        <w:t>万元。其中：人员经费</w:t>
      </w:r>
      <w:r>
        <w:rPr>
          <w:rFonts w:ascii="Times New Roman" w:hAnsi="Times New Roman" w:eastAsia="方正仿宋_GBK" w:cs="方正仿宋_GBK"/>
          <w:b w:val="0"/>
          <w:bCs w:val="0"/>
          <w:sz w:val="32"/>
          <w:szCs w:val="32"/>
        </w:rPr>
        <w:t>66.73</w:t>
      </w:r>
      <w:r>
        <w:rPr>
          <w:rFonts w:ascii="Times New Roman" w:hAnsi="Times New Roman" w:eastAsia="方正仿宋_GBK" w:cs="方正仿宋_GBK"/>
          <w:b w:val="0"/>
          <w:bCs w:val="0"/>
          <w:sz w:val="32"/>
          <w:szCs w:val="32"/>
          <w:shd w:val="clear" w:color="auto" w:fill="FFFFFF"/>
        </w:rPr>
        <w:t>万元，较上年决算数减少3.92万元，下降5.55%，主要原因是</w:t>
      </w:r>
      <w:r>
        <w:rPr>
          <w:rFonts w:hint="eastAsia" w:ascii="Times New Roman" w:hAnsi="Times New Roman" w:eastAsia="方正仿宋_GBK" w:cs="方正仿宋_GBK"/>
          <w:b w:val="0"/>
          <w:bCs w:val="0"/>
          <w:sz w:val="32"/>
          <w:szCs w:val="32"/>
          <w:shd w:val="clear" w:color="auto" w:fill="FFFFFF"/>
          <w:lang w:eastAsia="zh-CN"/>
        </w:rPr>
        <w:t>年中指标追减。</w:t>
      </w:r>
      <w:r>
        <w:rPr>
          <w:rFonts w:ascii="Times New Roman" w:hAnsi="Times New Roman" w:eastAsia="方正仿宋_GBK" w:cs="方正仿宋_GBK"/>
          <w:b w:val="0"/>
          <w:bCs w:val="0"/>
          <w:sz w:val="32"/>
          <w:szCs w:val="32"/>
          <w:shd w:val="clear" w:color="auto" w:fill="FFFFFF"/>
        </w:rPr>
        <w:t>人员经费用途主要包括职工工资、社保费、公积金等。公用经费</w:t>
      </w:r>
      <w:r>
        <w:rPr>
          <w:rFonts w:ascii="Times New Roman" w:hAnsi="Times New Roman" w:eastAsia="方正仿宋_GBK" w:cs="方正仿宋_GBK"/>
          <w:b w:val="0"/>
          <w:bCs w:val="0"/>
          <w:sz w:val="32"/>
          <w:szCs w:val="32"/>
        </w:rPr>
        <w:t>5.04</w:t>
      </w:r>
      <w:r>
        <w:rPr>
          <w:rFonts w:ascii="Times New Roman" w:hAnsi="Times New Roman" w:eastAsia="方正仿宋_GBK" w:cs="方正仿宋_GBK"/>
          <w:b w:val="0"/>
          <w:bCs w:val="0"/>
          <w:sz w:val="32"/>
          <w:szCs w:val="32"/>
          <w:shd w:val="clear" w:color="auto" w:fill="FFFFFF"/>
        </w:rPr>
        <w:t>万元，较上年决算数增加5.04万元，增长100.00%，主要原因是</w:t>
      </w:r>
      <w:r>
        <w:rPr>
          <w:rFonts w:hint="eastAsia" w:ascii="Times New Roman" w:hAnsi="Times New Roman" w:eastAsia="方正仿宋_GBK" w:cs="方正仿宋_GBK"/>
          <w:b w:val="0"/>
          <w:bCs w:val="0"/>
          <w:sz w:val="32"/>
          <w:szCs w:val="32"/>
          <w:shd w:val="clear" w:color="auto" w:fill="FFFFFF"/>
          <w:lang w:val="en-US" w:eastAsia="zh-CN"/>
        </w:rPr>
        <w:t>2022</w:t>
      </w:r>
      <w:r>
        <w:rPr>
          <w:rFonts w:hint="eastAsia" w:ascii="Times New Roman" w:hAnsi="Times New Roman" w:eastAsia="方正仿宋_GBK" w:cs="方正仿宋_GBK"/>
          <w:b w:val="0"/>
          <w:bCs w:val="0"/>
          <w:sz w:val="32"/>
          <w:szCs w:val="32"/>
          <w:shd w:val="clear" w:color="auto" w:fill="FFFFFF"/>
        </w:rPr>
        <w:t>年度日常公用经费未单列</w:t>
      </w:r>
      <w:r>
        <w:rPr>
          <w:rFonts w:hint="eastAsia" w:ascii="Times New Roman" w:hAnsi="Times New Roman" w:eastAsia="方正仿宋_GBK" w:cs="方正仿宋_GBK"/>
          <w:b w:val="0"/>
          <w:bCs w:val="0"/>
          <w:sz w:val="32"/>
          <w:szCs w:val="32"/>
          <w:shd w:val="clear" w:color="auto" w:fill="FFFFFF"/>
          <w:lang w:eastAsia="zh-CN"/>
        </w:rPr>
        <w:t>。</w:t>
      </w:r>
      <w:r>
        <w:rPr>
          <w:rFonts w:ascii="Times New Roman" w:hAnsi="Times New Roman" w:eastAsia="方正仿宋_GBK" w:cs="方正仿宋_GBK"/>
          <w:b w:val="0"/>
          <w:bCs w:val="0"/>
          <w:sz w:val="32"/>
          <w:szCs w:val="32"/>
          <w:shd w:val="clear" w:color="auto" w:fill="FFFFFF"/>
        </w:rPr>
        <w:t>公用经费用途主要包括</w:t>
      </w:r>
      <w:r>
        <w:rPr>
          <w:rFonts w:hint="eastAsia" w:ascii="Times New Roman" w:hAnsi="Times New Roman" w:eastAsia="方正仿宋_GBK" w:cs="方正仿宋_GBK"/>
          <w:b w:val="0"/>
          <w:bCs w:val="0"/>
          <w:sz w:val="32"/>
          <w:szCs w:val="32"/>
          <w:shd w:val="clear" w:color="auto" w:fill="FFFFFF"/>
        </w:rPr>
        <w:t>办公费、差旅费、维修费、公务接待费、工会经费、福利费、其他交通费等。</w:t>
      </w:r>
    </w:p>
    <w:p w14:paraId="0EBEEC88">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（五）政府性基金预算收支决算情况说明</w:t>
      </w:r>
    </w:p>
    <w:p w14:paraId="0BE9C188">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highlight w:val="none"/>
          <w:shd w:val="clear" w:color="auto" w:fill="FFFFFF"/>
        </w:rPr>
      </w:pPr>
      <w:r>
        <w:rPr>
          <w:rFonts w:hint="eastAsia" w:ascii="Times New Roman" w:hAnsi="Times New Roman" w:eastAsia="方正仿宋_GBK" w:cs="方正仿宋_GBK"/>
          <w:b w:val="0"/>
          <w:bCs w:val="0"/>
          <w:sz w:val="32"/>
          <w:szCs w:val="32"/>
          <w:highlight w:val="none"/>
          <w:shd w:val="clear" w:color="auto" w:fill="FFFFFF"/>
        </w:rPr>
        <w:t>本</w:t>
      </w:r>
      <w:r>
        <w:rPr>
          <w:rFonts w:hint="eastAsia" w:ascii="Times New Roman" w:hAnsi="Times New Roman" w:eastAsia="方正仿宋_GBK" w:cs="方正仿宋_GBK"/>
          <w:b w:val="0"/>
          <w:bCs w:val="0"/>
          <w:sz w:val="32"/>
          <w:szCs w:val="32"/>
          <w:highlight w:val="none"/>
          <w:shd w:val="clear" w:color="auto" w:fill="FFFFFF"/>
          <w:lang w:eastAsia="zh-CN"/>
        </w:rPr>
        <w:t>单位</w:t>
      </w:r>
      <w:r>
        <w:rPr>
          <w:rFonts w:hint="eastAsia" w:ascii="Times New Roman" w:hAnsi="Times New Roman" w:eastAsia="方正仿宋_GBK" w:cs="方正仿宋_GBK"/>
          <w:b w:val="0"/>
          <w:bCs w:val="0"/>
          <w:sz w:val="32"/>
          <w:szCs w:val="32"/>
          <w:highlight w:val="none"/>
          <w:shd w:val="clear" w:color="auto" w:fill="FFFFFF"/>
        </w:rPr>
        <w:t>2023年度无政府性基金预算财政拨款收支。</w:t>
      </w:r>
    </w:p>
    <w:p w14:paraId="440AFC60">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（六）国有资本经营预算财政拨款支出决算情况说明</w:t>
      </w:r>
    </w:p>
    <w:p w14:paraId="2E4B5E53">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highlight w:val="none"/>
          <w:shd w:val="clear" w:color="auto" w:fill="FFFFFF"/>
          <w:lang w:eastAsia="zh-CN"/>
        </w:rPr>
        <w:t>本单位2023年度无国有资本经营预算财政拨款支出。</w:t>
      </w:r>
    </w:p>
    <w:p w14:paraId="1C767542">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rPr>
          <w:rStyle w:val="9"/>
          <w:rFonts w:hint="eastAsia" w:ascii="Times New Roman" w:hAnsi="Times New Roman" w:eastAsia="黑体" w:cs="黑体"/>
          <w:b w:val="0"/>
          <w:bCs w:val="0"/>
          <w:sz w:val="32"/>
          <w:szCs w:val="32"/>
          <w:shd w:val="clear" w:color="auto" w:fill="FFFFFF"/>
        </w:rPr>
      </w:pPr>
      <w:r>
        <w:rPr>
          <w:rStyle w:val="9"/>
          <w:rFonts w:hint="eastAsia" w:ascii="Times New Roman" w:hAnsi="Times New Roman" w:eastAsia="黑体" w:cs="黑体"/>
          <w:b w:val="0"/>
          <w:bCs w:val="0"/>
          <w:sz w:val="32"/>
          <w:szCs w:val="32"/>
          <w:shd w:val="clear" w:color="auto" w:fill="FFFFFF"/>
        </w:rPr>
        <w:t>三、“三公”经费情况说明</w:t>
      </w:r>
    </w:p>
    <w:p w14:paraId="29CBE9F2">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（一）“三公”经费支出总体情况说明</w:t>
      </w:r>
    </w:p>
    <w:p w14:paraId="27AE9ED5">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Times New Roman" w:hAnsi="Times New Roman" w:eastAsia="方正仿宋_GBK" w:cs="方正仿宋_GBK"/>
          <w:b w:val="0"/>
          <w:bCs w:val="0"/>
          <w:sz w:val="32"/>
          <w:szCs w:val="32"/>
          <w:shd w:val="clear" w:color="auto" w:fill="FFFFFF"/>
          <w:lang w:eastAsia="zh-CN"/>
        </w:rPr>
      </w:pPr>
      <w:r>
        <w:rPr>
          <w:rFonts w:hint="eastAsia" w:ascii="Times New Roman" w:hAnsi="Times New Roman" w:eastAsia="方正仿宋_GBK" w:cs="方正仿宋_GBK"/>
          <w:b w:val="0"/>
          <w:bCs w:val="0"/>
          <w:sz w:val="32"/>
          <w:szCs w:val="32"/>
          <w:shd w:val="clear" w:color="auto" w:fill="FFFFFF"/>
        </w:rPr>
        <w:t>2023年度“三公”经费支出共计</w:t>
      </w:r>
      <w:r>
        <w:rPr>
          <w:rFonts w:hint="eastAsia" w:ascii="Times New Roman" w:hAnsi="Times New Roman" w:eastAsia="方正仿宋_GBK" w:cs="方正仿宋_GBK"/>
          <w:b w:val="0"/>
          <w:bCs w:val="0"/>
          <w:sz w:val="32"/>
          <w:szCs w:val="32"/>
        </w:rPr>
        <w:t>0</w:t>
      </w:r>
      <w:r>
        <w:rPr>
          <w:rFonts w:hint="eastAsia" w:ascii="Times New Roman" w:hAnsi="Times New Roman" w:eastAsia="方正仿宋_GBK" w:cs="方正仿宋_GBK"/>
          <w:b w:val="0"/>
          <w:bCs w:val="0"/>
          <w:sz w:val="32"/>
          <w:szCs w:val="32"/>
          <w:highlight w:val="none"/>
          <w:shd w:val="clear" w:color="auto" w:fill="FFFFFF"/>
        </w:rPr>
        <w:t>万元，</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shd w:val="clear" w:color="auto" w:fill="FFFFFF"/>
        </w:rPr>
        <w:t>三公”经费</w:t>
      </w:r>
      <w:r>
        <w:rPr>
          <w:rFonts w:hint="eastAsia" w:ascii="Times New Roman" w:hAnsi="Times New Roman" w:eastAsia="方正仿宋_GBK" w:cs="方正仿宋_GBK"/>
          <w:b w:val="0"/>
          <w:bCs w:val="0"/>
          <w:sz w:val="32"/>
          <w:szCs w:val="32"/>
          <w:shd w:val="clear" w:color="auto" w:fill="FFFFFF"/>
          <w:lang w:eastAsia="zh-CN"/>
        </w:rPr>
        <w:t>支出。</w:t>
      </w:r>
    </w:p>
    <w:p w14:paraId="3077799C">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（二）“三公”经费分项支出情况</w:t>
      </w:r>
    </w:p>
    <w:p w14:paraId="0FE47A1A">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highlight w:val="none"/>
          <w:lang w:eastAsia="zh-CN"/>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highlight w:val="none"/>
          <w:shd w:val="clear" w:color="auto" w:fill="FFFFFF"/>
        </w:rPr>
        <w:t>因公出国（境）费用</w:t>
      </w:r>
      <w:r>
        <w:rPr>
          <w:rFonts w:hint="eastAsia" w:ascii="Times New Roman" w:hAnsi="Times New Roman" w:eastAsia="方正仿宋_GBK" w:cs="方正仿宋_GBK"/>
          <w:b w:val="0"/>
          <w:bCs w:val="0"/>
          <w:sz w:val="32"/>
          <w:szCs w:val="32"/>
          <w:highlight w:val="none"/>
          <w:lang w:eastAsia="zh-CN"/>
        </w:rPr>
        <w:t>。</w:t>
      </w:r>
    </w:p>
    <w:p w14:paraId="571E4489">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highlight w:val="none"/>
          <w:lang w:eastAsia="zh-CN"/>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highlight w:val="none"/>
          <w:shd w:val="clear" w:color="auto" w:fill="FFFFFF"/>
        </w:rPr>
        <w:t>公务车购置费</w:t>
      </w:r>
      <w:r>
        <w:rPr>
          <w:rFonts w:hint="eastAsia" w:ascii="Times New Roman" w:hAnsi="Times New Roman" w:eastAsia="方正仿宋_GBK" w:cs="方正仿宋_GBK"/>
          <w:b w:val="0"/>
          <w:bCs w:val="0"/>
          <w:sz w:val="32"/>
          <w:szCs w:val="32"/>
          <w:highlight w:val="none"/>
          <w:lang w:eastAsia="zh-CN"/>
        </w:rPr>
        <w:t>。</w:t>
      </w:r>
    </w:p>
    <w:p w14:paraId="531349BB">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highlight w:val="none"/>
          <w:lang w:eastAsia="zh-CN"/>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highlight w:val="none"/>
          <w:shd w:val="clear" w:color="auto" w:fill="FFFFFF"/>
        </w:rPr>
        <w:t>公务车运行维护费</w:t>
      </w:r>
      <w:r>
        <w:rPr>
          <w:rFonts w:hint="eastAsia" w:ascii="Times New Roman" w:hAnsi="Times New Roman" w:eastAsia="方正仿宋_GBK" w:cs="方正仿宋_GBK"/>
          <w:b w:val="0"/>
          <w:bCs w:val="0"/>
          <w:sz w:val="32"/>
          <w:szCs w:val="32"/>
          <w:highlight w:val="none"/>
          <w:lang w:eastAsia="zh-CN"/>
        </w:rPr>
        <w:t>。</w:t>
      </w:r>
    </w:p>
    <w:p w14:paraId="4C6C9DBC">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lang w:eastAsia="zh-CN"/>
        </w:rPr>
      </w:pPr>
      <w:r>
        <w:rPr>
          <w:rFonts w:hint="eastAsia" w:ascii="Times New Roman" w:hAnsi="Times New Roman" w:eastAsia="方正仿宋_GBK" w:cs="方正仿宋_GBK"/>
          <w:b w:val="0"/>
          <w:bCs w:val="0"/>
          <w:sz w:val="32"/>
          <w:szCs w:val="32"/>
          <w:highlight w:val="none"/>
          <w:shd w:val="clear" w:color="auto" w:fill="FFFFFF"/>
        </w:rPr>
        <w:t>2023年度本部门</w:t>
      </w:r>
      <w:r>
        <w:rPr>
          <w:rFonts w:hint="eastAsia" w:ascii="Times New Roman" w:hAnsi="Times New Roman" w:eastAsia="方正仿宋_GBK" w:cs="方正仿宋_GBK"/>
          <w:b w:val="0"/>
          <w:bCs w:val="0"/>
          <w:sz w:val="32"/>
          <w:szCs w:val="32"/>
          <w:highlight w:val="none"/>
          <w:shd w:val="clear" w:color="auto" w:fill="FFFFFF"/>
          <w:lang w:eastAsia="zh-CN"/>
        </w:rPr>
        <w:t>无</w:t>
      </w:r>
      <w:r>
        <w:rPr>
          <w:rFonts w:hint="eastAsia" w:ascii="Times New Roman" w:hAnsi="Times New Roman" w:eastAsia="方正仿宋_GBK" w:cs="方正仿宋_GBK"/>
          <w:b w:val="0"/>
          <w:bCs w:val="0"/>
          <w:sz w:val="32"/>
          <w:szCs w:val="32"/>
          <w:shd w:val="clear" w:color="auto" w:fill="FFFFFF"/>
        </w:rPr>
        <w:t>公务接待费</w:t>
      </w:r>
      <w:r>
        <w:rPr>
          <w:rFonts w:hint="eastAsia" w:ascii="Times New Roman" w:hAnsi="Times New Roman" w:eastAsia="方正仿宋_GBK" w:cs="方正仿宋_GBK"/>
          <w:b w:val="0"/>
          <w:bCs w:val="0"/>
          <w:sz w:val="32"/>
          <w:szCs w:val="32"/>
          <w:lang w:eastAsia="zh-CN"/>
        </w:rPr>
        <w:t>。</w:t>
      </w:r>
    </w:p>
    <w:p w14:paraId="1D83822A">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（三）“三公”经费实物量情况</w:t>
      </w:r>
    </w:p>
    <w:p w14:paraId="2316D81F">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2023年度本部门因公出国（境）共计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个团组，</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人；公务用车购置</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辆，公务车保有量为</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辆；国内公务接待</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人，其中：国内外事接待</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人；国（境）外公务接待</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批次，</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人。2023年本部门人均接待费</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元，车均购置费</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万元，车均维护费</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万元。</w:t>
      </w:r>
    </w:p>
    <w:p w14:paraId="1A965CC4">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rPr>
          <w:rStyle w:val="9"/>
          <w:rFonts w:hint="default" w:ascii="Times New Roman" w:hAnsi="Times New Roman" w:eastAsia="方正仿宋_GBK" w:cs="方正仿宋_GBK"/>
          <w:b w:val="0"/>
          <w:bCs w:val="0"/>
          <w:sz w:val="32"/>
          <w:szCs w:val="32"/>
          <w:shd w:val="clear" w:color="auto" w:fill="FFFFFF"/>
        </w:rPr>
      </w:pPr>
      <w:r>
        <w:rPr>
          <w:rStyle w:val="9"/>
          <w:rFonts w:hint="eastAsia" w:ascii="Times New Roman" w:hAnsi="Times New Roman" w:eastAsia="黑体" w:cs="黑体"/>
          <w:b w:val="0"/>
          <w:bCs w:val="0"/>
          <w:sz w:val="32"/>
          <w:szCs w:val="32"/>
          <w:shd w:val="clear" w:color="auto" w:fill="FFFFFF"/>
        </w:rPr>
        <w:t>四、其他需要说明的事项</w:t>
      </w:r>
    </w:p>
    <w:p w14:paraId="4D2F2168">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（一）财政拨款会议费和培训费情况说明</w:t>
      </w:r>
    </w:p>
    <w:p w14:paraId="2294FB62">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highlight w:val="none"/>
          <w:shd w:val="clear" w:color="auto" w:fill="FFFFFF"/>
        </w:rPr>
        <w:t>本年度会议费支出</w:t>
      </w:r>
      <w:r>
        <w:rPr>
          <w:rFonts w:hint="eastAsia" w:ascii="Times New Roman" w:hAnsi="Times New Roman" w:eastAsia="方正仿宋_GBK" w:cs="方正仿宋_GBK"/>
          <w:b w:val="0"/>
          <w:bCs w:val="0"/>
          <w:sz w:val="32"/>
          <w:szCs w:val="32"/>
          <w:highlight w:val="none"/>
        </w:rPr>
        <w:t>0</w:t>
      </w:r>
      <w:r>
        <w:rPr>
          <w:rFonts w:hint="eastAsia" w:ascii="Times New Roman" w:hAnsi="Times New Roman" w:eastAsia="方正仿宋_GBK" w:cs="方正仿宋_GBK"/>
          <w:b w:val="0"/>
          <w:bCs w:val="0"/>
          <w:sz w:val="32"/>
          <w:szCs w:val="32"/>
          <w:highlight w:val="none"/>
          <w:shd w:val="clear" w:color="auto" w:fill="FFFFFF"/>
        </w:rPr>
        <w:t>万元，较上年决算数无增减，本年度培训费支出</w:t>
      </w:r>
      <w:r>
        <w:rPr>
          <w:rFonts w:hint="eastAsia" w:ascii="Times New Roman" w:hAnsi="Times New Roman" w:eastAsia="方正仿宋_GBK" w:cs="方正仿宋_GBK"/>
          <w:b w:val="0"/>
          <w:bCs w:val="0"/>
          <w:sz w:val="32"/>
          <w:szCs w:val="32"/>
          <w:highlight w:val="none"/>
        </w:rPr>
        <w:t>0</w:t>
      </w:r>
      <w:r>
        <w:rPr>
          <w:rFonts w:hint="eastAsia" w:ascii="Times New Roman" w:hAnsi="Times New Roman" w:eastAsia="方正仿宋_GBK" w:cs="方正仿宋_GBK"/>
          <w:b w:val="0"/>
          <w:bCs w:val="0"/>
          <w:sz w:val="32"/>
          <w:szCs w:val="32"/>
          <w:highlight w:val="none"/>
          <w:shd w:val="clear" w:color="auto" w:fill="FFFFFF"/>
        </w:rPr>
        <w:t>万元，较上年决算数无变化</w:t>
      </w:r>
      <w:r>
        <w:rPr>
          <w:rFonts w:hint="eastAsia" w:ascii="Times New Roman" w:hAnsi="Times New Roman" w:eastAsia="方正仿宋_GBK" w:cs="方正仿宋_GBK"/>
          <w:b w:val="0"/>
          <w:bCs w:val="0"/>
          <w:sz w:val="32"/>
          <w:szCs w:val="32"/>
          <w:highlight w:val="none"/>
          <w:shd w:val="clear" w:color="auto" w:fill="FFFFFF"/>
          <w:lang w:eastAsia="zh-CN"/>
        </w:rPr>
        <w:t>。</w:t>
      </w:r>
      <w:r>
        <w:rPr>
          <w:rFonts w:hint="eastAsia" w:ascii="Times New Roman" w:hAnsi="Times New Roman" w:eastAsia="方正仿宋_GBK" w:cs="方正仿宋_GBK"/>
          <w:b w:val="0"/>
          <w:bCs w:val="0"/>
          <w:sz w:val="32"/>
          <w:szCs w:val="32"/>
          <w:highlight w:val="none"/>
          <w:lang w:eastAsia="zh-CN"/>
        </w:rPr>
        <w:t>（</w:t>
      </w:r>
      <w:r>
        <w:rPr>
          <w:rFonts w:hint="eastAsia" w:ascii="Times New Roman" w:hAnsi="Times New Roman" w:eastAsia="方正仿宋_GBK" w:cs="方正仿宋_GBK"/>
          <w:b w:val="0"/>
          <w:bCs w:val="0"/>
          <w:sz w:val="32"/>
          <w:szCs w:val="32"/>
          <w:highlight w:val="none"/>
          <w:shd w:val="clear" w:color="auto" w:fill="FFFFFF"/>
          <w:lang w:val="en-US" w:eastAsia="zh-CN"/>
        </w:rPr>
        <w:t>田家镇产业发展服务中心所</w:t>
      </w:r>
      <w:r>
        <w:rPr>
          <w:rFonts w:hint="eastAsia" w:ascii="Times New Roman" w:hAnsi="Times New Roman" w:eastAsia="方正仿宋_GBK" w:cs="方正仿宋_GBK"/>
          <w:b w:val="0"/>
          <w:bCs w:val="0"/>
          <w:sz w:val="32"/>
          <w:szCs w:val="32"/>
          <w:highlight w:val="none"/>
          <w:lang w:val="en-US" w:eastAsia="zh-CN"/>
        </w:rPr>
        <w:t>为田家镇人民政府下属事业单位</w:t>
      </w:r>
      <w:r>
        <w:rPr>
          <w:rFonts w:hint="eastAsia" w:ascii="Times New Roman" w:hAnsi="Times New Roman" w:eastAsia="方正仿宋_GBK" w:cs="方正仿宋_GBK"/>
          <w:b w:val="0"/>
          <w:bCs w:val="0"/>
          <w:sz w:val="32"/>
          <w:szCs w:val="32"/>
          <w:highlight w:val="none"/>
          <w:shd w:val="clear" w:color="auto" w:fill="FFFFFF"/>
        </w:rPr>
        <w:t>，</w:t>
      </w:r>
      <w:r>
        <w:rPr>
          <w:rFonts w:hint="eastAsia" w:ascii="Times New Roman" w:hAnsi="Times New Roman" w:eastAsia="方正仿宋_GBK" w:cs="方正仿宋_GBK"/>
          <w:b w:val="0"/>
          <w:bCs w:val="0"/>
          <w:sz w:val="32"/>
          <w:szCs w:val="32"/>
          <w:highlight w:val="none"/>
          <w:lang w:val="en-US" w:eastAsia="zh-CN"/>
        </w:rPr>
        <w:t>本单位2023年度未单独产生会议费和培训费。</w:t>
      </w:r>
      <w:r>
        <w:rPr>
          <w:rFonts w:hint="eastAsia" w:ascii="Times New Roman" w:hAnsi="Times New Roman" w:eastAsia="方正仿宋_GBK" w:cs="方正仿宋_GBK"/>
          <w:b w:val="0"/>
          <w:bCs w:val="0"/>
          <w:sz w:val="32"/>
          <w:szCs w:val="32"/>
          <w:highlight w:val="none"/>
          <w:lang w:eastAsia="zh-CN"/>
        </w:rPr>
        <w:t>）</w:t>
      </w:r>
    </w:p>
    <w:p w14:paraId="23525662">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（二）机关运行经费情况说明</w:t>
      </w:r>
    </w:p>
    <w:p w14:paraId="6695DF3B">
      <w:pPr>
        <w:pStyle w:val="13"/>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default" w:ascii="Times New Roman" w:hAnsi="Times New Roman" w:eastAsia="方正仿宋_GBK" w:cs="方正仿宋_GBK"/>
          <w:b w:val="0"/>
          <w:bCs w:val="0"/>
          <w:color w:val="FF0000"/>
          <w:sz w:val="32"/>
          <w:szCs w:val="32"/>
        </w:rPr>
      </w:pPr>
      <w:r>
        <w:rPr>
          <w:rFonts w:hint="eastAsia" w:ascii="Times New Roman" w:hAnsi="Times New Roman" w:eastAsia="方正仿宋_GBK" w:cs="方正仿宋_GBK"/>
          <w:b w:val="0"/>
          <w:bCs w:val="0"/>
          <w:kern w:val="0"/>
          <w:sz w:val="32"/>
          <w:szCs w:val="32"/>
          <w:highlight w:val="none"/>
          <w:shd w:val="clear" w:color="auto" w:fill="FFFFFF"/>
          <w:lang w:val="en-US" w:eastAsia="zh-CN" w:bidi="ar"/>
        </w:rPr>
        <w:t>按照单位决算列报口径，我单位不在机关运行经费统计范围之内。</w:t>
      </w:r>
    </w:p>
    <w:p w14:paraId="18E729D3">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（三）国有资产占用情况说明</w:t>
      </w:r>
    </w:p>
    <w:p w14:paraId="6CB33CD1">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default" w:ascii="Times New Roman" w:hAnsi="Times New Roman" w:eastAsia="方正仿宋_GBK" w:cs="方正仿宋_GBK"/>
          <w:b w:val="0"/>
          <w:bCs w:val="0"/>
          <w:sz w:val="32"/>
          <w:szCs w:val="32"/>
        </w:rPr>
      </w:pPr>
      <w:r>
        <w:rPr>
          <w:rFonts w:ascii="Times New Roman" w:hAnsi="Times New Roman" w:eastAsia="方正仿宋_GBK" w:cs="方正仿宋_GBK"/>
          <w:b w:val="0"/>
          <w:bCs w:val="0"/>
          <w:sz w:val="32"/>
          <w:szCs w:val="32"/>
          <w:shd w:val="clear" w:color="auto" w:fill="FFFFFF"/>
        </w:rPr>
        <w:t>截至2023年12月31日，本部门共有车辆</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辆，其中，副部（省）级及以上领导用车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辆、主要负责人用车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辆、机要通信用车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辆、应急保障用车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辆、执法执勤用车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辆，特种专业技术用车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辆，离退休干部用车</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辆。单价100万元（含）以上专用设备</w:t>
      </w:r>
      <w:r>
        <w:rPr>
          <w:rFonts w:ascii="Times New Roman" w:hAnsi="Times New Roman" w:eastAsia="方正仿宋_GBK" w:cs="方正仿宋_GBK"/>
          <w:b w:val="0"/>
          <w:bCs w:val="0"/>
          <w:sz w:val="32"/>
          <w:szCs w:val="32"/>
        </w:rPr>
        <w:t>0</w:t>
      </w:r>
      <w:r>
        <w:rPr>
          <w:rFonts w:ascii="Times New Roman" w:hAnsi="Times New Roman" w:eastAsia="方正仿宋_GBK" w:cs="方正仿宋_GBK"/>
          <w:b w:val="0"/>
          <w:bCs w:val="0"/>
          <w:sz w:val="32"/>
          <w:szCs w:val="32"/>
          <w:shd w:val="clear" w:color="auto" w:fill="FFFFFF"/>
        </w:rPr>
        <w:t>台（套）。</w:t>
      </w:r>
    </w:p>
    <w:p w14:paraId="4D22E4F9">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（四）政府采购支出情况说明</w:t>
      </w:r>
    </w:p>
    <w:p w14:paraId="641C62C5">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ascii="Times New Roman" w:hAnsi="Times New Roman" w:eastAsia="方正仿宋_GBK" w:cs="方正仿宋_GBK"/>
          <w:b w:val="0"/>
          <w:bCs w:val="0"/>
          <w:color w:val="FF0000"/>
          <w:sz w:val="32"/>
          <w:szCs w:val="32"/>
          <w:shd w:val="clear" w:color="auto" w:fill="FFFFFF"/>
        </w:rPr>
      </w:pPr>
      <w:r>
        <w:rPr>
          <w:rFonts w:hint="default" w:ascii="Times New Roman" w:hAnsi="Times New Roman" w:eastAsia="方正仿宋_GBK" w:cs="方正仿宋_GBK"/>
          <w:b w:val="0"/>
          <w:bCs w:val="0"/>
          <w:sz w:val="32"/>
          <w:szCs w:val="32"/>
          <w:highlight w:val="none"/>
          <w:shd w:val="clear" w:color="auto" w:fill="FFFFFF"/>
        </w:rPr>
        <w:t>202</w:t>
      </w:r>
      <w:r>
        <w:rPr>
          <w:rFonts w:hint="eastAsia" w:ascii="Times New Roman" w:hAnsi="Times New Roman" w:eastAsia="方正仿宋_GBK" w:cs="方正仿宋_GBK"/>
          <w:b w:val="0"/>
          <w:bCs w:val="0"/>
          <w:sz w:val="32"/>
          <w:szCs w:val="32"/>
          <w:highlight w:val="none"/>
          <w:shd w:val="clear" w:color="auto" w:fill="FFFFFF"/>
          <w:lang w:val="en-US" w:eastAsia="zh-CN"/>
        </w:rPr>
        <w:t>3</w:t>
      </w:r>
      <w:r>
        <w:rPr>
          <w:rFonts w:hint="eastAsia" w:ascii="Times New Roman" w:hAnsi="Times New Roman" w:eastAsia="方正仿宋_GBK" w:cs="方正仿宋_GBK"/>
          <w:b w:val="0"/>
          <w:bCs w:val="0"/>
          <w:sz w:val="32"/>
          <w:szCs w:val="32"/>
          <w:highlight w:val="none"/>
          <w:shd w:val="clear" w:color="auto" w:fill="FFFFFF"/>
        </w:rPr>
        <w:t>年度我单位未发生政府采购事项</w:t>
      </w:r>
      <w:r>
        <w:rPr>
          <w:rFonts w:hint="eastAsia" w:ascii="Times New Roman" w:hAnsi="Times New Roman" w:eastAsia="方正仿宋_GBK" w:cs="方正仿宋_GBK"/>
          <w:b w:val="0"/>
          <w:bCs w:val="0"/>
          <w:sz w:val="32"/>
          <w:szCs w:val="32"/>
          <w:highlight w:val="none"/>
          <w:shd w:val="clear" w:color="auto" w:fill="FFFFFF"/>
          <w:lang w:eastAsia="zh-CN"/>
        </w:rPr>
        <w:t>，</w:t>
      </w:r>
      <w:r>
        <w:rPr>
          <w:rFonts w:hint="eastAsia" w:ascii="Times New Roman" w:hAnsi="Times New Roman" w:eastAsia="方正仿宋_GBK" w:cs="方正仿宋_GBK"/>
          <w:b w:val="0"/>
          <w:bCs w:val="0"/>
          <w:sz w:val="32"/>
          <w:szCs w:val="32"/>
          <w:highlight w:val="none"/>
          <w:shd w:val="clear" w:color="auto" w:fill="FFFFFF"/>
        </w:rPr>
        <w:t>无相关经费支出。</w:t>
      </w:r>
    </w:p>
    <w:p w14:paraId="14E78DDD">
      <w:pPr>
        <w:pStyle w:val="5"/>
        <w:keepNext w:val="0"/>
        <w:keepLines w:val="0"/>
        <w:pageBreakBefore w:val="0"/>
        <w:widowControl/>
        <w:numPr>
          <w:ilvl w:val="0"/>
          <w:numId w:val="1"/>
        </w:numPr>
        <w:shd w:val="clear" w:color="auto" w:fill="FFFFFF"/>
        <w:kinsoku/>
        <w:overflowPunct/>
        <w:topLinePunct w:val="0"/>
        <w:autoSpaceDN/>
        <w:bidi w:val="0"/>
        <w:adjustRightInd/>
        <w:spacing w:beforeAutospacing="0" w:after="0" w:afterAutospacing="0" w:line="600" w:lineRule="exact"/>
        <w:ind w:left="0" w:leftChars="0"/>
        <w:rPr>
          <w:rStyle w:val="9"/>
          <w:rFonts w:hint="eastAsia" w:ascii="Times New Roman" w:hAnsi="Times New Roman" w:eastAsia="黑体" w:cs="黑体"/>
          <w:b w:val="0"/>
          <w:bCs w:val="0"/>
          <w:sz w:val="32"/>
          <w:szCs w:val="32"/>
          <w:shd w:val="clear" w:color="auto" w:fill="FFFFFF"/>
        </w:rPr>
      </w:pPr>
      <w:r>
        <w:rPr>
          <w:rStyle w:val="9"/>
          <w:rFonts w:hint="eastAsia" w:ascii="Times New Roman" w:hAnsi="Times New Roman" w:eastAsia="黑体" w:cs="黑体"/>
          <w:b w:val="0"/>
          <w:bCs w:val="0"/>
          <w:sz w:val="32"/>
          <w:szCs w:val="32"/>
          <w:shd w:val="clear" w:color="auto" w:fill="FFFFFF"/>
        </w:rPr>
        <w:t>预算绩效管理情况说明</w:t>
      </w:r>
    </w:p>
    <w:p w14:paraId="45AA8942">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bidi="ar"/>
        </w:rPr>
        <w:t>（一）预算绩效管理工作开展情况</w:t>
      </w:r>
    </w:p>
    <w:p w14:paraId="0E093527">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highlight w:val="none"/>
          <w:shd w:val="clear" w:color="auto" w:fill="FFFFFF"/>
          <w:lang w:eastAsia="zh-CN"/>
        </w:rPr>
      </w:pPr>
      <w:r>
        <w:rPr>
          <w:rFonts w:hint="eastAsia" w:ascii="Times New Roman" w:hAnsi="Times New Roman" w:eastAsia="方正仿宋_GBK" w:cs="方正仿宋_GBK"/>
          <w:b w:val="0"/>
          <w:bCs w:val="0"/>
          <w:sz w:val="32"/>
          <w:szCs w:val="32"/>
          <w:highlight w:val="none"/>
          <w:shd w:val="clear" w:color="auto" w:fill="FFFFFF"/>
        </w:rPr>
        <w:t>根据预算绩效管理要求，对</w:t>
      </w:r>
      <w:r>
        <w:rPr>
          <w:rFonts w:hint="eastAsia" w:ascii="Times New Roman" w:hAnsi="Times New Roman" w:eastAsia="方正仿宋_GBK" w:cs="方正仿宋_GBK"/>
          <w:b w:val="0"/>
          <w:bCs w:val="0"/>
          <w:sz w:val="32"/>
          <w:szCs w:val="32"/>
          <w:highlight w:val="none"/>
          <w:shd w:val="clear" w:color="auto" w:fill="FFFFFF"/>
          <w:lang w:eastAsia="zh-CN"/>
        </w:rPr>
        <w:t>田家镇人民政府</w:t>
      </w:r>
      <w:r>
        <w:rPr>
          <w:rFonts w:hint="eastAsia" w:ascii="Times New Roman" w:hAnsi="Times New Roman" w:eastAsia="方正仿宋_GBK" w:cs="方正仿宋_GBK"/>
          <w:b w:val="0"/>
          <w:bCs w:val="0"/>
          <w:sz w:val="32"/>
          <w:szCs w:val="32"/>
          <w:highlight w:val="none"/>
          <w:shd w:val="clear" w:color="auto" w:fill="FFFFFF"/>
        </w:rPr>
        <w:t>整体开展了绩效自评，但</w:t>
      </w:r>
      <w:r>
        <w:rPr>
          <w:rFonts w:hint="eastAsia" w:ascii="Times New Roman" w:hAnsi="Times New Roman" w:eastAsia="方正仿宋_GBK" w:cs="方正仿宋_GBK"/>
          <w:b w:val="0"/>
          <w:bCs w:val="0"/>
          <w:sz w:val="32"/>
          <w:szCs w:val="32"/>
          <w:highlight w:val="none"/>
          <w:shd w:val="clear" w:color="auto" w:fill="FFFFFF"/>
          <w:lang w:val="en-US" w:eastAsia="zh-CN"/>
        </w:rPr>
        <w:t>田家镇产业发展服务中心</w:t>
      </w:r>
      <w:r>
        <w:rPr>
          <w:rFonts w:hint="eastAsia" w:ascii="Times New Roman" w:hAnsi="Times New Roman" w:eastAsia="方正仿宋_GBK" w:cs="方正仿宋_GBK"/>
          <w:b w:val="0"/>
          <w:bCs w:val="0"/>
          <w:sz w:val="32"/>
          <w:szCs w:val="32"/>
          <w:highlight w:val="none"/>
          <w:shd w:val="clear" w:color="auto" w:fill="FFFFFF"/>
        </w:rPr>
        <w:t>为二级预算单位，未单独开展绩效自评工作。</w:t>
      </w:r>
      <w:r>
        <w:rPr>
          <w:rFonts w:hint="eastAsia" w:ascii="Times New Roman" w:hAnsi="Times New Roman" w:eastAsia="方正仿宋_GBK" w:cs="方正仿宋_GBK"/>
          <w:b w:val="0"/>
          <w:bCs w:val="0"/>
          <w:sz w:val="32"/>
          <w:szCs w:val="32"/>
          <w:highlight w:val="none"/>
          <w:shd w:val="clear" w:color="auto" w:fill="FFFFFF"/>
          <w:lang w:val="en-US" w:eastAsia="zh-CN"/>
        </w:rPr>
        <w:t>田家镇村产业发展服务中心</w:t>
      </w:r>
      <w:r>
        <w:rPr>
          <w:rFonts w:hint="default" w:ascii="Times New Roman" w:hAnsi="Times New Roman" w:eastAsia="方正仿宋_GBK" w:cs="方正仿宋_GBK"/>
          <w:b w:val="0"/>
          <w:bCs w:val="0"/>
          <w:sz w:val="32"/>
          <w:szCs w:val="32"/>
          <w:highlight w:val="none"/>
          <w:shd w:val="clear" w:color="auto" w:fill="FFFFFF"/>
        </w:rPr>
        <w:t>202</w:t>
      </w:r>
      <w:r>
        <w:rPr>
          <w:rFonts w:hint="eastAsia" w:ascii="Times New Roman" w:hAnsi="Times New Roman" w:eastAsia="方正仿宋_GBK" w:cs="方正仿宋_GBK"/>
          <w:b w:val="0"/>
          <w:bCs w:val="0"/>
          <w:sz w:val="32"/>
          <w:szCs w:val="32"/>
          <w:highlight w:val="none"/>
          <w:shd w:val="clear" w:color="auto" w:fill="FFFFFF"/>
          <w:lang w:val="en-US" w:eastAsia="zh-CN"/>
        </w:rPr>
        <w:t>3</w:t>
      </w:r>
      <w:r>
        <w:rPr>
          <w:rFonts w:hint="default" w:ascii="Times New Roman" w:hAnsi="Times New Roman" w:eastAsia="方正仿宋_GBK" w:cs="方正仿宋_GBK"/>
          <w:b w:val="0"/>
          <w:bCs w:val="0"/>
          <w:sz w:val="32"/>
          <w:szCs w:val="32"/>
          <w:highlight w:val="none"/>
          <w:shd w:val="clear" w:color="auto" w:fill="FFFFFF"/>
        </w:rPr>
        <w:t>年度</w:t>
      </w:r>
      <w:r>
        <w:rPr>
          <w:rFonts w:hint="eastAsia" w:ascii="Times New Roman" w:hAnsi="Times New Roman" w:eastAsia="方正仿宋_GBK" w:cs="方正仿宋_GBK"/>
          <w:b w:val="0"/>
          <w:bCs w:val="0"/>
          <w:sz w:val="32"/>
          <w:szCs w:val="32"/>
          <w:highlight w:val="none"/>
          <w:shd w:val="clear" w:color="auto" w:fill="FFFFFF"/>
          <w:lang w:eastAsia="zh-CN"/>
        </w:rPr>
        <w:t>无项目支出，所以无项目绩效自评。</w:t>
      </w:r>
    </w:p>
    <w:p w14:paraId="2C878273">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eastAsia"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eastAsia="zh-CN" w:bidi="ar"/>
        </w:rPr>
        <w:t>（</w:t>
      </w:r>
      <w:r>
        <w:rPr>
          <w:rFonts w:hint="eastAsia" w:ascii="方正楷体_GBK" w:hAnsi="方正楷体_GBK" w:eastAsia="方正楷体_GBK" w:cs="方正楷体_GBK"/>
          <w:b w:val="0"/>
          <w:bCs w:val="0"/>
          <w:sz w:val="32"/>
          <w:szCs w:val="32"/>
          <w:shd w:val="clear" w:color="auto" w:fill="FFFFFF"/>
          <w:lang w:val="en-US" w:eastAsia="zh-CN" w:bidi="ar"/>
        </w:rPr>
        <w:t>二）</w:t>
      </w:r>
      <w:r>
        <w:rPr>
          <w:rFonts w:hint="default" w:ascii="方正楷体_GBK" w:hAnsi="方正楷体_GBK" w:eastAsia="方正楷体_GBK" w:cs="方正楷体_GBK"/>
          <w:b w:val="0"/>
          <w:bCs w:val="0"/>
          <w:sz w:val="32"/>
          <w:szCs w:val="32"/>
          <w:shd w:val="clear" w:color="auto" w:fill="FFFFFF"/>
          <w:lang w:bidi="ar"/>
        </w:rPr>
        <w:t>绩效自评结果</w:t>
      </w:r>
    </w:p>
    <w:p w14:paraId="68725357">
      <w:pPr>
        <w:pStyle w:val="5"/>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绩效目标自评表：无</w:t>
      </w:r>
    </w:p>
    <w:p w14:paraId="4B7E97F1">
      <w:pPr>
        <w:pStyle w:val="5"/>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绩效自评报告或案例：无</w:t>
      </w:r>
    </w:p>
    <w:p w14:paraId="054317F7">
      <w:pPr>
        <w:pStyle w:val="5"/>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关于绩效自评结果的说明：无</w:t>
      </w:r>
    </w:p>
    <w:p w14:paraId="36A88A92">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640"/>
        <w:rPr>
          <w:rFonts w:hint="default" w:ascii="方正楷体_GBK" w:hAnsi="方正楷体_GBK" w:eastAsia="方正楷体_GBK" w:cs="方正楷体_GBK"/>
          <w:b w:val="0"/>
          <w:bCs w:val="0"/>
          <w:sz w:val="32"/>
          <w:szCs w:val="32"/>
          <w:shd w:val="clear" w:color="auto" w:fill="FFFFFF"/>
          <w:lang w:bidi="ar"/>
        </w:rPr>
      </w:pPr>
      <w:r>
        <w:rPr>
          <w:rFonts w:hint="eastAsia" w:ascii="方正楷体_GBK" w:hAnsi="方正楷体_GBK" w:eastAsia="方正楷体_GBK" w:cs="方正楷体_GBK"/>
          <w:b w:val="0"/>
          <w:bCs w:val="0"/>
          <w:sz w:val="32"/>
          <w:szCs w:val="32"/>
          <w:shd w:val="clear" w:color="auto" w:fill="FFFFFF"/>
          <w:lang w:eastAsia="zh-CN" w:bidi="ar"/>
        </w:rPr>
        <w:t>（</w:t>
      </w:r>
      <w:r>
        <w:rPr>
          <w:rFonts w:hint="eastAsia" w:ascii="方正楷体_GBK" w:hAnsi="方正楷体_GBK" w:eastAsia="方正楷体_GBK" w:cs="方正楷体_GBK"/>
          <w:b w:val="0"/>
          <w:bCs w:val="0"/>
          <w:sz w:val="32"/>
          <w:szCs w:val="32"/>
          <w:shd w:val="clear" w:color="auto" w:fill="FFFFFF"/>
          <w:lang w:val="en-US" w:eastAsia="zh-CN" w:bidi="ar"/>
        </w:rPr>
        <w:t>三）</w:t>
      </w:r>
      <w:r>
        <w:rPr>
          <w:rFonts w:hint="default" w:ascii="方正楷体_GBK" w:hAnsi="方正楷体_GBK" w:eastAsia="方正楷体_GBK" w:cs="方正楷体_GBK"/>
          <w:b w:val="0"/>
          <w:bCs w:val="0"/>
          <w:sz w:val="32"/>
          <w:szCs w:val="32"/>
          <w:shd w:val="clear" w:color="auto" w:fill="FFFFFF"/>
          <w:lang w:bidi="ar"/>
        </w:rPr>
        <w:t>重点绩效评价结果</w:t>
      </w:r>
    </w:p>
    <w:p w14:paraId="1BBE056C">
      <w:pPr>
        <w:pStyle w:val="5"/>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无</w:t>
      </w:r>
      <w:bookmarkStart w:id="0" w:name="_GoBack"/>
      <w:bookmarkEnd w:id="0"/>
    </w:p>
    <w:p w14:paraId="71BFACEF">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rPr>
          <w:rStyle w:val="9"/>
          <w:rFonts w:hint="eastAsia" w:ascii="Times New Roman" w:hAnsi="Times New Roman" w:eastAsia="方正仿宋_GBK" w:cs="方正仿宋_GBK"/>
          <w:b w:val="0"/>
          <w:bCs w:val="0"/>
          <w:sz w:val="32"/>
          <w:szCs w:val="32"/>
          <w:shd w:val="clear" w:color="auto" w:fill="FFFFFF"/>
          <w:lang w:val="en-US" w:eastAsia="zh-CN"/>
        </w:rPr>
      </w:pPr>
      <w:r>
        <w:rPr>
          <w:rStyle w:val="9"/>
          <w:rFonts w:hint="eastAsia" w:ascii="Times New Roman" w:hAnsi="Times New Roman" w:eastAsia="黑体" w:cs="黑体"/>
          <w:b w:val="0"/>
          <w:bCs w:val="0"/>
          <w:sz w:val="32"/>
          <w:szCs w:val="32"/>
          <w:shd w:val="clear" w:color="auto" w:fill="FFFFFF"/>
          <w:lang w:val="en-US" w:eastAsia="zh-CN"/>
        </w:rPr>
        <w:t>六、专业名词解释</w:t>
      </w:r>
    </w:p>
    <w:p w14:paraId="688A554F">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Fonts w:hint="eastAsia" w:ascii="Times New Roman" w:hAnsi="Times New Roman" w:eastAsia="方正仿宋_GBK" w:cs="方正仿宋_GBK"/>
          <w:b w:val="0"/>
          <w:bCs w:val="0"/>
          <w:sz w:val="32"/>
          <w:szCs w:val="32"/>
          <w:shd w:val="clear" w:color="auto" w:fill="FFFFFF"/>
        </w:rPr>
        <w:t>以下为常见专业名词解释目录，仅供参考，</w:t>
      </w:r>
    </w:p>
    <w:p w14:paraId="58C79BAE">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
        </w:rPr>
        <w:t>（一）财政拨款收入：</w:t>
      </w:r>
      <w:r>
        <w:rPr>
          <w:rFonts w:hint="eastAsia" w:ascii="Times New Roman" w:hAnsi="Times New Roman" w:eastAsia="方正仿宋_GBK" w:cs="方正仿宋_GBK"/>
          <w:b w:val="0"/>
          <w:bCs w:val="0"/>
          <w:sz w:val="32"/>
          <w:szCs w:val="32"/>
          <w:shd w:val="clear" w:color="auto" w:fill="FFFFFF"/>
        </w:rPr>
        <w:t>指本年度从本级财政部门取得的财政拨款，包括一般公共预算财政拨款和政府性基金预算财政拨款。</w:t>
      </w:r>
    </w:p>
    <w:p w14:paraId="7C22D489">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
        </w:rPr>
        <w:t>（二）事业收入：</w:t>
      </w:r>
      <w:r>
        <w:rPr>
          <w:rFonts w:hint="eastAsia" w:ascii="Times New Roman" w:hAnsi="Times New Roman" w:eastAsia="方正仿宋_GBK" w:cs="方正仿宋_GBK"/>
          <w:b w:val="0"/>
          <w:bCs w:val="0"/>
          <w:sz w:val="32"/>
          <w:szCs w:val="32"/>
          <w:shd w:val="clear" w:color="auto" w:fill="FFFFFF"/>
        </w:rPr>
        <w:t>指事业单位开展专业业务活动及其辅助活动取得的现金流入；事业单位收到的财政专户实际核拨的教育收费等资金在此反映。</w:t>
      </w:r>
    </w:p>
    <w:p w14:paraId="0671507A">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
        </w:rPr>
        <w:t>（三）经营收入：</w:t>
      </w:r>
      <w:r>
        <w:rPr>
          <w:rFonts w:hint="eastAsia" w:ascii="Times New Roman" w:hAnsi="Times New Roman" w:eastAsia="方正仿宋_GBK" w:cs="方正仿宋_GBK"/>
          <w:b w:val="0"/>
          <w:bCs w:val="0"/>
          <w:sz w:val="32"/>
          <w:szCs w:val="32"/>
          <w:shd w:val="clear" w:color="auto" w:fill="FFFFFF"/>
        </w:rPr>
        <w:t>指事业单位在专业业务活动及其辅助活动之外开展非独立核算经营活动取得的现金流入。</w:t>
      </w:r>
    </w:p>
    <w:p w14:paraId="440C7A5A">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
        </w:rPr>
        <w:t>（四）其他收入：</w:t>
      </w:r>
      <w:r>
        <w:rPr>
          <w:rFonts w:hint="eastAsia" w:ascii="Times New Roman" w:hAnsi="Times New Roman" w:eastAsia="方正仿宋_GBK" w:cs="方正仿宋_GBK"/>
          <w:b w:val="0"/>
          <w:bCs w:val="0"/>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C6F7FD5">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Fonts w:hint="eastAsia" w:ascii="方正楷体_GBK" w:hAnsi="方正楷体_GBK" w:eastAsia="方正楷体_GBK" w:cs="方正楷体_GBK"/>
          <w:b w:val="0"/>
          <w:bCs w:val="0"/>
          <w:sz w:val="32"/>
          <w:szCs w:val="32"/>
          <w:shd w:val="clear" w:color="auto" w:fill="FFFFFF"/>
          <w:lang w:val="en-US" w:eastAsia="zh-CN" w:bidi="ar"/>
        </w:rPr>
        <w:t>（五）使用非财政拨款结余：</w:t>
      </w:r>
      <w:r>
        <w:rPr>
          <w:rFonts w:hint="eastAsia" w:ascii="Times New Roman" w:hAnsi="Times New Roman" w:eastAsia="方正仿宋_GBK" w:cs="方正仿宋_GBK"/>
          <w:b w:val="0"/>
          <w:bCs w:val="0"/>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3873B151">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Style w:val="9"/>
          <w:rFonts w:hint="eastAsia" w:ascii="方正楷体_GBK" w:hAnsi="方正楷体_GBK" w:eastAsia="方正楷体_GBK" w:cs="方正楷体_GBK"/>
          <w:b w:val="0"/>
          <w:bCs w:val="0"/>
          <w:sz w:val="32"/>
          <w:szCs w:val="32"/>
          <w:shd w:val="clear" w:color="auto" w:fill="FFFFFF"/>
        </w:rPr>
        <w:t>（六）年初结转和结余</w:t>
      </w:r>
      <w:r>
        <w:rPr>
          <w:rFonts w:hint="eastAsia" w:ascii="方正楷体_GBK" w:hAnsi="方正楷体_GBK" w:eastAsia="方正楷体_GBK" w:cs="方正楷体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rPr>
        <w:t>指单位上年结转本年使用的基本支出结转、项目支出结转和结余、经营结余。</w:t>
      </w:r>
    </w:p>
    <w:p w14:paraId="31880059">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Style w:val="9"/>
          <w:rFonts w:hint="eastAsia" w:ascii="方正楷体_GBK" w:hAnsi="方正楷体_GBK" w:eastAsia="方正楷体_GBK" w:cs="方正楷体_GBK"/>
          <w:b w:val="0"/>
          <w:bCs w:val="0"/>
          <w:sz w:val="32"/>
          <w:szCs w:val="32"/>
          <w:shd w:val="clear" w:color="auto" w:fill="FFFFFF"/>
        </w:rPr>
        <w:t>（七）结余分配：</w:t>
      </w:r>
      <w:r>
        <w:rPr>
          <w:rFonts w:hint="eastAsia" w:ascii="Times New Roman" w:hAnsi="Times New Roman" w:eastAsia="方正仿宋_GBK" w:cs="方正仿宋_GBK"/>
          <w:b w:val="0"/>
          <w:bCs w:val="0"/>
          <w:sz w:val="32"/>
          <w:szCs w:val="32"/>
          <w:shd w:val="clear" w:color="auto" w:fill="FFFFFF"/>
        </w:rPr>
        <w:t>指单位按照国家有关规定，缴纳所得税、提取专用基金、转入非财政拨款结余等当年结余的分配情况。</w:t>
      </w:r>
    </w:p>
    <w:p w14:paraId="1EADA4D0">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Style w:val="9"/>
          <w:rFonts w:hint="eastAsia" w:ascii="方正楷体_GBK" w:hAnsi="方正楷体_GBK" w:eastAsia="方正楷体_GBK" w:cs="方正楷体_GBK"/>
          <w:b w:val="0"/>
          <w:bCs w:val="0"/>
          <w:sz w:val="32"/>
          <w:szCs w:val="32"/>
          <w:shd w:val="clear" w:color="auto" w:fill="FFFFFF"/>
        </w:rPr>
        <w:t>（八）年末结转和结余：</w:t>
      </w:r>
      <w:r>
        <w:rPr>
          <w:rFonts w:hint="eastAsia" w:ascii="Times New Roman" w:hAnsi="Times New Roman" w:eastAsia="方正仿宋_GBK" w:cs="方正仿宋_GBK"/>
          <w:b w:val="0"/>
          <w:bCs w:val="0"/>
          <w:sz w:val="32"/>
          <w:szCs w:val="32"/>
          <w:shd w:val="clear" w:color="auto" w:fill="FFFFFF"/>
        </w:rPr>
        <w:t>指单位结转下年的基本支出结转、项目支出结转和结余、经营结余。</w:t>
      </w:r>
    </w:p>
    <w:p w14:paraId="58FDA991">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Style w:val="9"/>
          <w:rFonts w:hint="eastAsia" w:ascii="方正楷体_GBK" w:hAnsi="方正楷体_GBK" w:eastAsia="方正楷体_GBK" w:cs="方正楷体_GBK"/>
          <w:b w:val="0"/>
          <w:bCs w:val="0"/>
          <w:sz w:val="32"/>
          <w:szCs w:val="32"/>
          <w:shd w:val="clear" w:color="auto" w:fill="FFFFFF"/>
        </w:rPr>
        <w:t>（九）基本支出：</w:t>
      </w:r>
      <w:r>
        <w:rPr>
          <w:rFonts w:hint="eastAsia" w:ascii="Times New Roman" w:hAnsi="Times New Roman" w:eastAsia="方正仿宋_GBK" w:cs="方正仿宋_GBK"/>
          <w:b w:val="0"/>
          <w:bCs w:val="0"/>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4F6C0DF">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Style w:val="9"/>
          <w:rFonts w:hint="eastAsia" w:ascii="方正楷体_GBK" w:hAnsi="方正楷体_GBK" w:eastAsia="方正楷体_GBK" w:cs="方正楷体_GBK"/>
          <w:b w:val="0"/>
          <w:bCs w:val="0"/>
          <w:sz w:val="32"/>
          <w:szCs w:val="32"/>
          <w:shd w:val="clear" w:color="auto" w:fill="FFFFFF"/>
        </w:rPr>
        <w:t>（十）项目支出：</w:t>
      </w:r>
      <w:r>
        <w:rPr>
          <w:rFonts w:hint="eastAsia" w:ascii="Times New Roman" w:hAnsi="Times New Roman" w:eastAsia="方正仿宋_GBK" w:cs="方正仿宋_GBK"/>
          <w:b w:val="0"/>
          <w:bCs w:val="0"/>
          <w:sz w:val="32"/>
          <w:szCs w:val="32"/>
          <w:shd w:val="clear" w:color="auto" w:fill="FFFFFF"/>
        </w:rPr>
        <w:t>指在基本支出之外为完成特定行政任务和事业发展目标所发生的支出。</w:t>
      </w:r>
    </w:p>
    <w:p w14:paraId="329EC725">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Style w:val="9"/>
          <w:rFonts w:hint="eastAsia" w:ascii="方正楷体_GBK" w:hAnsi="方正楷体_GBK" w:eastAsia="方正楷体_GBK" w:cs="方正楷体_GBK"/>
          <w:b w:val="0"/>
          <w:bCs w:val="0"/>
          <w:sz w:val="32"/>
          <w:szCs w:val="32"/>
          <w:shd w:val="clear" w:color="auto" w:fill="FFFFFF"/>
        </w:rPr>
        <w:t>（十一）经营支出：</w:t>
      </w:r>
      <w:r>
        <w:rPr>
          <w:rFonts w:hint="eastAsia" w:ascii="Times New Roman" w:hAnsi="Times New Roman" w:eastAsia="方正仿宋_GBK" w:cs="方正仿宋_GBK"/>
          <w:b w:val="0"/>
          <w:bCs w:val="0"/>
          <w:sz w:val="32"/>
          <w:szCs w:val="32"/>
          <w:shd w:val="clear" w:color="auto" w:fill="FFFFFF"/>
        </w:rPr>
        <w:t>指事业单位在专业业务活动及其辅助活动之外开展非独立核算经营活动发生的支出。</w:t>
      </w:r>
    </w:p>
    <w:p w14:paraId="2F14209E">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Style w:val="9"/>
          <w:rFonts w:hint="eastAsia" w:ascii="方正楷体_GBK" w:hAnsi="方正楷体_GBK" w:eastAsia="方正楷体_GBK" w:cs="方正楷体_GBK"/>
          <w:b w:val="0"/>
          <w:bCs w:val="0"/>
          <w:sz w:val="32"/>
          <w:szCs w:val="32"/>
          <w:shd w:val="clear" w:color="auto" w:fill="FFFFFF"/>
        </w:rPr>
        <w:t>（十二）“三公”经费：</w:t>
      </w:r>
      <w:r>
        <w:rPr>
          <w:rFonts w:hint="eastAsia" w:ascii="Times New Roman" w:hAnsi="Times New Roman" w:eastAsia="方正仿宋_GBK" w:cs="方正仿宋_GBK"/>
          <w:b w:val="0"/>
          <w:bCs w:val="0"/>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D1C5F9E">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Style w:val="9"/>
          <w:rFonts w:hint="eastAsia" w:ascii="方正楷体_GBK" w:hAnsi="方正楷体_GBK" w:eastAsia="方正楷体_GBK" w:cs="方正楷体_GBK"/>
          <w:b w:val="0"/>
          <w:bCs w:val="0"/>
          <w:sz w:val="32"/>
          <w:szCs w:val="32"/>
          <w:shd w:val="clear" w:color="auto" w:fill="FFFFFF"/>
        </w:rPr>
        <w:t>（十三）机关运行经费：</w:t>
      </w:r>
      <w:r>
        <w:rPr>
          <w:rFonts w:hint="eastAsia" w:ascii="Times New Roman" w:hAnsi="Times New Roman" w:eastAsia="方正仿宋_GBK" w:cs="方正仿宋_GBK"/>
          <w:b w:val="0"/>
          <w:bCs w:val="0"/>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A33B769">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Style w:val="9"/>
          <w:rFonts w:hint="eastAsia" w:ascii="方正楷体_GBK" w:hAnsi="方正楷体_GBK" w:eastAsia="方正楷体_GBK" w:cs="方正楷体_GBK"/>
          <w:b w:val="0"/>
          <w:bCs w:val="0"/>
          <w:sz w:val="32"/>
          <w:szCs w:val="32"/>
          <w:shd w:val="clear" w:color="auto" w:fill="FFFFFF"/>
        </w:rPr>
        <w:t>（十四）工资福利支出（支出经济分类科目类级）：</w:t>
      </w:r>
      <w:r>
        <w:rPr>
          <w:rFonts w:hint="eastAsia" w:ascii="Times New Roman" w:hAnsi="Times New Roman" w:eastAsia="方正仿宋_GBK" w:cs="方正仿宋_GBK"/>
          <w:b w:val="0"/>
          <w:bCs w:val="0"/>
          <w:sz w:val="32"/>
          <w:szCs w:val="32"/>
          <w:shd w:val="clear" w:color="auto" w:fill="FFFFFF"/>
        </w:rPr>
        <w:t>反映单位开支的在职职工和编制外长期聘用人员的各类劳动报酬，以及为上述人员缴纳的各项社会保险费等。</w:t>
      </w:r>
    </w:p>
    <w:p w14:paraId="5B39CE1D">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Style w:val="9"/>
          <w:rFonts w:hint="eastAsia" w:ascii="方正楷体_GBK" w:hAnsi="方正楷体_GBK" w:eastAsia="方正楷体_GBK" w:cs="方正楷体_GBK"/>
          <w:b w:val="0"/>
          <w:bCs w:val="0"/>
          <w:sz w:val="32"/>
          <w:szCs w:val="32"/>
          <w:shd w:val="clear" w:color="auto" w:fill="FFFFFF"/>
        </w:rPr>
        <w:t>（十五）商品和服务支出（支出经济分类科目类级）</w:t>
      </w:r>
      <w:r>
        <w:rPr>
          <w:rFonts w:hint="eastAsia" w:ascii="Times New Roman" w:hAnsi="Times New Roman" w:eastAsia="楷体" w:cs="楷体"/>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rPr>
        <w:t>反映单位购买商品和服务的支出（不包括用于购置固定资产的支出、战略性和应急储备支出）。</w:t>
      </w:r>
    </w:p>
    <w:p w14:paraId="348024C2">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Style w:val="9"/>
          <w:rFonts w:hint="eastAsia" w:ascii="方正楷体_GBK" w:hAnsi="方正楷体_GBK" w:eastAsia="方正楷体_GBK" w:cs="方正楷体_GBK"/>
          <w:b w:val="0"/>
          <w:bCs w:val="0"/>
          <w:sz w:val="32"/>
          <w:szCs w:val="32"/>
          <w:shd w:val="clear" w:color="auto" w:fill="FFFFFF"/>
        </w:rPr>
        <w:t>（十六）对个人和家庭的补助（支出经济分类科目类级）：</w:t>
      </w:r>
      <w:r>
        <w:rPr>
          <w:rFonts w:hint="eastAsia" w:ascii="Times New Roman" w:hAnsi="Times New Roman" w:eastAsia="方正仿宋_GBK" w:cs="方正仿宋_GBK"/>
          <w:b w:val="0"/>
          <w:bCs w:val="0"/>
          <w:sz w:val="32"/>
          <w:szCs w:val="32"/>
          <w:shd w:val="clear" w:color="auto" w:fill="FFFFFF"/>
        </w:rPr>
        <w:t>反映用于对个人和家庭的补助支出。</w:t>
      </w:r>
    </w:p>
    <w:p w14:paraId="3BA6C348">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rPr>
      </w:pPr>
      <w:r>
        <w:rPr>
          <w:rStyle w:val="9"/>
          <w:rFonts w:hint="eastAsia" w:ascii="方正楷体_GBK" w:hAnsi="方正楷体_GBK" w:eastAsia="方正楷体_GBK" w:cs="方正楷体_GBK"/>
          <w:b w:val="0"/>
          <w:bCs w:val="0"/>
          <w:sz w:val="32"/>
          <w:szCs w:val="32"/>
          <w:shd w:val="clear" w:color="auto" w:fill="FFFFFF"/>
        </w:rPr>
        <w:t>（十七）其他资本性支出（支出经济分类科目类级）</w:t>
      </w:r>
      <w:r>
        <w:rPr>
          <w:rFonts w:hint="eastAsia" w:ascii="方正楷体_GBK" w:hAnsi="方正楷体_GBK" w:eastAsia="方正楷体_GBK" w:cs="方正楷体_GBK"/>
          <w:b w:val="0"/>
          <w:bCs w:val="0"/>
          <w:sz w:val="32"/>
          <w:szCs w:val="32"/>
          <w:shd w:val="clear" w:color="auto" w:fill="FFFFFF"/>
        </w:rPr>
        <w:t>：</w:t>
      </w:r>
      <w:r>
        <w:rPr>
          <w:rFonts w:hint="eastAsia" w:ascii="Times New Roman" w:hAnsi="Times New Roman" w:eastAsia="方正仿宋_GBK" w:cs="方正仿宋_GBK"/>
          <w:b w:val="0"/>
          <w:bCs w:val="0"/>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293484F">
      <w:pPr>
        <w:pStyle w:val="5"/>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leftChars="0"/>
        <w:rPr>
          <w:rStyle w:val="9"/>
          <w:rFonts w:hint="eastAsia" w:ascii="Times New Roman" w:hAnsi="Times New Roman" w:eastAsia="方正仿宋_GBK" w:cs="方正仿宋_GBK"/>
          <w:b w:val="0"/>
          <w:bCs w:val="0"/>
          <w:sz w:val="32"/>
          <w:szCs w:val="32"/>
          <w:shd w:val="clear" w:color="auto" w:fill="FFFFFF"/>
          <w:lang w:val="en-US" w:eastAsia="zh-CN"/>
        </w:rPr>
      </w:pPr>
      <w:r>
        <w:rPr>
          <w:rStyle w:val="9"/>
          <w:rFonts w:hint="eastAsia" w:ascii="Times New Roman" w:hAnsi="Times New Roman" w:eastAsia="黑体" w:cs="黑体"/>
          <w:b w:val="0"/>
          <w:bCs w:val="0"/>
          <w:sz w:val="32"/>
          <w:szCs w:val="32"/>
          <w:shd w:val="clear" w:color="auto" w:fill="FFFFFF"/>
          <w:lang w:val="en-US" w:eastAsia="zh-CN"/>
        </w:rPr>
        <w:t>七、决算公开联系方式及信息反馈渠道</w:t>
      </w:r>
    </w:p>
    <w:p w14:paraId="08E97694">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default" w:ascii="Times New Roman" w:hAnsi="Times New Roman" w:eastAsia="方正仿宋_GBK" w:cs="方正仿宋_GBK"/>
          <w:b w:val="0"/>
          <w:bCs w:val="0"/>
          <w:sz w:val="32"/>
          <w:szCs w:val="32"/>
          <w:highlight w:val="none"/>
          <w:shd w:val="clear" w:color="auto" w:fill="FFFFFF"/>
        </w:rPr>
        <w:t>本单位决算公开信息反馈和联系方式：</w:t>
      </w:r>
      <w:r>
        <w:rPr>
          <w:rFonts w:hint="eastAsia" w:ascii="Times New Roman" w:hAnsi="Times New Roman" w:eastAsia="方正仿宋_GBK" w:cs="方正仿宋_GBK"/>
          <w:b w:val="0"/>
          <w:bCs w:val="0"/>
          <w:sz w:val="32"/>
          <w:szCs w:val="32"/>
          <w:highlight w:val="none"/>
          <w:shd w:val="clear" w:color="auto" w:fill="FFFFFF"/>
          <w:lang w:val="en-US" w:eastAsia="zh-CN"/>
        </w:rPr>
        <w:t>023-44316513</w:t>
      </w:r>
    </w:p>
    <w:p w14:paraId="205F1C3F">
      <w:pPr>
        <w:pStyle w:val="5"/>
        <w:keepNext w:val="0"/>
        <w:keepLines w:val="0"/>
        <w:pageBreakBefore w:val="0"/>
        <w:widowControl/>
        <w:kinsoku/>
        <w:overflowPunct/>
        <w:topLinePunct w:val="0"/>
        <w:autoSpaceDN/>
        <w:bidi w:val="0"/>
        <w:adjustRightInd/>
        <w:snapToGrid w:val="0"/>
        <w:spacing w:before="0" w:beforeAutospacing="0" w:after="0" w:afterAutospacing="0" w:line="600" w:lineRule="exact"/>
        <w:ind w:left="0" w:leftChars="0" w:firstLine="640" w:firstLineChars="200"/>
        <w:jc w:val="both"/>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附件：1.收入支出决算总表</w:t>
      </w:r>
    </w:p>
    <w:p w14:paraId="191D9B4E">
      <w:pPr>
        <w:pStyle w:val="5"/>
        <w:keepNext w:val="0"/>
        <w:keepLines w:val="0"/>
        <w:pageBreakBefore w:val="0"/>
        <w:widowControl/>
        <w:numPr>
          <w:numId w:val="0"/>
        </w:numPr>
        <w:kinsoku/>
        <w:overflowPunct/>
        <w:topLinePunct w:val="0"/>
        <w:autoSpaceDN/>
        <w:bidi w:val="0"/>
        <w:adjustRightInd/>
        <w:snapToGrid w:val="0"/>
        <w:spacing w:before="0" w:beforeAutospacing="0" w:after="0" w:afterAutospacing="0" w:line="600" w:lineRule="exact"/>
        <w:ind w:left="1600" w:leftChars="0"/>
        <w:jc w:val="both"/>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2.收入决算表</w:t>
      </w:r>
    </w:p>
    <w:p w14:paraId="2887AB1A">
      <w:pPr>
        <w:pStyle w:val="5"/>
        <w:keepNext w:val="0"/>
        <w:keepLines w:val="0"/>
        <w:pageBreakBefore w:val="0"/>
        <w:widowControl/>
        <w:numPr>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3.</w:t>
      </w:r>
      <w:r>
        <w:rPr>
          <w:rFonts w:hint="default" w:ascii="Times New Roman" w:hAnsi="Times New Roman" w:eastAsia="方正仿宋_GBK" w:cs="方正仿宋_GBK"/>
          <w:b w:val="0"/>
          <w:bCs w:val="0"/>
          <w:sz w:val="32"/>
          <w:szCs w:val="32"/>
          <w:highlight w:val="none"/>
          <w:shd w:val="clear" w:color="auto" w:fill="FFFFFF"/>
          <w:lang w:val="en-US" w:eastAsia="zh-CN"/>
        </w:rPr>
        <w:t>支出决算表</w:t>
      </w:r>
    </w:p>
    <w:p w14:paraId="3E71270B">
      <w:pPr>
        <w:pStyle w:val="5"/>
        <w:keepNext w:val="0"/>
        <w:keepLines w:val="0"/>
        <w:pageBreakBefore w:val="0"/>
        <w:widowControl/>
        <w:numPr>
          <w:numId w:val="0"/>
        </w:numPr>
        <w:kinsoku/>
        <w:overflowPunct/>
        <w:topLinePunct w:val="0"/>
        <w:autoSpaceDN/>
        <w:bidi w:val="0"/>
        <w:adjustRightInd/>
        <w:snapToGrid w:val="0"/>
        <w:spacing w:before="0" w:beforeAutospacing="0" w:after="0" w:afterAutospacing="0" w:line="600" w:lineRule="exact"/>
        <w:ind w:left="1600" w:leftChars="0"/>
        <w:jc w:val="both"/>
        <w:rPr>
          <w:rFonts w:hint="eastAsia"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4.财政拨款收入支出决算总表</w:t>
      </w:r>
    </w:p>
    <w:p w14:paraId="7FCCD9CF">
      <w:pPr>
        <w:pStyle w:val="5"/>
        <w:keepNext w:val="0"/>
        <w:keepLines w:val="0"/>
        <w:pageBreakBefore w:val="0"/>
        <w:widowControl/>
        <w:numPr>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5.</w:t>
      </w:r>
      <w:r>
        <w:rPr>
          <w:rFonts w:hint="default" w:ascii="Times New Roman" w:hAnsi="Times New Roman" w:eastAsia="方正仿宋_GBK" w:cs="方正仿宋_GBK"/>
          <w:b w:val="0"/>
          <w:bCs w:val="0"/>
          <w:sz w:val="32"/>
          <w:szCs w:val="32"/>
          <w:highlight w:val="none"/>
          <w:shd w:val="clear" w:color="auto" w:fill="FFFFFF"/>
          <w:lang w:val="en-US" w:eastAsia="zh-CN"/>
        </w:rPr>
        <w:t>一般公共预算财政拨款支出决算表</w:t>
      </w:r>
    </w:p>
    <w:p w14:paraId="66931566">
      <w:pPr>
        <w:pStyle w:val="5"/>
        <w:keepNext w:val="0"/>
        <w:keepLines w:val="0"/>
        <w:pageBreakBefore w:val="0"/>
        <w:widowControl/>
        <w:numPr>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6.</w:t>
      </w:r>
      <w:r>
        <w:rPr>
          <w:rFonts w:hint="default" w:ascii="Times New Roman" w:hAnsi="Times New Roman" w:eastAsia="方正仿宋_GBK" w:cs="方正仿宋_GBK"/>
          <w:b w:val="0"/>
          <w:bCs w:val="0"/>
          <w:sz w:val="32"/>
          <w:szCs w:val="32"/>
          <w:highlight w:val="none"/>
          <w:shd w:val="clear" w:color="auto" w:fill="FFFFFF"/>
          <w:lang w:val="en-US" w:eastAsia="zh-CN"/>
        </w:rPr>
        <w:t>一般公共预算财政拨款基本支出决算表</w:t>
      </w:r>
    </w:p>
    <w:p w14:paraId="0B379C25">
      <w:pPr>
        <w:pStyle w:val="5"/>
        <w:keepNext w:val="0"/>
        <w:keepLines w:val="0"/>
        <w:pageBreakBefore w:val="0"/>
        <w:widowControl/>
        <w:numPr>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7.</w:t>
      </w:r>
      <w:r>
        <w:rPr>
          <w:rFonts w:hint="default" w:ascii="Times New Roman" w:hAnsi="Times New Roman" w:eastAsia="方正仿宋_GBK" w:cs="方正仿宋_GBK"/>
          <w:b w:val="0"/>
          <w:bCs w:val="0"/>
          <w:sz w:val="32"/>
          <w:szCs w:val="32"/>
          <w:highlight w:val="none"/>
          <w:shd w:val="clear" w:color="auto" w:fill="FFFFFF"/>
          <w:lang w:val="en-US" w:eastAsia="zh-CN"/>
        </w:rPr>
        <w:t>政府性基金预算财政拨款收入支出决算表</w:t>
      </w:r>
    </w:p>
    <w:p w14:paraId="18C699C0">
      <w:pPr>
        <w:pStyle w:val="5"/>
        <w:keepNext w:val="0"/>
        <w:keepLines w:val="0"/>
        <w:pageBreakBefore w:val="0"/>
        <w:widowControl/>
        <w:numPr>
          <w:numId w:val="0"/>
        </w:numPr>
        <w:kinsoku/>
        <w:overflowPunct/>
        <w:topLinePunct w:val="0"/>
        <w:autoSpaceDN/>
        <w:bidi w:val="0"/>
        <w:adjustRightInd/>
        <w:snapToGrid w:val="0"/>
        <w:spacing w:before="0" w:beforeAutospacing="0" w:after="0" w:afterAutospacing="0" w:line="600" w:lineRule="exact"/>
        <w:ind w:left="1600" w:leftChars="0"/>
        <w:jc w:val="both"/>
        <w:rPr>
          <w:rFonts w:hint="default" w:ascii="Times New Roman" w:hAnsi="Times New Roman" w:eastAsia="方正仿宋_GBK" w:cs="方正仿宋_GBK"/>
          <w:b w:val="0"/>
          <w:bCs w:val="0"/>
          <w:sz w:val="32"/>
          <w:szCs w:val="32"/>
          <w:highlight w:val="none"/>
          <w:shd w:val="clear" w:color="auto" w:fill="FFFFFF"/>
          <w:lang w:val="en-US" w:eastAsia="zh-CN"/>
        </w:rPr>
      </w:pPr>
      <w:r>
        <w:rPr>
          <w:rFonts w:hint="eastAsia" w:ascii="Times New Roman" w:hAnsi="Times New Roman" w:eastAsia="方正仿宋_GBK" w:cs="方正仿宋_GBK"/>
          <w:b w:val="0"/>
          <w:bCs w:val="0"/>
          <w:sz w:val="32"/>
          <w:szCs w:val="32"/>
          <w:highlight w:val="none"/>
          <w:shd w:val="clear" w:color="auto" w:fill="FFFFFF"/>
          <w:lang w:val="en-US" w:eastAsia="zh-CN"/>
        </w:rPr>
        <w:t>8.</w:t>
      </w:r>
      <w:r>
        <w:rPr>
          <w:rFonts w:hint="default" w:ascii="Times New Roman" w:hAnsi="Times New Roman" w:eastAsia="方正仿宋_GBK" w:cs="方正仿宋_GBK"/>
          <w:b w:val="0"/>
          <w:bCs w:val="0"/>
          <w:sz w:val="32"/>
          <w:szCs w:val="32"/>
          <w:highlight w:val="none"/>
          <w:shd w:val="clear" w:color="auto" w:fill="FFFFFF"/>
          <w:lang w:val="en-US" w:eastAsia="zh-CN"/>
        </w:rPr>
        <w:t>国有资本经营预算财政拨款支出决算表</w:t>
      </w:r>
    </w:p>
    <w:p w14:paraId="5EE4496B">
      <w:pPr>
        <w:pStyle w:val="5"/>
        <w:keepNext w:val="0"/>
        <w:keepLines w:val="0"/>
        <w:pageBreakBefore w:val="0"/>
        <w:widowControl/>
        <w:numPr>
          <w:numId w:val="0"/>
        </w:numPr>
        <w:kinsoku/>
        <w:overflowPunct/>
        <w:topLinePunct w:val="0"/>
        <w:autoSpaceDN/>
        <w:bidi w:val="0"/>
        <w:adjustRightInd/>
        <w:snapToGrid w:val="0"/>
        <w:spacing w:before="0" w:beforeAutospacing="0" w:after="0" w:afterAutospacing="0" w:line="600" w:lineRule="exact"/>
        <w:ind w:left="1600" w:leftChars="0"/>
        <w:jc w:val="both"/>
        <w:rPr>
          <w:rStyle w:val="9"/>
          <w:rFonts w:ascii="Times New Roman" w:hAnsi="Times New Roman" w:eastAsia="方正仿宋_GBK" w:cs="方正仿宋_GBK"/>
          <w:b w:val="0"/>
          <w:bCs w:val="0"/>
          <w:sz w:val="32"/>
          <w:szCs w:val="32"/>
          <w:shd w:val="clear" w:color="auto" w:fill="FFFF00"/>
        </w:rPr>
      </w:pPr>
      <w:r>
        <w:rPr>
          <w:rFonts w:hint="eastAsia" w:ascii="Times New Roman" w:hAnsi="Times New Roman" w:eastAsia="方正仿宋_GBK" w:cs="方正仿宋_GBK"/>
          <w:b w:val="0"/>
          <w:bCs w:val="0"/>
          <w:sz w:val="32"/>
          <w:szCs w:val="32"/>
          <w:highlight w:val="none"/>
          <w:shd w:val="clear" w:color="auto" w:fill="FFFFFF"/>
          <w:lang w:val="en-US" w:eastAsia="zh-CN"/>
        </w:rPr>
        <w:t>9.</w:t>
      </w:r>
      <w:r>
        <w:rPr>
          <w:rFonts w:hint="default" w:ascii="Times New Roman" w:hAnsi="Times New Roman" w:eastAsia="方正仿宋_GBK" w:cs="方正仿宋_GBK"/>
          <w:b w:val="0"/>
          <w:bCs w:val="0"/>
          <w:sz w:val="32"/>
          <w:szCs w:val="32"/>
          <w:highlight w:val="none"/>
          <w:shd w:val="clear" w:color="auto" w:fill="FFFFFF"/>
          <w:lang w:val="en-US" w:eastAsia="zh-CN"/>
        </w:rPr>
        <w:t>机构运行信息表</w:t>
      </w:r>
    </w:p>
    <w:p w14:paraId="2E165972">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0" w:firstLineChars="0"/>
        <w:rPr>
          <w:rStyle w:val="9"/>
          <w:rFonts w:hint="eastAsia" w:ascii="Times New Roman" w:hAnsi="Times New Roman" w:eastAsia="方正仿宋_GBK" w:cs="方正仿宋_GBK"/>
          <w:b w:val="0"/>
          <w:bCs w:val="0"/>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15A8B40E">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附件1</w:t>
      </w:r>
    </w:p>
    <w:tbl>
      <w:tblPr>
        <w:tblStyle w:val="6"/>
        <w:tblW w:w="5000" w:type="pct"/>
        <w:tblInd w:w="0" w:type="dxa"/>
        <w:shd w:val="clear" w:color="auto" w:fill="auto"/>
        <w:tblLayout w:type="autofit"/>
        <w:tblCellMar>
          <w:top w:w="0" w:type="dxa"/>
          <w:left w:w="0" w:type="dxa"/>
          <w:bottom w:w="0" w:type="dxa"/>
          <w:right w:w="0" w:type="dxa"/>
        </w:tblCellMar>
      </w:tblPr>
      <w:tblGrid>
        <w:gridCol w:w="5310"/>
        <w:gridCol w:w="2750"/>
        <w:gridCol w:w="4939"/>
        <w:gridCol w:w="2378"/>
      </w:tblGrid>
      <w:tr w14:paraId="3008DD93">
        <w:tblPrEx>
          <w:shd w:val="clear" w:color="auto" w:fill="auto"/>
          <w:tblCellMar>
            <w:top w:w="0" w:type="dxa"/>
            <w:left w:w="0" w:type="dxa"/>
            <w:bottom w:w="0" w:type="dxa"/>
            <w:right w:w="0" w:type="dxa"/>
          </w:tblCellMar>
        </w:tblPrEx>
        <w:trPr>
          <w:trHeight w:val="565"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0BCC62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bottom"/>
              <w:rPr>
                <w:rFonts w:hint="eastAsia" w:ascii="Times New Roman" w:hAnsi="Times New Roman"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收入支出决算总表</w:t>
            </w:r>
          </w:p>
        </w:tc>
      </w:tr>
      <w:tr w14:paraId="5E193537">
        <w:tblPrEx>
          <w:shd w:val="clear" w:color="auto" w:fill="auto"/>
          <w:tblCellMar>
            <w:top w:w="0" w:type="dxa"/>
            <w:left w:w="0" w:type="dxa"/>
            <w:bottom w:w="0" w:type="dxa"/>
            <w:right w:w="0" w:type="dxa"/>
          </w:tblCellMar>
        </w:tblPrEx>
        <w:trPr>
          <w:trHeight w:val="289" w:hRule="atLeast"/>
        </w:trPr>
        <w:tc>
          <w:tcPr>
            <w:tcW w:w="1475" w:type="pct"/>
            <w:tcBorders>
              <w:top w:val="nil"/>
              <w:left w:val="nil"/>
              <w:bottom w:val="nil"/>
              <w:right w:val="nil"/>
            </w:tcBorders>
            <w:shd w:val="clear" w:color="auto" w:fill="auto"/>
            <w:noWrap/>
            <w:tcMar>
              <w:top w:w="15" w:type="dxa"/>
              <w:left w:w="15" w:type="dxa"/>
              <w:right w:w="15" w:type="dxa"/>
            </w:tcMar>
            <w:vAlign w:val="bottom"/>
          </w:tcPr>
          <w:p w14:paraId="72EAAA43">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977" w:type="pct"/>
            <w:tcBorders>
              <w:top w:val="nil"/>
              <w:left w:val="nil"/>
              <w:bottom w:val="nil"/>
              <w:right w:val="nil"/>
            </w:tcBorders>
            <w:shd w:val="clear" w:color="auto" w:fill="auto"/>
            <w:noWrap/>
            <w:tcMar>
              <w:top w:w="15" w:type="dxa"/>
              <w:left w:w="15" w:type="dxa"/>
              <w:right w:w="15" w:type="dxa"/>
            </w:tcMar>
            <w:vAlign w:val="bottom"/>
          </w:tcPr>
          <w:p w14:paraId="69DB3A4E">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default" w:ascii="Times New Roman" w:hAnsi="Times New Roman" w:eastAsia="宋体" w:cs="Arial"/>
                <w:b w:val="0"/>
                <w:bCs w:val="0"/>
                <w:i w:val="0"/>
                <w:color w:val="000000"/>
                <w:sz w:val="20"/>
                <w:szCs w:val="20"/>
                <w:u w:val="none"/>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110534E7">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856" w:type="pct"/>
            <w:tcBorders>
              <w:top w:val="nil"/>
              <w:left w:val="nil"/>
              <w:bottom w:val="nil"/>
              <w:right w:val="nil"/>
            </w:tcBorders>
            <w:shd w:val="clear" w:color="auto" w:fill="auto"/>
            <w:noWrap/>
            <w:tcMar>
              <w:top w:w="15" w:type="dxa"/>
              <w:left w:w="15" w:type="dxa"/>
              <w:right w:w="15" w:type="dxa"/>
            </w:tcMar>
            <w:vAlign w:val="bottom"/>
          </w:tcPr>
          <w:p w14:paraId="3EA528B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公开01表</w:t>
            </w:r>
          </w:p>
        </w:tc>
      </w:tr>
      <w:tr w14:paraId="37274713">
        <w:tblPrEx>
          <w:shd w:val="clear" w:color="auto" w:fill="auto"/>
          <w:tblCellMar>
            <w:top w:w="0" w:type="dxa"/>
            <w:left w:w="0" w:type="dxa"/>
            <w:bottom w:w="0" w:type="dxa"/>
            <w:right w:w="0" w:type="dxa"/>
          </w:tblCellMar>
        </w:tblPrEx>
        <w:trPr>
          <w:trHeight w:val="289" w:hRule="atLeast"/>
        </w:trPr>
        <w:tc>
          <w:tcPr>
            <w:tcW w:w="1475" w:type="pct"/>
            <w:tcBorders>
              <w:top w:val="nil"/>
              <w:left w:val="nil"/>
              <w:bottom w:val="nil"/>
              <w:right w:val="nil"/>
            </w:tcBorders>
            <w:shd w:val="clear" w:color="auto" w:fill="auto"/>
            <w:noWrap/>
            <w:tcMar>
              <w:top w:w="15" w:type="dxa"/>
              <w:left w:w="15" w:type="dxa"/>
              <w:right w:w="15" w:type="dxa"/>
            </w:tcMar>
            <w:vAlign w:val="bottom"/>
          </w:tcPr>
          <w:p w14:paraId="4E09805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cs="宋体"/>
                <w:b w:val="0"/>
                <w:bCs w:val="0"/>
                <w:sz w:val="24"/>
                <w:szCs w:val="24"/>
                <w:lang w:eastAsia="zh-CN"/>
              </w:rPr>
              <w:t>公开单位</w:t>
            </w:r>
            <w:r>
              <w:rPr>
                <w:rFonts w:hint="eastAsia" w:ascii="Times New Roman" w:hAnsi="Times New Roman" w:eastAsia="宋体" w:cs="宋体"/>
                <w:b w:val="0"/>
                <w:bCs w:val="0"/>
                <w:sz w:val="24"/>
                <w:szCs w:val="24"/>
              </w:rPr>
              <w:t>：</w:t>
            </w:r>
            <w:r>
              <w:rPr>
                <w:rFonts w:ascii="Times New Roman" w:hAnsi="Times New Roman" w:eastAsia="宋体" w:cs="宋体"/>
                <w:b w:val="0"/>
                <w:bCs w:val="0"/>
                <w:sz w:val="24"/>
                <w:u w:color="auto"/>
              </w:rPr>
              <w:t>重庆市潼南区田家镇产业发展服务中心</w:t>
            </w:r>
          </w:p>
        </w:tc>
        <w:tc>
          <w:tcPr>
            <w:tcW w:w="977" w:type="pct"/>
            <w:tcBorders>
              <w:top w:val="nil"/>
              <w:left w:val="nil"/>
              <w:bottom w:val="nil"/>
              <w:right w:val="nil"/>
            </w:tcBorders>
            <w:shd w:val="clear" w:color="auto" w:fill="auto"/>
            <w:noWrap/>
            <w:tcMar>
              <w:top w:w="15" w:type="dxa"/>
              <w:left w:w="15" w:type="dxa"/>
              <w:right w:w="15" w:type="dxa"/>
            </w:tcMar>
            <w:vAlign w:val="bottom"/>
          </w:tcPr>
          <w:p w14:paraId="27494723">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default" w:ascii="Times New Roman" w:hAnsi="Times New Roman" w:eastAsia="宋体" w:cs="Arial"/>
                <w:b w:val="0"/>
                <w:bCs w:val="0"/>
                <w:i w:val="0"/>
                <w:color w:val="000000"/>
                <w:sz w:val="22"/>
                <w:szCs w:val="22"/>
                <w:u w:val="none"/>
              </w:rPr>
            </w:pPr>
          </w:p>
        </w:tc>
        <w:tc>
          <w:tcPr>
            <w:tcW w:w="1690" w:type="pct"/>
            <w:tcBorders>
              <w:top w:val="nil"/>
              <w:left w:val="nil"/>
              <w:bottom w:val="nil"/>
              <w:right w:val="nil"/>
            </w:tcBorders>
            <w:shd w:val="clear" w:color="auto" w:fill="auto"/>
            <w:noWrap/>
            <w:tcMar>
              <w:top w:w="15" w:type="dxa"/>
              <w:left w:w="15" w:type="dxa"/>
              <w:right w:w="15" w:type="dxa"/>
            </w:tcMar>
            <w:vAlign w:val="bottom"/>
          </w:tcPr>
          <w:p w14:paraId="4F871EE9">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856" w:type="pct"/>
            <w:tcBorders>
              <w:top w:val="nil"/>
              <w:left w:val="nil"/>
              <w:bottom w:val="nil"/>
              <w:right w:val="nil"/>
            </w:tcBorders>
            <w:shd w:val="clear" w:color="auto" w:fill="auto"/>
            <w:noWrap/>
            <w:tcMar>
              <w:top w:w="15" w:type="dxa"/>
              <w:left w:w="15" w:type="dxa"/>
              <w:right w:w="15" w:type="dxa"/>
            </w:tcMar>
            <w:vAlign w:val="bottom"/>
          </w:tcPr>
          <w:p w14:paraId="082F290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709951EA">
        <w:tblPrEx>
          <w:shd w:val="clear" w:color="auto" w:fill="auto"/>
          <w:tblCellMar>
            <w:top w:w="0" w:type="dxa"/>
            <w:left w:w="0" w:type="dxa"/>
            <w:bottom w:w="0" w:type="dxa"/>
            <w:right w:w="0" w:type="dxa"/>
          </w:tblCellMar>
        </w:tblPrEx>
        <w:trPr>
          <w:trHeight w:val="298" w:hRule="atLeast"/>
        </w:trPr>
        <w:tc>
          <w:tcPr>
            <w:tcW w:w="245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BA6E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收入</w:t>
            </w:r>
          </w:p>
        </w:tc>
        <w:tc>
          <w:tcPr>
            <w:tcW w:w="2546"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B1BB17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支出</w:t>
            </w:r>
          </w:p>
        </w:tc>
      </w:tr>
      <w:tr w14:paraId="33EBFF94">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F1E9A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w:t>
            </w:r>
          </w:p>
        </w:tc>
        <w:tc>
          <w:tcPr>
            <w:tcW w:w="977"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EB40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决算数</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49971C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lang w:eastAsia="zh-CN"/>
              </w:rPr>
            </w:pPr>
            <w:r>
              <w:rPr>
                <w:rFonts w:hint="eastAsia" w:ascii="Times New Roman" w:hAnsi="Times New Roman" w:cs="宋体"/>
                <w:b w:val="0"/>
                <w:bCs w:val="0"/>
                <w:i w:val="0"/>
                <w:color w:val="000000"/>
                <w:sz w:val="22"/>
                <w:szCs w:val="22"/>
                <w:u w:val="none"/>
                <w:lang w:eastAsia="zh-CN"/>
              </w:rPr>
              <w:t>功能分类科目</w:t>
            </w:r>
          </w:p>
        </w:tc>
        <w:tc>
          <w:tcPr>
            <w:tcW w:w="8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A0CCF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决算数</w:t>
            </w:r>
          </w:p>
        </w:tc>
      </w:tr>
      <w:tr w14:paraId="7E74179C">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B9D6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一、一般公共预算财政拨款收入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C2B8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96E44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一、一般公共服务支出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7822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D60247B">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91DB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二、政府性基金预算财政拨款收入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5E58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E79BF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二、外交支出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5E56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5077DE3">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B707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三、国有资本经营预算财政拨款收入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705B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89AF0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三、国防支出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88DF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FE78DB0">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9D463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四、上级补助收入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042D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1F307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四、公共安全支出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0852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C8247A0">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545E8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五、事业收入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85C8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9C08D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五、教育支出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90F6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A0E1440">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B6F6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六、经营收入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0FC7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15AF3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六、科学技术支出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C43C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14AC7A6">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D079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七、附属单位上缴收入</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D738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E9C4E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七、文化旅游体育与传媒支出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C53D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79640A3">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58CFF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八、其他收入</w:t>
            </w:r>
          </w:p>
        </w:tc>
        <w:tc>
          <w:tcPr>
            <w:tcW w:w="977" w:type="pct"/>
            <w:tcBorders>
              <w:top w:val="nil"/>
              <w:left w:val="nil"/>
              <w:bottom w:val="nil"/>
              <w:right w:val="single" w:color="000000" w:sz="4" w:space="0"/>
            </w:tcBorders>
            <w:shd w:val="clear" w:color="auto" w:fill="auto"/>
            <w:noWrap/>
            <w:tcMar>
              <w:top w:w="15" w:type="dxa"/>
              <w:left w:w="15" w:type="dxa"/>
              <w:right w:w="15" w:type="dxa"/>
            </w:tcMar>
            <w:vAlign w:val="center"/>
          </w:tcPr>
          <w:p w14:paraId="35A95A8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2A63DA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八、社会保障和就业支出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CCB3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w:t>
            </w:r>
            <w:r>
              <w:rPr>
                <w:rFonts w:hint="eastAsia" w:ascii="Times New Roman" w:hAnsi="Times New Roman" w:cs="宋体"/>
                <w:b w:val="0"/>
                <w:bCs w:val="0"/>
                <w:color w:val="000000"/>
                <w:sz w:val="21"/>
                <w:szCs w:val="21"/>
                <w:lang w:val="en-US" w:eastAsia="zh-CN" w:bidi="ar"/>
              </w:rPr>
              <w:t xml:space="preserve"> </w:t>
            </w:r>
          </w:p>
        </w:tc>
      </w:tr>
      <w:tr w14:paraId="332395E2">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EB2633">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1FE2DF">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default" w:ascii="Times New Roman" w:hAnsi="Times New Roman" w:eastAsia="宋体" w:cs="Arial"/>
                <w:b w:val="0"/>
                <w:bCs w:val="0"/>
                <w:i w:val="0"/>
                <w:color w:val="000000"/>
                <w:sz w:val="20"/>
                <w:szCs w:val="20"/>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85EBA9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九、卫生健康支出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AB84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3.63</w:t>
            </w:r>
            <w:r>
              <w:rPr>
                <w:rFonts w:hint="eastAsia" w:ascii="Times New Roman" w:hAnsi="Times New Roman" w:cs="宋体"/>
                <w:b w:val="0"/>
                <w:bCs w:val="0"/>
                <w:color w:val="000000"/>
                <w:sz w:val="21"/>
                <w:szCs w:val="21"/>
                <w:lang w:val="en-US" w:eastAsia="zh-CN" w:bidi="ar"/>
              </w:rPr>
              <w:t xml:space="preserve"> </w:t>
            </w:r>
          </w:p>
        </w:tc>
      </w:tr>
      <w:tr w14:paraId="5844BDA0">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EDD6EF">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1D216A">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default" w:ascii="Times New Roman" w:hAnsi="Times New Roman" w:eastAsia="宋体" w:cs="Arial"/>
                <w:b w:val="0"/>
                <w:bCs w:val="0"/>
                <w:i w:val="0"/>
                <w:color w:val="000000"/>
                <w:sz w:val="20"/>
                <w:szCs w:val="20"/>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2DCEFA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十、节能环保支出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4B3E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768E937">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13315">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35100B">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default" w:ascii="Times New Roman" w:hAnsi="Times New Roman" w:eastAsia="宋体" w:cs="Arial"/>
                <w:b w:val="0"/>
                <w:bCs w:val="0"/>
                <w:i w:val="0"/>
                <w:color w:val="000000"/>
                <w:sz w:val="20"/>
                <w:szCs w:val="20"/>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38817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十一、城乡社区支出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344C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7AD5D82">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6B368">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06CF1B">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default" w:ascii="Times New Roman" w:hAnsi="Times New Roman" w:eastAsia="宋体" w:cs="Arial"/>
                <w:b w:val="0"/>
                <w:bCs w:val="0"/>
                <w:i w:val="0"/>
                <w:color w:val="000000"/>
                <w:sz w:val="20"/>
                <w:szCs w:val="20"/>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839060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十二、农林水支出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A7EE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r>
      <w:tr w14:paraId="19540C4D">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F5825">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E5840">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8CD0F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十三、交通运输支出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D5CB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D02C4A8">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628A24">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9F525">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01490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十四、资源勘探工业信息等支出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6166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DA3F912">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B99DF">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A0F94">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3647A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十五、商业服务业等支出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8AE0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2B6BB08">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C7D364">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056127">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05352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十六、金融支出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1FEF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212E68F">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24518F">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8068C">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30411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十七、援助其他地区支出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286A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8B5C4EA">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3804E">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252A79">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D2951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十八、自然资源海洋气象等支出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24394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3160E92">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485DD1">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1D447">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E1393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十九、住房保障支出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F35B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r>
      <w:tr w14:paraId="178C5D4E">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0D217">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FE6D2B">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CD0533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二十、粮油物资储备支出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97DB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8ACE2F2">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A0A7F2">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94E70">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47173D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二十一、国有资本经营预算支出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1A200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8F13694">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3B497">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DA890">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40CB41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二十二、灾害防治及应急管理支出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96ED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EDE0711">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0DA53E">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C402D">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9D847C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二十三、其他支出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33C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458834D">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56430">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F621D">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0DB4B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二十四、债务还本支出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22D6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6702C82">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60264">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0B352">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63624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二十五、债务付息支出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2850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1164A2B">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96586">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0124A">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9EB6D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二十六、抗疫特别国债安排的支出</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44E3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E7A5F44">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A951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本年收入合计</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E801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43408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本年支出合计</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B912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default"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r>
      <w:tr w14:paraId="1994BF7B">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77B7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使用非财政拨款结余和专用结余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4BAC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C4174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结余分配</w:t>
            </w:r>
          </w:p>
        </w:tc>
        <w:tc>
          <w:tcPr>
            <w:tcW w:w="8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8BA1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3A0F7F0">
        <w:tblPrEx>
          <w:shd w:val="clear" w:color="auto" w:fill="auto"/>
          <w:tblCellMar>
            <w:top w:w="0" w:type="dxa"/>
            <w:left w:w="0" w:type="dxa"/>
            <w:bottom w:w="0" w:type="dxa"/>
            <w:right w:w="0" w:type="dxa"/>
          </w:tblCellMar>
        </w:tblPrEx>
        <w:trPr>
          <w:trHeight w:val="298"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162B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年初结转和结余</w:t>
            </w:r>
          </w:p>
        </w:tc>
        <w:tc>
          <w:tcPr>
            <w:tcW w:w="9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D9C6A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6F363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年末结转和结余</w:t>
            </w:r>
          </w:p>
        </w:tc>
        <w:tc>
          <w:tcPr>
            <w:tcW w:w="85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266D77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8A41D3C">
        <w:tblPrEx>
          <w:shd w:val="clear" w:color="auto" w:fill="auto"/>
          <w:tblCellMar>
            <w:top w:w="0" w:type="dxa"/>
            <w:left w:w="0" w:type="dxa"/>
            <w:bottom w:w="0" w:type="dxa"/>
            <w:right w:w="0" w:type="dxa"/>
          </w:tblCellMar>
        </w:tblPrEx>
        <w:trPr>
          <w:trHeight w:val="307" w:hRule="atLeast"/>
        </w:trPr>
        <w:tc>
          <w:tcPr>
            <w:tcW w:w="147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01345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总计</w:t>
            </w:r>
          </w:p>
        </w:tc>
        <w:tc>
          <w:tcPr>
            <w:tcW w:w="9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9D92">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c>
          <w:tcPr>
            <w:tcW w:w="1690"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355F8B4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总计</w:t>
            </w:r>
          </w:p>
        </w:tc>
        <w:tc>
          <w:tcPr>
            <w:tcW w:w="8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130883">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0"/>
                <w:szCs w:val="20"/>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r>
    </w:tbl>
    <w:p w14:paraId="5A1B389D">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sz w:val="21"/>
          <w:szCs w:val="21"/>
        </w:rPr>
        <w:br w:type="textWrapping"/>
      </w:r>
    </w:p>
    <w:p w14:paraId="07E5D792">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page"/>
      </w:r>
    </w:p>
    <w:p w14:paraId="6BDB93B1">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附件2</w:t>
      </w:r>
    </w:p>
    <w:p w14:paraId="18A418FE">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p>
    <w:tbl>
      <w:tblPr>
        <w:tblStyle w:val="6"/>
        <w:tblW w:w="5000" w:type="pct"/>
        <w:tblInd w:w="0" w:type="dxa"/>
        <w:shd w:val="clear" w:color="auto" w:fill="auto"/>
        <w:tblLayout w:type="autofit"/>
        <w:tblCellMar>
          <w:top w:w="0" w:type="dxa"/>
          <w:left w:w="0" w:type="dxa"/>
          <w:bottom w:w="0" w:type="dxa"/>
          <w:right w:w="0" w:type="dxa"/>
        </w:tblCellMar>
      </w:tblPr>
      <w:tblGrid>
        <w:gridCol w:w="1959"/>
        <w:gridCol w:w="3390"/>
        <w:gridCol w:w="1452"/>
        <w:gridCol w:w="1444"/>
        <w:gridCol w:w="1142"/>
        <w:gridCol w:w="1142"/>
        <w:gridCol w:w="1145"/>
        <w:gridCol w:w="1142"/>
        <w:gridCol w:w="1142"/>
        <w:gridCol w:w="1419"/>
      </w:tblGrid>
      <w:tr w14:paraId="4F6090A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E93636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bottom"/>
              <w:rPr>
                <w:rFonts w:hint="eastAsia" w:ascii="Times New Roman" w:hAnsi="Times New Roman"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收入决算表</w:t>
            </w:r>
          </w:p>
        </w:tc>
      </w:tr>
      <w:tr w14:paraId="42017A8E">
        <w:tblPrEx>
          <w:tblCellMar>
            <w:top w:w="0" w:type="dxa"/>
            <w:left w:w="0" w:type="dxa"/>
            <w:bottom w:w="0" w:type="dxa"/>
            <w:right w:w="0" w:type="dxa"/>
          </w:tblCellMar>
        </w:tblPrEx>
        <w:trPr>
          <w:trHeight w:val="328" w:hRule="atLeast"/>
        </w:trPr>
        <w:tc>
          <w:tcPr>
            <w:tcW w:w="1182" w:type="pct"/>
            <w:gridSpan w:val="2"/>
            <w:vMerge w:val="restart"/>
            <w:tcBorders>
              <w:top w:val="nil"/>
              <w:left w:val="nil"/>
              <w:right w:val="nil"/>
            </w:tcBorders>
            <w:shd w:val="clear" w:color="auto" w:fill="auto"/>
            <w:noWrap/>
            <w:tcMar>
              <w:top w:w="15" w:type="dxa"/>
              <w:left w:w="15" w:type="dxa"/>
              <w:right w:w="15" w:type="dxa"/>
            </w:tcMar>
            <w:vAlign w:val="bottom"/>
          </w:tcPr>
          <w:p w14:paraId="4A5ED6A6">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r>
              <w:rPr>
                <w:rFonts w:hint="eastAsia" w:ascii="Times New Roman" w:hAnsi="Times New Roman" w:cs="宋体"/>
                <w:b w:val="0"/>
                <w:bCs w:val="0"/>
                <w:sz w:val="24"/>
                <w:szCs w:val="24"/>
                <w:lang w:eastAsia="zh-CN"/>
              </w:rPr>
              <w:t>公开单位</w:t>
            </w:r>
            <w:r>
              <w:rPr>
                <w:rFonts w:hint="eastAsia" w:ascii="Times New Roman" w:hAnsi="Times New Roman" w:eastAsia="宋体" w:cs="宋体"/>
                <w:b w:val="0"/>
                <w:bCs w:val="0"/>
                <w:sz w:val="24"/>
                <w:szCs w:val="24"/>
              </w:rPr>
              <w:t>：</w:t>
            </w:r>
            <w:r>
              <w:rPr>
                <w:rFonts w:ascii="Times New Roman" w:hAnsi="Times New Roman" w:eastAsia="宋体" w:cs="宋体"/>
                <w:b w:val="0"/>
                <w:bCs w:val="0"/>
                <w:sz w:val="24"/>
                <w:u w:color="auto"/>
              </w:rPr>
              <w:t>重庆市潼南区田家镇产业发展服务中心</w:t>
            </w:r>
          </w:p>
        </w:tc>
        <w:tc>
          <w:tcPr>
            <w:tcW w:w="542" w:type="pct"/>
            <w:tcBorders>
              <w:top w:val="nil"/>
              <w:left w:val="nil"/>
              <w:bottom w:val="nil"/>
              <w:right w:val="nil"/>
            </w:tcBorders>
            <w:shd w:val="clear" w:color="auto" w:fill="auto"/>
            <w:noWrap/>
            <w:tcMar>
              <w:top w:w="15" w:type="dxa"/>
              <w:left w:w="15" w:type="dxa"/>
              <w:right w:w="15" w:type="dxa"/>
            </w:tcMar>
            <w:vAlign w:val="bottom"/>
          </w:tcPr>
          <w:p w14:paraId="1851838F">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96F87C7">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57A9BB0D">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04063E97">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645E92CF">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6F72A27C">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301054A3">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1415B59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公开02表</w:t>
            </w:r>
          </w:p>
        </w:tc>
      </w:tr>
      <w:tr w14:paraId="707622CB">
        <w:tblPrEx>
          <w:shd w:val="clear" w:color="auto" w:fill="auto"/>
          <w:tblCellMar>
            <w:top w:w="0" w:type="dxa"/>
            <w:left w:w="0" w:type="dxa"/>
            <w:bottom w:w="0" w:type="dxa"/>
            <w:right w:w="0" w:type="dxa"/>
          </w:tblCellMar>
        </w:tblPrEx>
        <w:trPr>
          <w:trHeight w:val="328" w:hRule="atLeast"/>
        </w:trPr>
        <w:tc>
          <w:tcPr>
            <w:tcW w:w="1182" w:type="pct"/>
            <w:gridSpan w:val="2"/>
            <w:vMerge w:val="continue"/>
            <w:tcBorders>
              <w:left w:val="nil"/>
              <w:bottom w:val="nil"/>
              <w:right w:val="nil"/>
            </w:tcBorders>
            <w:shd w:val="clear" w:color="auto" w:fill="auto"/>
            <w:noWrap/>
            <w:tcMar>
              <w:top w:w="15" w:type="dxa"/>
              <w:left w:w="15" w:type="dxa"/>
              <w:right w:w="15" w:type="dxa"/>
            </w:tcMar>
            <w:vAlign w:val="bottom"/>
          </w:tcPr>
          <w:p w14:paraId="5914751B">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542" w:type="pct"/>
            <w:tcBorders>
              <w:top w:val="nil"/>
              <w:left w:val="nil"/>
              <w:bottom w:val="nil"/>
              <w:right w:val="nil"/>
            </w:tcBorders>
            <w:shd w:val="clear" w:color="auto" w:fill="auto"/>
            <w:noWrap/>
            <w:tcMar>
              <w:top w:w="15" w:type="dxa"/>
              <w:left w:w="15" w:type="dxa"/>
              <w:right w:w="15" w:type="dxa"/>
            </w:tcMar>
            <w:vAlign w:val="bottom"/>
          </w:tcPr>
          <w:p w14:paraId="6F3FC497">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0987678E">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4C92F662">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4E64C447">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5D03AED5">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3974998B">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441" w:type="pct"/>
            <w:tcBorders>
              <w:top w:val="nil"/>
              <w:left w:val="nil"/>
              <w:bottom w:val="nil"/>
              <w:right w:val="nil"/>
            </w:tcBorders>
            <w:shd w:val="clear" w:color="auto" w:fill="auto"/>
            <w:noWrap/>
            <w:tcMar>
              <w:top w:w="15" w:type="dxa"/>
              <w:left w:w="15" w:type="dxa"/>
              <w:right w:w="15" w:type="dxa"/>
            </w:tcMar>
            <w:vAlign w:val="bottom"/>
          </w:tcPr>
          <w:p w14:paraId="115757C5">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526" w:type="pct"/>
            <w:tcBorders>
              <w:top w:val="nil"/>
              <w:left w:val="nil"/>
              <w:bottom w:val="nil"/>
              <w:right w:val="nil"/>
            </w:tcBorders>
            <w:shd w:val="clear" w:color="auto" w:fill="auto"/>
            <w:noWrap/>
            <w:tcMar>
              <w:top w:w="15" w:type="dxa"/>
              <w:left w:w="15" w:type="dxa"/>
              <w:right w:w="15" w:type="dxa"/>
            </w:tcMar>
            <w:vAlign w:val="bottom"/>
          </w:tcPr>
          <w:p w14:paraId="063C7C5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5BD951CE">
        <w:tblPrEx>
          <w:shd w:val="clear" w:color="auto" w:fill="auto"/>
          <w:tblCellMar>
            <w:top w:w="0" w:type="dxa"/>
            <w:left w:w="0" w:type="dxa"/>
            <w:bottom w:w="0" w:type="dxa"/>
            <w:right w:w="0" w:type="dxa"/>
          </w:tblCellMar>
        </w:tblPrEx>
        <w:trPr>
          <w:trHeight w:val="431" w:hRule="atLeast"/>
        </w:trPr>
        <w:tc>
          <w:tcPr>
            <w:tcW w:w="1182"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2641756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bottom"/>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w:t>
            </w:r>
          </w:p>
        </w:tc>
        <w:tc>
          <w:tcPr>
            <w:tcW w:w="54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A7B5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本年收入合计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9FC3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财政拨款收入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062A4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上级补助收入</w:t>
            </w: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9E2A3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bottom"/>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事业收入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16BE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经营收入</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EC2C0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附属单位上缴收入</w:t>
            </w:r>
          </w:p>
        </w:tc>
        <w:tc>
          <w:tcPr>
            <w:tcW w:w="52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D62B7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其他收入</w:t>
            </w:r>
          </w:p>
        </w:tc>
      </w:tr>
      <w:tr w14:paraId="65146171">
        <w:tblPrEx>
          <w:shd w:val="clear" w:color="auto" w:fill="auto"/>
          <w:tblCellMar>
            <w:top w:w="0" w:type="dxa"/>
            <w:left w:w="0" w:type="dxa"/>
            <w:bottom w:w="0" w:type="dxa"/>
            <w:right w:w="0" w:type="dxa"/>
          </w:tblCellMar>
        </w:tblPrEx>
        <w:trPr>
          <w:trHeight w:val="334" w:hRule="atLeast"/>
        </w:trPr>
        <w:tc>
          <w:tcPr>
            <w:tcW w:w="43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0708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功能分类科目编码</w:t>
            </w:r>
          </w:p>
        </w:tc>
        <w:tc>
          <w:tcPr>
            <w:tcW w:w="746"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DC38F5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项目（按“项”级功能分类科目）</w:t>
            </w: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75F67">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D9104">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E926AA">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A3CC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小计</w:t>
            </w:r>
          </w:p>
        </w:tc>
        <w:tc>
          <w:tcPr>
            <w:tcW w:w="44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E0D1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其中：教育收费</w:t>
            </w: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69970">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BACE59">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A1FFE7">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r>
      <w:tr w14:paraId="5449E459">
        <w:tblPrEx>
          <w:shd w:val="clear" w:color="auto" w:fill="auto"/>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7872C">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97B52A8">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C4D9B">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A8794">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A81A5">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FB12E">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822CA">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B8AB8">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E61108">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BA85BC">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r>
      <w:tr w14:paraId="3B461E86">
        <w:tblPrEx>
          <w:shd w:val="clear" w:color="auto" w:fill="auto"/>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81CA72">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A29CA00">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619A02">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127406">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30328">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EBCAE">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3F186">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4B3A5">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8F2FBF">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F8F203">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r>
      <w:tr w14:paraId="19377D96">
        <w:tblPrEx>
          <w:shd w:val="clear" w:color="auto" w:fill="auto"/>
          <w:tblCellMar>
            <w:top w:w="0" w:type="dxa"/>
            <w:left w:w="0" w:type="dxa"/>
            <w:bottom w:w="0" w:type="dxa"/>
            <w:right w:w="0" w:type="dxa"/>
          </w:tblCellMar>
        </w:tblPrEx>
        <w:trPr>
          <w:trHeight w:val="334" w:hRule="atLeast"/>
        </w:trPr>
        <w:tc>
          <w:tcPr>
            <w:tcW w:w="43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5F525E">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746"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E421241">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4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5DB6A">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650C81">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D7ABE2">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6F988A">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85B76">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A36662">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44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B7D5D">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2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C04925">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r>
      <w:tr w14:paraId="589EF215">
        <w:tblPrEx>
          <w:shd w:val="clear" w:color="auto" w:fill="auto"/>
          <w:tblCellMar>
            <w:top w:w="0" w:type="dxa"/>
            <w:left w:w="0" w:type="dxa"/>
            <w:bottom w:w="0" w:type="dxa"/>
            <w:right w:w="0" w:type="dxa"/>
          </w:tblCellMar>
        </w:tblPrEx>
        <w:trPr>
          <w:trHeight w:val="338" w:hRule="atLeast"/>
        </w:trPr>
        <w:tc>
          <w:tcPr>
            <w:tcW w:w="1182"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5F0AC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合计</w:t>
            </w:r>
          </w:p>
        </w:tc>
        <w:tc>
          <w:tcPr>
            <w:tcW w:w="54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7DDA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c>
          <w:tcPr>
            <w:tcW w:w="53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923A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1514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CF08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8767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5D37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7183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9845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C60B424">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B179">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A121D">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社会保障和就业支出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6160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7.17</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E9B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7.17</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3AF1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93F7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0B8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1AD8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8473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9458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33EC948">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7BF71">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BC0C4">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行政事业单位养老支出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7CDB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7.17</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BFA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7.17</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AA02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53A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E2C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9E9F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9C97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4E5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3A82E5E">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566D8">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2080505</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A91FA">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机关事业单位基本养老保险缴费支出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582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4.78</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5215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4.78</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2B19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C22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73B4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EFE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C30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EFB1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08C2A41">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DBFE">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2080506</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F32F54">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机关事业单位职业年金缴费支出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68D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2.39</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7ECC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2.39</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853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99DA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BE6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CCC9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0813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0A21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8651A90">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C1E59">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92538">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卫生健康支出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34E4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3.63</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80A4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3.63</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8318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AC2F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6A3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746A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EEF8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73BE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1969393">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8A79">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889ED">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行政事业单位医疗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B99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3.63</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C06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3.63</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6F6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D14A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F20B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E034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2ED2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0B8E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474BBA0">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5FFE5">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4DB81">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事业单位医疗</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983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2.99</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EE6A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2.99</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B441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7D7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7EBF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526D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773A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734E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A7EE614">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399D1">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2101199</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96015">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其他行政事业单位医疗支出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B68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0.64</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F36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0.64</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3B25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3B8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D86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CE41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BF59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2F89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1BB649D">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D02B7">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213</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CD23C">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农林水支出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3F2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F4C4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3942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1BB3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AB9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187B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2B68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F4BA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1E7B93F">
        <w:tblPrEx>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BE3B">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21301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FBAD0A">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农业农村</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B4E2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543D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1C9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7B98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689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A53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3AD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482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E8D4EF2">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ABCF1">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2130124</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5FA30">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农村合作经济</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A088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9896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3F69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C2C4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AF9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7AC9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349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E3DD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DC38958">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A0B84">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566A5">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住房保障支出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7EA0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1CBF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C93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8F1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35CD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09D4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B4B6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E944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6ED250C">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5AE64">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22102</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30BC5">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住房改革支出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2405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C3AD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03F3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0A84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0CB1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AE3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2D3A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D97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A6013A4">
        <w:tblPrEx>
          <w:shd w:val="clear" w:color="auto" w:fill="auto"/>
          <w:tblCellMar>
            <w:top w:w="0" w:type="dxa"/>
            <w:left w:w="0" w:type="dxa"/>
            <w:bottom w:w="0" w:type="dxa"/>
            <w:right w:w="0" w:type="dxa"/>
          </w:tblCellMar>
        </w:tblPrEx>
        <w:trPr>
          <w:trHeight w:val="348" w:hRule="atLeast"/>
        </w:trPr>
        <w:tc>
          <w:tcPr>
            <w:tcW w:w="43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65DE">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2210201</w:t>
            </w:r>
          </w:p>
        </w:tc>
        <w:tc>
          <w:tcPr>
            <w:tcW w:w="7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CB216">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住房公积金</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019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E04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C4E4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363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5F2B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1B2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6ED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247D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bl>
    <w:p w14:paraId="4463C7B7">
      <w:pPr>
        <w:keepNext w:val="0"/>
        <w:keepLines w:val="0"/>
        <w:pageBreakBefore w:val="0"/>
        <w:widowControl/>
        <w:kinsoku/>
        <w:overflowPunct/>
        <w:topLinePunct w:val="0"/>
        <w:autoSpaceDN/>
        <w:bidi w:val="0"/>
        <w:adjustRightInd/>
        <w:spacing w:beforeAutospacing="0" w:afterAutospacing="0" w:line="600" w:lineRule="exact"/>
        <w:ind w:left="630" w:leftChars="0" w:hanging="630" w:hangingChars="300"/>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p>
    <w:p w14:paraId="0874FAD1">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page"/>
      </w:r>
    </w:p>
    <w:p w14:paraId="3CF4D5BF">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附件3</w:t>
      </w:r>
    </w:p>
    <w:p w14:paraId="1FC663DD">
      <w:pPr>
        <w:keepNext w:val="0"/>
        <w:keepLines w:val="0"/>
        <w:pageBreakBefore w:val="0"/>
        <w:widowControl/>
        <w:kinsoku/>
        <w:overflowPunct/>
        <w:topLinePunct w:val="0"/>
        <w:autoSpaceDN/>
        <w:bidi w:val="0"/>
        <w:adjustRightInd/>
        <w:spacing w:beforeAutospacing="0" w:afterAutospacing="0" w:line="600" w:lineRule="exact"/>
        <w:ind w:left="630" w:leftChars="0" w:hanging="630" w:hangingChars="300"/>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p>
    <w:tbl>
      <w:tblPr>
        <w:tblStyle w:val="6"/>
        <w:tblW w:w="5000" w:type="pct"/>
        <w:tblInd w:w="0" w:type="dxa"/>
        <w:shd w:val="clear" w:color="auto" w:fill="auto"/>
        <w:tblLayout w:type="autofit"/>
        <w:tblCellMar>
          <w:top w:w="0" w:type="dxa"/>
          <w:left w:w="0" w:type="dxa"/>
          <w:bottom w:w="0" w:type="dxa"/>
          <w:right w:w="0" w:type="dxa"/>
        </w:tblCellMar>
      </w:tblPr>
      <w:tblGrid>
        <w:gridCol w:w="2015"/>
        <w:gridCol w:w="3415"/>
        <w:gridCol w:w="1655"/>
        <w:gridCol w:w="1656"/>
        <w:gridCol w:w="1656"/>
        <w:gridCol w:w="1656"/>
        <w:gridCol w:w="1656"/>
        <w:gridCol w:w="1668"/>
      </w:tblGrid>
      <w:tr w14:paraId="00B8483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2C0895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bottom"/>
              <w:rPr>
                <w:rFonts w:hint="eastAsia" w:ascii="Times New Roman" w:hAnsi="Times New Roman"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支出决算表</w:t>
            </w:r>
          </w:p>
        </w:tc>
      </w:tr>
      <w:tr w14:paraId="48B98C82">
        <w:tblPrEx>
          <w:shd w:val="clear" w:color="auto" w:fill="auto"/>
          <w:tblCellMar>
            <w:top w:w="0" w:type="dxa"/>
            <w:left w:w="0" w:type="dxa"/>
            <w:bottom w:w="0" w:type="dxa"/>
            <w:right w:w="0" w:type="dxa"/>
          </w:tblCellMar>
        </w:tblPrEx>
        <w:trPr>
          <w:trHeight w:val="342" w:hRule="atLeast"/>
        </w:trPr>
        <w:tc>
          <w:tcPr>
            <w:tcW w:w="1264" w:type="pct"/>
            <w:gridSpan w:val="2"/>
            <w:vMerge w:val="restart"/>
            <w:tcBorders>
              <w:top w:val="nil"/>
              <w:left w:val="nil"/>
              <w:right w:val="nil"/>
            </w:tcBorders>
            <w:shd w:val="clear" w:color="auto" w:fill="auto"/>
            <w:noWrap/>
            <w:tcMar>
              <w:top w:w="15" w:type="dxa"/>
              <w:left w:w="15" w:type="dxa"/>
              <w:right w:w="15" w:type="dxa"/>
            </w:tcMar>
            <w:vAlign w:val="bottom"/>
          </w:tcPr>
          <w:p w14:paraId="4915E378">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r>
              <w:rPr>
                <w:rFonts w:hint="eastAsia" w:ascii="Times New Roman" w:hAnsi="Times New Roman" w:eastAsiaTheme="minorEastAsia" w:cstheme="minorEastAsia"/>
                <w:b w:val="0"/>
                <w:bCs w:val="0"/>
                <w:sz w:val="24"/>
                <w:szCs w:val="24"/>
                <w:lang w:eastAsia="zh-CN"/>
              </w:rPr>
              <w:t>公开单位</w:t>
            </w:r>
            <w:r>
              <w:rPr>
                <w:rFonts w:hint="eastAsia" w:ascii="Times New Roman" w:hAnsi="Times New Roman" w:eastAsiaTheme="minorEastAsia" w:cstheme="minorEastAsia"/>
                <w:b w:val="0"/>
                <w:bCs w:val="0"/>
                <w:color w:val="000000"/>
                <w:sz w:val="24"/>
                <w:szCs w:val="24"/>
                <w:lang w:bidi="ar"/>
              </w:rPr>
              <w:t xml:space="preserve">： </w:t>
            </w:r>
            <w:r>
              <w:rPr>
                <w:rFonts w:ascii="Times New Roman" w:hAnsi="Times New Roman"/>
                <w:b w:val="0"/>
                <w:bCs w:val="0"/>
                <w:color w:val="000000"/>
                <w:sz w:val="24"/>
                <w:u w:color="auto"/>
              </w:rPr>
              <w:t xml:space="preserve">重庆市潼南区田家镇产业发展服务中心 </w:t>
            </w:r>
          </w:p>
        </w:tc>
        <w:tc>
          <w:tcPr>
            <w:tcW w:w="622" w:type="pct"/>
            <w:tcBorders>
              <w:top w:val="nil"/>
              <w:left w:val="nil"/>
              <w:bottom w:val="nil"/>
              <w:right w:val="nil"/>
            </w:tcBorders>
            <w:shd w:val="clear" w:color="auto" w:fill="auto"/>
            <w:noWrap/>
            <w:tcMar>
              <w:top w:w="15" w:type="dxa"/>
              <w:left w:w="15" w:type="dxa"/>
              <w:right w:w="15" w:type="dxa"/>
            </w:tcMar>
            <w:vAlign w:val="bottom"/>
          </w:tcPr>
          <w:p w14:paraId="1A5D9933">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32DE1CE2">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4B3245FE">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58B82751">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1BF943AA">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6852340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公开03表</w:t>
            </w:r>
          </w:p>
        </w:tc>
      </w:tr>
      <w:tr w14:paraId="56B9F5D3">
        <w:tblPrEx>
          <w:shd w:val="clear" w:color="auto" w:fill="auto"/>
          <w:tblCellMar>
            <w:top w:w="0" w:type="dxa"/>
            <w:left w:w="0" w:type="dxa"/>
            <w:bottom w:w="0" w:type="dxa"/>
            <w:right w:w="0" w:type="dxa"/>
          </w:tblCellMar>
        </w:tblPrEx>
        <w:trPr>
          <w:trHeight w:val="342" w:hRule="atLeast"/>
        </w:trPr>
        <w:tc>
          <w:tcPr>
            <w:tcW w:w="1264" w:type="pct"/>
            <w:gridSpan w:val="2"/>
            <w:vMerge w:val="continue"/>
            <w:tcBorders>
              <w:left w:val="nil"/>
              <w:bottom w:val="nil"/>
              <w:right w:val="nil"/>
            </w:tcBorders>
            <w:shd w:val="clear" w:color="auto" w:fill="auto"/>
            <w:noWrap/>
            <w:tcMar>
              <w:top w:w="15" w:type="dxa"/>
              <w:left w:w="15" w:type="dxa"/>
              <w:right w:w="15" w:type="dxa"/>
            </w:tcMar>
            <w:vAlign w:val="bottom"/>
          </w:tcPr>
          <w:p w14:paraId="7E01E635">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068D345F">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09B10624">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469D9FF3">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5F257F29">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7F3E2A02">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625" w:type="pct"/>
            <w:tcBorders>
              <w:top w:val="nil"/>
              <w:left w:val="nil"/>
              <w:bottom w:val="nil"/>
              <w:right w:val="nil"/>
            </w:tcBorders>
            <w:shd w:val="clear" w:color="auto" w:fill="auto"/>
            <w:noWrap/>
            <w:tcMar>
              <w:top w:w="15" w:type="dxa"/>
              <w:left w:w="15" w:type="dxa"/>
              <w:right w:w="15" w:type="dxa"/>
            </w:tcMar>
            <w:vAlign w:val="bottom"/>
          </w:tcPr>
          <w:p w14:paraId="52584DF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2A15C654">
        <w:tblPrEx>
          <w:shd w:val="clear" w:color="auto" w:fill="auto"/>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F0431A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bottom"/>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E7556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本年支出合计</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D6C5B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基本支出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BB8F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3B12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上缴上级支出</w:t>
            </w:r>
          </w:p>
        </w:tc>
        <w:tc>
          <w:tcPr>
            <w:tcW w:w="62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2BC6A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经营支出</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C7536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对附属单位补助支出</w:t>
            </w:r>
          </w:p>
        </w:tc>
      </w:tr>
      <w:tr w14:paraId="09CFB7FF">
        <w:tblPrEx>
          <w:shd w:val="clear" w:color="auto" w:fill="auto"/>
          <w:tblCellMar>
            <w:top w:w="0" w:type="dxa"/>
            <w:left w:w="0" w:type="dxa"/>
            <w:bottom w:w="0" w:type="dxa"/>
            <w:right w:w="0" w:type="dxa"/>
          </w:tblCellMar>
        </w:tblPrEx>
        <w:trPr>
          <w:trHeight w:val="338" w:hRule="atLeast"/>
        </w:trPr>
        <w:tc>
          <w:tcPr>
            <w:tcW w:w="469"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4C0B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功能分类科目编码</w:t>
            </w:r>
          </w:p>
        </w:tc>
        <w:tc>
          <w:tcPr>
            <w:tcW w:w="795"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6581566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项目（按“项”级功能分类科目）</w:t>
            </w: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306168">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A96F1B">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631824">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3D5CCE">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E7ECF">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10B2F1">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r>
      <w:tr w14:paraId="39F5894B">
        <w:tblPrEx>
          <w:shd w:val="clear" w:color="auto" w:fill="auto"/>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40090">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F94A329">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9FB74B">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181630">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2C5A2">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51D24">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5720F8">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882D89">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r>
      <w:tr w14:paraId="2A123539">
        <w:tblPrEx>
          <w:shd w:val="clear" w:color="auto" w:fill="auto"/>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720298">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C2DA451">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1126B">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16A69C">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E4683B">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2AD425">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B592FA">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907C11">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r>
      <w:tr w14:paraId="721BEAA2">
        <w:tblPrEx>
          <w:shd w:val="clear" w:color="auto" w:fill="auto"/>
          <w:tblCellMar>
            <w:top w:w="0" w:type="dxa"/>
            <w:left w:w="0" w:type="dxa"/>
            <w:bottom w:w="0" w:type="dxa"/>
            <w:right w:w="0" w:type="dxa"/>
          </w:tblCellMar>
        </w:tblPrEx>
        <w:trPr>
          <w:trHeight w:val="338" w:hRule="atLeast"/>
        </w:trPr>
        <w:tc>
          <w:tcPr>
            <w:tcW w:w="469"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F7E38">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795"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7143D7C">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58FD1">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BB8FDD">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B7D7F">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A7E3DF">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12EF45">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C05E94">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r>
      <w:tr w14:paraId="623C6C53">
        <w:tblPrEx>
          <w:shd w:val="clear" w:color="auto" w:fill="auto"/>
          <w:tblCellMar>
            <w:top w:w="0" w:type="dxa"/>
            <w:left w:w="0" w:type="dxa"/>
            <w:bottom w:w="0" w:type="dxa"/>
            <w:right w:w="0" w:type="dxa"/>
          </w:tblCellMar>
        </w:tblPrEx>
        <w:trPr>
          <w:trHeight w:val="362" w:hRule="atLeast"/>
        </w:trPr>
        <w:tc>
          <w:tcPr>
            <w:tcW w:w="126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4893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合计</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BF4D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B4AE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6099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3F00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1B136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C712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556B87C">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75140">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09C23">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社会保障和就业支出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6EB3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7.17</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F914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7.17</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B9AA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838A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19B7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96F5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71301D6">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FDF5">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AD2E1E">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行政事业单位养老支出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F3F9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7.17</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218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7.17</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A68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0694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134C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722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E2E347E">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7A0EE">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2080505</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60372B">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机关事业单位基本养老保险缴费支出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B1AD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4.78</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1332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4.78</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18D4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4B9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1C2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1D9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C55CD87">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1AD23">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2080506</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6B08D">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机关事业单位职业年金缴费支出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6FC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2.39</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B797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2.39</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1746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AEC6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4ED7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936F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C5EDDC7">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9F728">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74AF9">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卫生健康支出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CD1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3.63</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8784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3.63</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A7C8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35B4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58CA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457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15F94D0">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EE11D">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D9CE2">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行政事业单位医疗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E62D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3.63</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2E8B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3.63</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ABC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9FC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6666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43E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69600E6">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61070">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85DB4">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事业单位医疗</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F3A9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2.99</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FF9E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2.99</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416D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7B69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3083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3069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6B0533B">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792D">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2101199</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23E77">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其他行政事业单位医疗支出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B328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0.64</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78C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0.64</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D149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DF5D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D49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059E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B66DB2B">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8C492">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213</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F3781">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农林水支出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B4F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E811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DA8A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F9E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DFE8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8BC9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6259E7A">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4E47">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21301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9BD09">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农业农村</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4A9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9A9C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F204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027C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2FC5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223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D8B9B6A">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82D2">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2130124</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97893">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农村合作经济</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D4FE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6378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9D0A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3431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709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582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5449872">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6D88B">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60180">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住房保障支出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600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1D7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889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9D3D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F0B8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854F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90BC3BA">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5F4E4">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22102</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0A162">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住房改革支出</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A6E6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86B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F27C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644C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2D2D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B43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59E1AF4">
        <w:tblPrEx>
          <w:shd w:val="clear" w:color="auto" w:fill="auto"/>
          <w:tblCellMar>
            <w:top w:w="0" w:type="dxa"/>
            <w:left w:w="0" w:type="dxa"/>
            <w:bottom w:w="0" w:type="dxa"/>
            <w:right w:w="0" w:type="dxa"/>
          </w:tblCellMar>
        </w:tblPrEx>
        <w:trPr>
          <w:trHeight w:val="382" w:hRule="atLeast"/>
        </w:trPr>
        <w:tc>
          <w:tcPr>
            <w:tcW w:w="46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21223">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2210201</w:t>
            </w:r>
          </w:p>
        </w:tc>
        <w:tc>
          <w:tcPr>
            <w:tcW w:w="79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51179">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住房公积金</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CDDA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17F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5A0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DB3B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C95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D36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18"/>
                <w:szCs w:val="18"/>
                <w:u w:val="none"/>
                <w:lang w:val="en-US" w:eastAsia="zh-CN"/>
              </w:rPr>
            </w:pPr>
            <w:r>
              <w:rPr>
                <w:rFonts w:hint="eastAsia" w:ascii="Times New Roman" w:hAnsi="Times New Roman" w:cs="宋体"/>
                <w:b w:val="0"/>
                <w:bCs w:val="0"/>
                <w:color w:val="000000"/>
                <w:sz w:val="21"/>
                <w:szCs w:val="21"/>
                <w:lang w:val="en-US" w:eastAsia="zh-CN" w:bidi="ar"/>
              </w:rPr>
              <w:t xml:space="preserve"> </w:t>
            </w:r>
          </w:p>
        </w:tc>
      </w:tr>
    </w:tbl>
    <w:p w14:paraId="14BB4AAE">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sz w:val="21"/>
          <w:szCs w:val="21"/>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sz w:val="21"/>
          <w:szCs w:val="21"/>
        </w:rPr>
        <w:br w:type="textWrapping"/>
      </w:r>
    </w:p>
    <w:p w14:paraId="131920F7">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page"/>
      </w:r>
    </w:p>
    <w:p w14:paraId="743318DD">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附件4</w:t>
      </w:r>
    </w:p>
    <w:p w14:paraId="4DDF8AD6">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p>
    <w:tbl>
      <w:tblPr>
        <w:tblStyle w:val="6"/>
        <w:tblW w:w="5000" w:type="pct"/>
        <w:tblInd w:w="0" w:type="dxa"/>
        <w:shd w:val="clear" w:color="auto" w:fill="auto"/>
        <w:tblLayout w:type="autofit"/>
        <w:tblCellMar>
          <w:top w:w="0" w:type="dxa"/>
          <w:left w:w="0" w:type="dxa"/>
          <w:bottom w:w="0" w:type="dxa"/>
          <w:right w:w="0" w:type="dxa"/>
        </w:tblCellMar>
      </w:tblPr>
      <w:tblGrid>
        <w:gridCol w:w="3275"/>
        <w:gridCol w:w="2155"/>
        <w:gridCol w:w="3330"/>
        <w:gridCol w:w="1642"/>
        <w:gridCol w:w="1643"/>
        <w:gridCol w:w="1643"/>
        <w:gridCol w:w="1689"/>
      </w:tblGrid>
      <w:tr w14:paraId="10622FE3">
        <w:tblPrEx>
          <w:shd w:val="clear" w:color="auto" w:fill="auto"/>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4FBEA5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bottom"/>
              <w:rPr>
                <w:rFonts w:hint="eastAsia" w:ascii="Times New Roman" w:hAnsi="Times New Roman"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财政拨款收入支出决算总表</w:t>
            </w:r>
          </w:p>
        </w:tc>
      </w:tr>
      <w:tr w14:paraId="0C09B623">
        <w:tblPrEx>
          <w:shd w:val="clear" w:color="auto" w:fill="auto"/>
          <w:tblCellMar>
            <w:top w:w="0" w:type="dxa"/>
            <w:left w:w="0" w:type="dxa"/>
            <w:bottom w:w="0" w:type="dxa"/>
            <w:right w:w="0" w:type="dxa"/>
          </w:tblCellMar>
        </w:tblPrEx>
        <w:trPr>
          <w:trHeight w:val="90" w:hRule="atLeast"/>
        </w:trPr>
        <w:tc>
          <w:tcPr>
            <w:tcW w:w="1507" w:type="pct"/>
            <w:gridSpan w:val="2"/>
            <w:vMerge w:val="restart"/>
            <w:tcBorders>
              <w:top w:val="nil"/>
              <w:left w:val="nil"/>
              <w:right w:val="nil"/>
            </w:tcBorders>
            <w:shd w:val="clear" w:color="auto" w:fill="auto"/>
            <w:noWrap/>
            <w:tcMar>
              <w:top w:w="15" w:type="dxa"/>
              <w:left w:w="15" w:type="dxa"/>
              <w:right w:w="15" w:type="dxa"/>
            </w:tcMar>
            <w:vAlign w:val="bottom"/>
          </w:tcPr>
          <w:p w14:paraId="7E4F8610">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r>
              <w:rPr>
                <w:rFonts w:hint="eastAsia" w:ascii="Times New Roman" w:hAnsi="Times New Roman" w:eastAsiaTheme="minorEastAsia" w:cstheme="minorEastAsia"/>
                <w:b w:val="0"/>
                <w:bCs w:val="0"/>
                <w:sz w:val="24"/>
                <w:szCs w:val="24"/>
                <w:lang w:eastAsia="zh-CN"/>
              </w:rPr>
              <w:t>公开单位</w:t>
            </w:r>
            <w:r>
              <w:rPr>
                <w:rFonts w:hint="eastAsia" w:ascii="Times New Roman" w:hAnsi="Times New Roman" w:eastAsiaTheme="minorEastAsia" w:cstheme="minorEastAsia"/>
                <w:b w:val="0"/>
                <w:bCs w:val="0"/>
                <w:color w:val="000000"/>
                <w:sz w:val="24"/>
                <w:szCs w:val="24"/>
                <w:lang w:bidi="ar"/>
              </w:rPr>
              <w:t xml:space="preserve">： </w:t>
            </w:r>
            <w:r>
              <w:rPr>
                <w:rFonts w:ascii="Times New Roman" w:hAnsi="Times New Roman"/>
                <w:b w:val="0"/>
                <w:bCs w:val="0"/>
                <w:color w:val="000000"/>
                <w:sz w:val="24"/>
                <w:u w:color="auto"/>
              </w:rPr>
              <w:t>重庆市潼南区田家镇产业发展服务中心</w:t>
            </w:r>
          </w:p>
        </w:tc>
        <w:tc>
          <w:tcPr>
            <w:tcW w:w="838" w:type="pct"/>
            <w:tcBorders>
              <w:top w:val="nil"/>
              <w:left w:val="nil"/>
              <w:bottom w:val="nil"/>
              <w:right w:val="nil"/>
            </w:tcBorders>
            <w:shd w:val="clear" w:color="auto" w:fill="auto"/>
            <w:noWrap/>
            <w:tcMar>
              <w:top w:w="15" w:type="dxa"/>
              <w:left w:w="15" w:type="dxa"/>
              <w:right w:w="15" w:type="dxa"/>
            </w:tcMar>
            <w:vAlign w:val="bottom"/>
          </w:tcPr>
          <w:p w14:paraId="0F771A67">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48477F69">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42AD3E4D">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3C677B7F">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673" w:type="pct"/>
            <w:tcBorders>
              <w:top w:val="nil"/>
              <w:left w:val="nil"/>
              <w:bottom w:val="nil"/>
              <w:right w:val="nil"/>
            </w:tcBorders>
            <w:shd w:val="clear" w:color="auto" w:fill="auto"/>
            <w:noWrap/>
            <w:tcMar>
              <w:top w:w="15" w:type="dxa"/>
              <w:left w:w="15" w:type="dxa"/>
              <w:right w:w="15" w:type="dxa"/>
            </w:tcMar>
            <w:vAlign w:val="bottom"/>
          </w:tcPr>
          <w:p w14:paraId="7DC780A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公开04表</w:t>
            </w:r>
          </w:p>
        </w:tc>
      </w:tr>
      <w:tr w14:paraId="3190DBA8">
        <w:tblPrEx>
          <w:shd w:val="clear" w:color="auto" w:fill="auto"/>
          <w:tblCellMar>
            <w:top w:w="0" w:type="dxa"/>
            <w:left w:w="0" w:type="dxa"/>
            <w:bottom w:w="0" w:type="dxa"/>
            <w:right w:w="0" w:type="dxa"/>
          </w:tblCellMar>
        </w:tblPrEx>
        <w:trPr>
          <w:trHeight w:val="90" w:hRule="atLeast"/>
        </w:trPr>
        <w:tc>
          <w:tcPr>
            <w:tcW w:w="1507" w:type="pct"/>
            <w:gridSpan w:val="2"/>
            <w:vMerge w:val="continue"/>
            <w:tcBorders>
              <w:left w:val="nil"/>
              <w:bottom w:val="nil"/>
              <w:right w:val="nil"/>
            </w:tcBorders>
            <w:shd w:val="clear" w:color="auto" w:fill="auto"/>
            <w:noWrap/>
            <w:tcMar>
              <w:top w:w="15" w:type="dxa"/>
              <w:left w:w="15" w:type="dxa"/>
              <w:right w:w="15" w:type="dxa"/>
            </w:tcMar>
            <w:vAlign w:val="bottom"/>
          </w:tcPr>
          <w:p w14:paraId="5BDEAE34">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838" w:type="pct"/>
            <w:tcBorders>
              <w:top w:val="nil"/>
              <w:left w:val="nil"/>
              <w:bottom w:val="nil"/>
              <w:right w:val="nil"/>
            </w:tcBorders>
            <w:shd w:val="clear" w:color="auto" w:fill="auto"/>
            <w:noWrap/>
            <w:tcMar>
              <w:top w:w="15" w:type="dxa"/>
              <w:left w:w="15" w:type="dxa"/>
              <w:right w:w="15" w:type="dxa"/>
            </w:tcMar>
            <w:vAlign w:val="bottom"/>
          </w:tcPr>
          <w:p w14:paraId="1832DFF4">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2B0EAD15">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13E6A04E">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660" w:type="pct"/>
            <w:tcBorders>
              <w:top w:val="nil"/>
              <w:left w:val="nil"/>
              <w:bottom w:val="nil"/>
              <w:right w:val="nil"/>
            </w:tcBorders>
            <w:shd w:val="clear" w:color="auto" w:fill="auto"/>
            <w:noWrap/>
            <w:tcMar>
              <w:top w:w="15" w:type="dxa"/>
              <w:left w:w="15" w:type="dxa"/>
              <w:right w:w="15" w:type="dxa"/>
            </w:tcMar>
            <w:vAlign w:val="bottom"/>
          </w:tcPr>
          <w:p w14:paraId="5BDE9EFB">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673" w:type="pct"/>
            <w:tcBorders>
              <w:top w:val="nil"/>
              <w:left w:val="nil"/>
              <w:bottom w:val="nil"/>
              <w:right w:val="nil"/>
            </w:tcBorders>
            <w:shd w:val="clear" w:color="auto" w:fill="auto"/>
            <w:noWrap/>
            <w:tcMar>
              <w:top w:w="15" w:type="dxa"/>
              <w:left w:w="15" w:type="dxa"/>
              <w:right w:w="15" w:type="dxa"/>
            </w:tcMar>
            <w:vAlign w:val="bottom"/>
          </w:tcPr>
          <w:p w14:paraId="3683D34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011EE25B">
        <w:tblPrEx>
          <w:shd w:val="clear" w:color="auto" w:fill="auto"/>
          <w:tblCellMar>
            <w:top w:w="0" w:type="dxa"/>
            <w:left w:w="0" w:type="dxa"/>
            <w:bottom w:w="0" w:type="dxa"/>
            <w:right w:w="0" w:type="dxa"/>
          </w:tblCellMar>
        </w:tblPrEx>
        <w:trPr>
          <w:trHeight w:val="90" w:hRule="atLeast"/>
        </w:trPr>
        <w:tc>
          <w:tcPr>
            <w:tcW w:w="150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94A5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收     入</w:t>
            </w:r>
          </w:p>
        </w:tc>
        <w:tc>
          <w:tcPr>
            <w:tcW w:w="3492"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1AF6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支     出</w:t>
            </w:r>
          </w:p>
        </w:tc>
      </w:tr>
      <w:tr w14:paraId="6E9D8D36">
        <w:tblPrEx>
          <w:shd w:val="clear" w:color="auto" w:fill="auto"/>
          <w:tblCellMar>
            <w:top w:w="0" w:type="dxa"/>
            <w:left w:w="0" w:type="dxa"/>
            <w:bottom w:w="0" w:type="dxa"/>
            <w:right w:w="0" w:type="dxa"/>
          </w:tblCellMar>
        </w:tblPrEx>
        <w:trPr>
          <w:trHeight w:val="90" w:hRule="atLeast"/>
        </w:trPr>
        <w:tc>
          <w:tcPr>
            <w:tcW w:w="90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52F8B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6C2D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决算数</w:t>
            </w:r>
          </w:p>
        </w:tc>
        <w:tc>
          <w:tcPr>
            <w:tcW w:w="83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00492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功能分类科目</w:t>
            </w:r>
          </w:p>
        </w:tc>
        <w:tc>
          <w:tcPr>
            <w:tcW w:w="2653"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38399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决算数</w:t>
            </w:r>
          </w:p>
        </w:tc>
      </w:tr>
      <w:tr w14:paraId="692DC8B8">
        <w:tblPrEx>
          <w:shd w:val="clear" w:color="auto" w:fill="auto"/>
          <w:tblCellMar>
            <w:top w:w="0" w:type="dxa"/>
            <w:left w:w="0" w:type="dxa"/>
            <w:bottom w:w="0" w:type="dxa"/>
            <w:right w:w="0" w:type="dxa"/>
          </w:tblCellMar>
        </w:tblPrEx>
        <w:trPr>
          <w:trHeight w:val="90" w:hRule="atLeast"/>
        </w:trPr>
        <w:tc>
          <w:tcPr>
            <w:tcW w:w="90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78DD99">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C602E">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83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56AEFE">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9BA5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小计</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E728C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一般公共预算财政拨款</w:t>
            </w:r>
          </w:p>
        </w:tc>
        <w:tc>
          <w:tcPr>
            <w:tcW w:w="660"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2EB6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政府性基金预算财政拨款</w:t>
            </w:r>
          </w:p>
        </w:tc>
        <w:tc>
          <w:tcPr>
            <w:tcW w:w="673"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0F60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国有资本经营预算财政拨款</w:t>
            </w:r>
          </w:p>
        </w:tc>
      </w:tr>
      <w:tr w14:paraId="2A6E72A7">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B6F5C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一、一般公共预算财政拨款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7F2C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C5029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一、一般公共服务支出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A69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4EBD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81B4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5F3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772EAC1">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7129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二、政府性基金预算财政拨款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B47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0F654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二、外交支出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4CB0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9FF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73E6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FB7E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769FD55">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7C9AD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三、国有资本经营预算财政拨款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40F7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44C7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三、国防支出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35F8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8FF2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21C5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B799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801EA63">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FF254">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736347">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25DAF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四、公共安全支出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711A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CD75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1AC4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9E9A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EF5E4EC">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94BA5B">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A31B5A">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8DA7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五、教育支出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3105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5476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B396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DCDD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95198DA">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F83CA">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2F52E8">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42769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六、科学技术支出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7DF9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4CD4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19F3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7377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654C903">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4BA73">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50AB11">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F9D71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七、文化旅游体育与传媒支出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FB2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507B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DFFD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166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83DE0B4">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D4A18">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C4BE40E">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11337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八、社会保障和就业支出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C67E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w:t>
            </w: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897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w:t>
            </w: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901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52F9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2F2CA47">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7DD69F">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D5AC75">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2AC6A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九、卫生健康支出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7C7F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3.63</w:t>
            </w: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19F1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3.63</w:t>
            </w: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FAE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C37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97F4941">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9E0316">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51FBE">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258A0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十、节能环保支出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CF3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F58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E72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B10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149014B">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823DE">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26BA8">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A6D9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十一、城乡社区支出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B3A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490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850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075B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8054F5D">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020EE">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A88D">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8E9C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十二、农林水支出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720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F2A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84F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2C44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97C81F9">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E0365">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0A5AB">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BBA54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十三、交通运输支出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D47D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4C73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DA81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4519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9F43AD6">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8E0081">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BEB5A">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1507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十四、资源勘探工业信息等支出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98B7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BD7D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5912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F9E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A8340D3">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D4BEA">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4178">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4FBB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十五、商业服务业等支出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6614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8AD4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6DD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B1C53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590E83D">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C0BA27">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C932">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38EC6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十六、金融支出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F56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AD2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2B71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C668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241D024">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7A894D">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DB4AA">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53DEB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十七、援助其他地区支出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ABB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98A0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83C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3DA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C95DA25">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5D2C00">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433A3">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795A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十八、自然资源海洋气象等支出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A3E8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3B6A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45C2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3B1E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AF2B09A">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BDFF1">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597C3">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31A3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十九、住房保障支出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4AB9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EF2E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63AF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3C5C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D68EC35">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98059">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31639">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4D3D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二十、粮油物资储备支出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25A5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643C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6F7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3EDD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664A3F2">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4A37EA">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3045">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F83A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二十一、国有资本经营预算支出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A18E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1506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EBFD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47DE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CDCC684">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679BF">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7F9FB">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21125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二十二、灾害防治及应急管理支出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F1F2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FCB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15EE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DF0A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8DAB6DF">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AB1EB9">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E58E0">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EA1C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二十三、其他支出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9827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2AE2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0899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A2E3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9F70BF4">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F8C75D4">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2E5E0">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default" w:ascii="Times New Roman" w:hAnsi="Times New Roman"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E99B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二十四、债务还本支出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6521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01C8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34E8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4666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079EB19">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2D115F6">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0B65A">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default" w:ascii="Times New Roman" w:hAnsi="Times New Roman"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56E63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二十五、债务付息支出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530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3AD1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575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0E8B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17534DE">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49A16C">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A417">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default" w:ascii="Times New Roman" w:hAnsi="Times New Roman" w:eastAsia="宋体" w:cs="Arial"/>
                <w:b w:val="0"/>
                <w:bCs w:val="0"/>
                <w:i w:val="0"/>
                <w:color w:val="000000"/>
                <w:sz w:val="20"/>
                <w:szCs w:val="20"/>
                <w:u w:val="none"/>
              </w:rPr>
            </w:pP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D25B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二十六、抗疫特别国债安排的支出</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B85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84A9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193C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164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9E0A9EB">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D54BE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本年收入合计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6C9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34A6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本年支出合计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BDC8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77CE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1C1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859F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CD2B95F">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7277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年初财政拨款结转和结余</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7BC5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A89B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年末财政拨款结转和结余</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C06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C1A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E9A6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4904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8BA83F1">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5C275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一般公共预算财政拨款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C1BA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1C436F">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8748E5">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E46710A">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4BA827">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AAAD38">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r>
      <w:tr w14:paraId="5898E944">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429E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政府性基金预算财政拨款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55B3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470FCD">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A8541">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23EDA">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30D8C">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0D59D">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r>
      <w:tr w14:paraId="1EC8C681">
        <w:tblPrEx>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AAA1A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国有资本经营预算财政拨款</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7E53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AA8FB4">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2C644">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61D28">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0"/>
                <w:szCs w:val="20"/>
                <w:u w:val="none"/>
              </w:rPr>
            </w:pP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0776C">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0"/>
                <w:szCs w:val="20"/>
                <w:u w:val="none"/>
              </w:rPr>
            </w:pP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A1319">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r>
      <w:tr w14:paraId="195FFAC9">
        <w:tblPrEx>
          <w:shd w:val="clear" w:color="auto" w:fill="auto"/>
          <w:tblCellMar>
            <w:top w:w="0" w:type="dxa"/>
            <w:left w:w="0" w:type="dxa"/>
            <w:bottom w:w="0" w:type="dxa"/>
            <w:right w:w="0" w:type="dxa"/>
          </w:tblCellMar>
        </w:tblPrEx>
        <w:trPr>
          <w:trHeight w:val="90" w:hRule="atLeast"/>
        </w:trPr>
        <w:tc>
          <w:tcPr>
            <w:tcW w:w="90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08A8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总计</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37D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c>
          <w:tcPr>
            <w:tcW w:w="8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3974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总计</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116E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0"/>
                <w:szCs w:val="20"/>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3222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0"/>
                <w:szCs w:val="20"/>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c>
          <w:tcPr>
            <w:tcW w:w="6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FB5F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DF77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bl>
    <w:p w14:paraId="7EC00B07">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sz w:val="21"/>
          <w:szCs w:val="21"/>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sz w:val="21"/>
          <w:szCs w:val="21"/>
        </w:rPr>
        <w:br w:type="textWrapping"/>
      </w:r>
    </w:p>
    <w:p w14:paraId="147971CF">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863"/>
        <w:gridCol w:w="3567"/>
        <w:gridCol w:w="3310"/>
        <w:gridCol w:w="3310"/>
        <w:gridCol w:w="3327"/>
      </w:tblGrid>
      <w:tr w14:paraId="2228D305">
        <w:tblPrEx>
          <w:shd w:val="clear" w:color="auto" w:fill="auto"/>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9D48D2E">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附件5</w:t>
            </w:r>
          </w:p>
          <w:p w14:paraId="77A519D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bottom"/>
              <w:rPr>
                <w:rFonts w:hint="eastAsia" w:ascii="方正小标宋_GBK" w:hAnsi="方正小标宋_GBK" w:eastAsia="方正小标宋_GBK" w:cs="方正小标宋_GBK"/>
                <w:b w:val="0"/>
                <w:bCs w:val="0"/>
                <w:i w:val="0"/>
                <w:color w:val="000000"/>
                <w:kern w:val="0"/>
                <w:sz w:val="44"/>
                <w:szCs w:val="44"/>
                <w:u w:val="none"/>
                <w:lang w:val="en-US" w:eastAsia="zh-CN" w:bidi="ar"/>
              </w:rPr>
            </w:pPr>
          </w:p>
          <w:p w14:paraId="55F3E5C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bottom"/>
              <w:rPr>
                <w:rFonts w:hint="eastAsia" w:ascii="Times New Roman" w:hAnsi="Times New Roman"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一般公共预算财政拨款支出决算表</w:t>
            </w:r>
          </w:p>
        </w:tc>
      </w:tr>
      <w:tr w14:paraId="4432081B">
        <w:tblPrEx>
          <w:shd w:val="clear" w:color="auto" w:fill="auto"/>
          <w:tblCellMar>
            <w:top w:w="0" w:type="dxa"/>
            <w:left w:w="0" w:type="dxa"/>
            <w:bottom w:w="0" w:type="dxa"/>
            <w:right w:w="0" w:type="dxa"/>
          </w:tblCellMar>
        </w:tblPrEx>
        <w:trPr>
          <w:trHeight w:val="255" w:hRule="atLeast"/>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14:paraId="406519F6">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r>
              <w:rPr>
                <w:rFonts w:hint="eastAsia" w:ascii="Times New Roman" w:hAnsi="Times New Roman" w:eastAsiaTheme="minorEastAsia" w:cstheme="minorEastAsia"/>
                <w:b w:val="0"/>
                <w:bCs w:val="0"/>
                <w:sz w:val="24"/>
                <w:szCs w:val="24"/>
                <w:lang w:eastAsia="zh-CN"/>
              </w:rPr>
              <w:t>公开单位</w:t>
            </w:r>
            <w:r>
              <w:rPr>
                <w:rFonts w:hint="eastAsia" w:ascii="Times New Roman" w:hAnsi="Times New Roman" w:eastAsiaTheme="minorEastAsia" w:cstheme="minorEastAsia"/>
                <w:b w:val="0"/>
                <w:bCs w:val="0"/>
                <w:color w:val="000000"/>
                <w:sz w:val="24"/>
                <w:szCs w:val="24"/>
                <w:lang w:bidi="ar"/>
              </w:rPr>
              <w:t xml:space="preserve">： </w:t>
            </w:r>
            <w:r>
              <w:rPr>
                <w:rFonts w:ascii="Times New Roman" w:hAnsi="Times New Roman"/>
                <w:b w:val="0"/>
                <w:bCs w:val="0"/>
                <w:color w:val="000000"/>
                <w:sz w:val="24"/>
                <w:u w:color="auto"/>
              </w:rPr>
              <w:t>重庆市潼南区田家镇产业发展服务中心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3FF491B">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5F5A10C2">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5A029DE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公开05表</w:t>
            </w:r>
          </w:p>
        </w:tc>
      </w:tr>
      <w:tr w14:paraId="4E1FF3EF">
        <w:tblPrEx>
          <w:shd w:val="clear" w:color="auto" w:fill="auto"/>
          <w:tblCellMar>
            <w:top w:w="0" w:type="dxa"/>
            <w:left w:w="0" w:type="dxa"/>
            <w:bottom w:w="0" w:type="dxa"/>
            <w:right w:w="0" w:type="dxa"/>
          </w:tblCellMar>
        </w:tblPrEx>
        <w:trPr>
          <w:trHeight w:val="285" w:hRule="atLeast"/>
        </w:trPr>
        <w:tc>
          <w:tcPr>
            <w:tcW w:w="1758" w:type="pct"/>
            <w:gridSpan w:val="2"/>
            <w:vMerge w:val="continue"/>
            <w:tcBorders>
              <w:left w:val="nil"/>
              <w:bottom w:val="nil"/>
              <w:right w:val="nil"/>
            </w:tcBorders>
            <w:shd w:val="clear" w:color="auto" w:fill="auto"/>
            <w:noWrap/>
            <w:tcMar>
              <w:top w:w="15" w:type="dxa"/>
              <w:left w:w="15" w:type="dxa"/>
              <w:right w:w="15" w:type="dxa"/>
            </w:tcMar>
            <w:vAlign w:val="bottom"/>
          </w:tcPr>
          <w:p w14:paraId="1322AA48">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DB6C9DF">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390681AB">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1081" w:type="pct"/>
            <w:tcBorders>
              <w:top w:val="nil"/>
              <w:left w:val="nil"/>
              <w:bottom w:val="nil"/>
              <w:right w:val="nil"/>
            </w:tcBorders>
            <w:shd w:val="clear" w:color="auto" w:fill="auto"/>
            <w:noWrap/>
            <w:tcMar>
              <w:top w:w="15" w:type="dxa"/>
              <w:left w:w="15" w:type="dxa"/>
              <w:right w:w="15" w:type="dxa"/>
            </w:tcMar>
            <w:vAlign w:val="bottom"/>
          </w:tcPr>
          <w:p w14:paraId="434C4B6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69443B09">
        <w:tblPrEx>
          <w:shd w:val="clear" w:color="auto" w:fill="auto"/>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81BB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w:t>
            </w:r>
          </w:p>
        </w:tc>
        <w:tc>
          <w:tcPr>
            <w:tcW w:w="3241"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A5DB62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本年支出</w:t>
            </w:r>
          </w:p>
        </w:tc>
      </w:tr>
      <w:tr w14:paraId="2F56C0CB">
        <w:tblPrEx>
          <w:shd w:val="clear" w:color="auto" w:fill="auto"/>
          <w:tblCellMar>
            <w:top w:w="0" w:type="dxa"/>
            <w:left w:w="0" w:type="dxa"/>
            <w:bottom w:w="0" w:type="dxa"/>
            <w:right w:w="0" w:type="dxa"/>
          </w:tblCellMar>
        </w:tblPrEx>
        <w:trPr>
          <w:trHeight w:val="308" w:hRule="atLeast"/>
        </w:trPr>
        <w:tc>
          <w:tcPr>
            <w:tcW w:w="60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AD04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777AE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F1D86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5BF08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基本支出</w:t>
            </w:r>
          </w:p>
        </w:tc>
        <w:tc>
          <w:tcPr>
            <w:tcW w:w="10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A7FCA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项目支出</w:t>
            </w:r>
          </w:p>
        </w:tc>
      </w:tr>
      <w:tr w14:paraId="20A4845D">
        <w:tblPrEx>
          <w:shd w:val="clear" w:color="auto" w:fill="auto"/>
          <w:tblCellMar>
            <w:top w:w="0" w:type="dxa"/>
            <w:left w:w="0" w:type="dxa"/>
            <w:bottom w:w="0" w:type="dxa"/>
            <w:right w:w="0" w:type="dxa"/>
          </w:tblCellMar>
        </w:tblPrEx>
        <w:trPr>
          <w:trHeight w:val="278"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A89FD3">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590439">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95BE62">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B3C88D3">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A6150F">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r>
      <w:tr w14:paraId="68831A44">
        <w:tblPrEx>
          <w:shd w:val="clear" w:color="auto" w:fill="auto"/>
          <w:tblCellMar>
            <w:top w:w="0" w:type="dxa"/>
            <w:left w:w="0" w:type="dxa"/>
            <w:bottom w:w="0" w:type="dxa"/>
            <w:right w:w="0" w:type="dxa"/>
          </w:tblCellMar>
        </w:tblPrEx>
        <w:trPr>
          <w:trHeight w:val="615" w:hRule="atLeast"/>
        </w:trPr>
        <w:tc>
          <w:tcPr>
            <w:tcW w:w="60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ADAEA">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D1C10E">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6384A0">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5B6BB7">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0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7494AB">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r>
      <w:tr w14:paraId="417D117F">
        <w:tblPrEx>
          <w:shd w:val="clear" w:color="auto" w:fill="auto"/>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9EA9F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1504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A972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71.77</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8BED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21AFFE7">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C5C06">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A983F">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E816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9379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86D3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F4870E9">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9EF4">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BC691">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A57E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ED10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7.17</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D5BF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A724BAB">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8D44B">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0A831">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D89BB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4.78</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18B1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4.78</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1B3B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34A664E">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02C8">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F7E39">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82B2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2.39</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5EC2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2.39</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5AB58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7B62E9A">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652C">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79C55">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4BCE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3.63</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D77F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3.63</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CE37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79E8767">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D695">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A3475">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29E6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3.63</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EB8E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3.63</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CCE5C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FA6ED9B">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0624">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B1907">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9848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2.99</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9D41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2.99</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96E2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F18BB95">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EAEF">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3B569">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44C0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0.64</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789A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0.64</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C8B8D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9E2EE15">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A5708">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8C6D3">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ADB4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D4F5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0C93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2A8DA63">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8B050">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44D6E">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7814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5752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783D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EE22B77">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B69FF">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2130124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0D10CF">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农村合作经济</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4E3A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8985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56.86</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A4BF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D3DA82E">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7C278">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3BA5A">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F69B5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B0A44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1870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AD2F3DD">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E6DD">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7F218">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17AD9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637C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C7AD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9E2D962">
        <w:tblPrEx>
          <w:shd w:val="clear" w:color="auto" w:fill="auto"/>
          <w:tblCellMar>
            <w:top w:w="0" w:type="dxa"/>
            <w:left w:w="0" w:type="dxa"/>
            <w:bottom w:w="0" w:type="dxa"/>
            <w:right w:w="0" w:type="dxa"/>
          </w:tblCellMar>
        </w:tblPrEx>
        <w:trPr>
          <w:trHeight w:val="308"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E3850">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9BD4E">
            <w:pPr>
              <w:keepNext w:val="0"/>
              <w:keepLines w:val="0"/>
              <w:pageBreakBefore w:val="0"/>
              <w:widowControl/>
              <w:kinsoku/>
              <w:overflowPunct/>
              <w:topLinePunct w:val="0"/>
              <w:autoSpaceDN/>
              <w:bidi w:val="0"/>
              <w:adjustRightInd/>
              <w:spacing w:beforeAutospacing="0" w:afterAutospacing="0" w:line="600" w:lineRule="exact"/>
              <w:ind w:left="0" w:leftChars="0"/>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color w:val="000000"/>
                <w:sz w:val="21"/>
                <w:szCs w:val="21"/>
                <w:lang w:bidi="ar"/>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A4880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7B933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108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7295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bl>
    <w:p w14:paraId="54309B0C">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sz w:val="21"/>
          <w:szCs w:val="21"/>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sz w:val="21"/>
          <w:szCs w:val="21"/>
        </w:rPr>
        <w:br w:type="textWrapping"/>
      </w:r>
    </w:p>
    <w:p w14:paraId="0BB1AD24">
      <w:pPr>
        <w:keepNext w:val="0"/>
        <w:keepLines w:val="0"/>
        <w:pageBreakBefore w:val="0"/>
        <w:widowControl/>
        <w:numPr>
          <w:ilvl w:val="0"/>
          <w:numId w:val="0"/>
        </w:numPr>
        <w:kinsoku/>
        <w:overflowPunct/>
        <w:topLinePunct w:val="0"/>
        <w:autoSpaceDN/>
        <w:bidi w:val="0"/>
        <w:adjustRightInd/>
        <w:spacing w:beforeAutospacing="0" w:afterAutospacing="0" w:line="600" w:lineRule="exact"/>
        <w:ind w:left="0" w:leftChars="0" w:firstLine="630" w:firstLineChars="300"/>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1463"/>
        <w:gridCol w:w="3967"/>
        <w:gridCol w:w="719"/>
        <w:gridCol w:w="580"/>
        <w:gridCol w:w="2230"/>
        <w:gridCol w:w="398"/>
        <w:gridCol w:w="580"/>
        <w:gridCol w:w="4210"/>
        <w:gridCol w:w="1230"/>
      </w:tblGrid>
      <w:tr w14:paraId="72586486">
        <w:tblPrEx>
          <w:shd w:val="clear" w:color="auto" w:fill="auto"/>
          <w:tblCellMar>
            <w:top w:w="0" w:type="dxa"/>
            <w:left w:w="0" w:type="dxa"/>
            <w:bottom w:w="0" w:type="dxa"/>
            <w:right w:w="0" w:type="dxa"/>
          </w:tblCellMar>
        </w:tblPrEx>
        <w:trPr>
          <w:trHeight w:val="5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042AB1A">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附件6</w:t>
            </w:r>
          </w:p>
          <w:p w14:paraId="7B1E278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bottom"/>
              <w:rPr>
                <w:rFonts w:hint="eastAsia" w:ascii="方正小标宋_GBK" w:hAnsi="方正小标宋_GBK" w:eastAsia="方正小标宋_GBK" w:cs="方正小标宋_GBK"/>
                <w:b w:val="0"/>
                <w:bCs w:val="0"/>
                <w:i w:val="0"/>
                <w:color w:val="000000"/>
                <w:kern w:val="0"/>
                <w:sz w:val="44"/>
                <w:szCs w:val="44"/>
                <w:u w:val="none"/>
                <w:lang w:val="en-US" w:eastAsia="zh-CN" w:bidi="ar"/>
              </w:rPr>
            </w:pPr>
          </w:p>
          <w:p w14:paraId="3803A7F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bottom"/>
              <w:rPr>
                <w:rFonts w:hint="eastAsia" w:ascii="Times New Roman" w:hAnsi="Times New Roman"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一般公共预算财政拨款基本支出决算表</w:t>
            </w:r>
          </w:p>
        </w:tc>
      </w:tr>
      <w:tr w14:paraId="23C47804">
        <w:tblPrEx>
          <w:shd w:val="clear" w:color="auto" w:fill="auto"/>
          <w:tblCellMar>
            <w:top w:w="0" w:type="dxa"/>
            <w:left w:w="0" w:type="dxa"/>
            <w:bottom w:w="0" w:type="dxa"/>
            <w:right w:w="0" w:type="dxa"/>
          </w:tblCellMar>
        </w:tblPrEx>
        <w:trPr>
          <w:trHeight w:val="302" w:hRule="atLeast"/>
        </w:trPr>
        <w:tc>
          <w:tcPr>
            <w:tcW w:w="1073" w:type="pct"/>
            <w:gridSpan w:val="2"/>
            <w:vMerge w:val="restart"/>
            <w:tcBorders>
              <w:top w:val="nil"/>
              <w:left w:val="nil"/>
              <w:right w:val="nil"/>
            </w:tcBorders>
            <w:shd w:val="clear" w:color="auto" w:fill="auto"/>
            <w:noWrap/>
            <w:tcMar>
              <w:top w:w="15" w:type="dxa"/>
              <w:left w:w="15" w:type="dxa"/>
              <w:right w:w="15" w:type="dxa"/>
            </w:tcMar>
            <w:vAlign w:val="bottom"/>
          </w:tcPr>
          <w:p w14:paraId="0095902A">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r>
              <w:rPr>
                <w:rFonts w:hint="eastAsia" w:ascii="Times New Roman" w:hAnsi="Times New Roman" w:eastAsiaTheme="minorEastAsia" w:cstheme="minorEastAsia"/>
                <w:b w:val="0"/>
                <w:bCs w:val="0"/>
                <w:sz w:val="24"/>
                <w:szCs w:val="24"/>
                <w:lang w:eastAsia="zh-CN"/>
              </w:rPr>
              <w:t>公开单位</w:t>
            </w:r>
            <w:r>
              <w:rPr>
                <w:rFonts w:hint="eastAsia" w:ascii="Times New Roman" w:hAnsi="Times New Roman" w:eastAsiaTheme="minorEastAsia" w:cstheme="minorEastAsia"/>
                <w:b w:val="0"/>
                <w:bCs w:val="0"/>
                <w:color w:val="000000"/>
                <w:sz w:val="24"/>
                <w:szCs w:val="24"/>
                <w:lang w:bidi="ar"/>
              </w:rPr>
              <w:t xml:space="preserve">： </w:t>
            </w:r>
            <w:r>
              <w:rPr>
                <w:rFonts w:ascii="Times New Roman" w:hAnsi="Times New Roman"/>
                <w:b w:val="0"/>
                <w:bCs w:val="0"/>
                <w:color w:val="000000"/>
                <w:sz w:val="24"/>
                <w:u w:color="auto"/>
              </w:rPr>
              <w:t>重庆市潼南区田家镇产业发展服务中心</w:t>
            </w:r>
          </w:p>
        </w:tc>
        <w:tc>
          <w:tcPr>
            <w:tcW w:w="634" w:type="pct"/>
            <w:tcBorders>
              <w:top w:val="nil"/>
              <w:left w:val="nil"/>
              <w:bottom w:val="nil"/>
              <w:right w:val="nil"/>
            </w:tcBorders>
            <w:shd w:val="clear" w:color="auto" w:fill="auto"/>
            <w:noWrap/>
            <w:tcMar>
              <w:top w:w="15" w:type="dxa"/>
              <w:left w:w="15" w:type="dxa"/>
              <w:right w:w="15" w:type="dxa"/>
            </w:tcMar>
            <w:vAlign w:val="bottom"/>
          </w:tcPr>
          <w:p w14:paraId="58054084">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251" w:type="pct"/>
            <w:tcBorders>
              <w:top w:val="nil"/>
              <w:left w:val="nil"/>
              <w:bottom w:val="nil"/>
              <w:right w:val="nil"/>
            </w:tcBorders>
            <w:shd w:val="clear" w:color="auto" w:fill="auto"/>
            <w:noWrap/>
            <w:tcMar>
              <w:top w:w="15" w:type="dxa"/>
              <w:left w:w="15" w:type="dxa"/>
              <w:right w:w="15" w:type="dxa"/>
            </w:tcMar>
            <w:vAlign w:val="bottom"/>
          </w:tcPr>
          <w:p w14:paraId="5C2E4A9F">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522" w:type="pct"/>
            <w:tcBorders>
              <w:top w:val="nil"/>
              <w:left w:val="nil"/>
              <w:bottom w:val="nil"/>
              <w:right w:val="nil"/>
            </w:tcBorders>
            <w:shd w:val="clear" w:color="auto" w:fill="auto"/>
            <w:noWrap/>
            <w:tcMar>
              <w:top w:w="15" w:type="dxa"/>
              <w:left w:w="15" w:type="dxa"/>
              <w:right w:w="15" w:type="dxa"/>
            </w:tcMar>
            <w:vAlign w:val="bottom"/>
          </w:tcPr>
          <w:p w14:paraId="647A6C12">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616" w:type="pct"/>
            <w:tcBorders>
              <w:top w:val="nil"/>
              <w:left w:val="nil"/>
              <w:bottom w:val="nil"/>
              <w:right w:val="nil"/>
            </w:tcBorders>
            <w:shd w:val="clear" w:color="auto" w:fill="auto"/>
            <w:noWrap/>
            <w:tcMar>
              <w:top w:w="15" w:type="dxa"/>
              <w:left w:w="15" w:type="dxa"/>
              <w:right w:w="15" w:type="dxa"/>
            </w:tcMar>
            <w:vAlign w:val="bottom"/>
          </w:tcPr>
          <w:p w14:paraId="230D6A2E">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338" w:type="pct"/>
            <w:tcBorders>
              <w:top w:val="nil"/>
              <w:left w:val="nil"/>
              <w:bottom w:val="nil"/>
              <w:right w:val="nil"/>
            </w:tcBorders>
            <w:shd w:val="clear" w:color="auto" w:fill="auto"/>
            <w:noWrap/>
            <w:tcMar>
              <w:top w:w="15" w:type="dxa"/>
              <w:left w:w="15" w:type="dxa"/>
              <w:right w:w="15" w:type="dxa"/>
            </w:tcMar>
            <w:vAlign w:val="bottom"/>
          </w:tcPr>
          <w:p w14:paraId="75916382">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1001" w:type="pct"/>
            <w:tcBorders>
              <w:top w:val="nil"/>
              <w:left w:val="nil"/>
              <w:bottom w:val="nil"/>
              <w:right w:val="nil"/>
            </w:tcBorders>
            <w:shd w:val="clear" w:color="auto" w:fill="auto"/>
            <w:noWrap/>
            <w:tcMar>
              <w:top w:w="15" w:type="dxa"/>
              <w:left w:w="15" w:type="dxa"/>
              <w:right w:w="15" w:type="dxa"/>
            </w:tcMar>
            <w:vAlign w:val="bottom"/>
          </w:tcPr>
          <w:p w14:paraId="27B7006D">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6C4C171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公开06表</w:t>
            </w:r>
          </w:p>
        </w:tc>
      </w:tr>
      <w:tr w14:paraId="4E47F967">
        <w:tblPrEx>
          <w:shd w:val="clear" w:color="auto" w:fill="auto"/>
          <w:tblCellMar>
            <w:top w:w="0" w:type="dxa"/>
            <w:left w:w="0" w:type="dxa"/>
            <w:bottom w:w="0" w:type="dxa"/>
            <w:right w:w="0" w:type="dxa"/>
          </w:tblCellMar>
        </w:tblPrEx>
        <w:trPr>
          <w:trHeight w:val="302" w:hRule="atLeast"/>
        </w:trPr>
        <w:tc>
          <w:tcPr>
            <w:tcW w:w="1073" w:type="pct"/>
            <w:gridSpan w:val="2"/>
            <w:vMerge w:val="continue"/>
            <w:tcBorders>
              <w:left w:val="nil"/>
              <w:bottom w:val="nil"/>
              <w:right w:val="nil"/>
            </w:tcBorders>
            <w:shd w:val="clear" w:color="auto" w:fill="auto"/>
            <w:noWrap/>
            <w:tcMar>
              <w:top w:w="15" w:type="dxa"/>
              <w:left w:w="15" w:type="dxa"/>
              <w:right w:w="15" w:type="dxa"/>
            </w:tcMar>
            <w:vAlign w:val="bottom"/>
          </w:tcPr>
          <w:p w14:paraId="7EDFE300">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634" w:type="pct"/>
            <w:tcBorders>
              <w:top w:val="nil"/>
              <w:left w:val="nil"/>
              <w:bottom w:val="nil"/>
              <w:right w:val="nil"/>
            </w:tcBorders>
            <w:shd w:val="clear" w:color="auto" w:fill="auto"/>
            <w:noWrap/>
            <w:tcMar>
              <w:top w:w="15" w:type="dxa"/>
              <w:left w:w="15" w:type="dxa"/>
              <w:right w:w="15" w:type="dxa"/>
            </w:tcMar>
            <w:vAlign w:val="bottom"/>
          </w:tcPr>
          <w:p w14:paraId="53C58A9B">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251" w:type="pct"/>
            <w:tcBorders>
              <w:top w:val="nil"/>
              <w:left w:val="nil"/>
              <w:bottom w:val="nil"/>
              <w:right w:val="nil"/>
            </w:tcBorders>
            <w:shd w:val="clear" w:color="auto" w:fill="auto"/>
            <w:noWrap/>
            <w:tcMar>
              <w:top w:w="15" w:type="dxa"/>
              <w:left w:w="15" w:type="dxa"/>
              <w:right w:w="15" w:type="dxa"/>
            </w:tcMar>
            <w:vAlign w:val="bottom"/>
          </w:tcPr>
          <w:p w14:paraId="45F62C74">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522" w:type="pct"/>
            <w:tcBorders>
              <w:top w:val="nil"/>
              <w:left w:val="nil"/>
              <w:bottom w:val="nil"/>
              <w:right w:val="nil"/>
            </w:tcBorders>
            <w:shd w:val="clear" w:color="auto" w:fill="auto"/>
            <w:noWrap/>
            <w:tcMar>
              <w:top w:w="15" w:type="dxa"/>
              <w:left w:w="15" w:type="dxa"/>
              <w:right w:w="15" w:type="dxa"/>
            </w:tcMar>
            <w:vAlign w:val="bottom"/>
          </w:tcPr>
          <w:p w14:paraId="617384FE">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616" w:type="pct"/>
            <w:tcBorders>
              <w:top w:val="nil"/>
              <w:left w:val="nil"/>
              <w:bottom w:val="nil"/>
              <w:right w:val="nil"/>
            </w:tcBorders>
            <w:shd w:val="clear" w:color="auto" w:fill="auto"/>
            <w:noWrap/>
            <w:tcMar>
              <w:top w:w="15" w:type="dxa"/>
              <w:left w:w="15" w:type="dxa"/>
              <w:right w:w="15" w:type="dxa"/>
            </w:tcMar>
            <w:vAlign w:val="bottom"/>
          </w:tcPr>
          <w:p w14:paraId="0C4765B3">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338" w:type="pct"/>
            <w:tcBorders>
              <w:top w:val="nil"/>
              <w:left w:val="nil"/>
              <w:bottom w:val="nil"/>
              <w:right w:val="nil"/>
            </w:tcBorders>
            <w:shd w:val="clear" w:color="auto" w:fill="auto"/>
            <w:noWrap/>
            <w:tcMar>
              <w:top w:w="15" w:type="dxa"/>
              <w:left w:w="15" w:type="dxa"/>
              <w:right w:w="15" w:type="dxa"/>
            </w:tcMar>
            <w:vAlign w:val="bottom"/>
          </w:tcPr>
          <w:p w14:paraId="40681FAC">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1001" w:type="pct"/>
            <w:tcBorders>
              <w:top w:val="nil"/>
              <w:left w:val="nil"/>
              <w:bottom w:val="nil"/>
              <w:right w:val="nil"/>
            </w:tcBorders>
            <w:shd w:val="clear" w:color="auto" w:fill="auto"/>
            <w:noWrap/>
            <w:tcMar>
              <w:top w:w="15" w:type="dxa"/>
              <w:left w:w="15" w:type="dxa"/>
              <w:right w:w="15" w:type="dxa"/>
            </w:tcMar>
            <w:vAlign w:val="bottom"/>
          </w:tcPr>
          <w:p w14:paraId="39F53A6F">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560" w:type="pct"/>
            <w:tcBorders>
              <w:top w:val="nil"/>
              <w:left w:val="nil"/>
              <w:bottom w:val="nil"/>
              <w:right w:val="nil"/>
            </w:tcBorders>
            <w:shd w:val="clear" w:color="auto" w:fill="auto"/>
            <w:noWrap/>
            <w:tcMar>
              <w:top w:w="15" w:type="dxa"/>
              <w:left w:w="15" w:type="dxa"/>
              <w:right w:w="15" w:type="dxa"/>
            </w:tcMar>
            <w:vAlign w:val="bottom"/>
          </w:tcPr>
          <w:p w14:paraId="186B328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3EB4B55A">
        <w:tblPrEx>
          <w:shd w:val="clear" w:color="auto" w:fill="auto"/>
          <w:tblCellMar>
            <w:top w:w="0" w:type="dxa"/>
            <w:left w:w="0" w:type="dxa"/>
            <w:bottom w:w="0" w:type="dxa"/>
            <w:right w:w="0" w:type="dxa"/>
          </w:tblCellMar>
        </w:tblPrEx>
        <w:trPr>
          <w:trHeight w:val="311" w:hRule="atLeast"/>
        </w:trPr>
        <w:tc>
          <w:tcPr>
            <w:tcW w:w="1708"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67061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人员经费</w:t>
            </w:r>
          </w:p>
        </w:tc>
        <w:tc>
          <w:tcPr>
            <w:tcW w:w="3291"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5EB194B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公用经费</w:t>
            </w:r>
          </w:p>
        </w:tc>
      </w:tr>
      <w:tr w14:paraId="0131D6A3">
        <w:tblPrEx>
          <w:shd w:val="clear" w:color="auto" w:fill="auto"/>
          <w:tblCellMar>
            <w:top w:w="0" w:type="dxa"/>
            <w:left w:w="0" w:type="dxa"/>
            <w:bottom w:w="0" w:type="dxa"/>
            <w:right w:w="0" w:type="dxa"/>
          </w:tblCellMar>
        </w:tblPrEx>
        <w:trPr>
          <w:trHeight w:val="312" w:hRule="atLeast"/>
        </w:trPr>
        <w:tc>
          <w:tcPr>
            <w:tcW w:w="289"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4F34A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经济分类科目编码</w:t>
            </w:r>
          </w:p>
        </w:tc>
        <w:tc>
          <w:tcPr>
            <w:tcW w:w="7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F7F6B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经济分类科目（按“款”级功能分类科目）</w:t>
            </w:r>
          </w:p>
        </w:tc>
        <w:tc>
          <w:tcPr>
            <w:tcW w:w="63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4996A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cs="宋体"/>
                <w:b w:val="0"/>
                <w:bCs w:val="0"/>
                <w:i w:val="0"/>
                <w:color w:val="000000"/>
                <w:kern w:val="0"/>
                <w:sz w:val="22"/>
                <w:szCs w:val="22"/>
                <w:u w:val="none"/>
                <w:lang w:val="en-US" w:eastAsia="zh-CN" w:bidi="ar"/>
              </w:rPr>
              <w:t>金额</w:t>
            </w:r>
          </w:p>
        </w:tc>
        <w:tc>
          <w:tcPr>
            <w:tcW w:w="25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19AD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经济分类科目编码</w:t>
            </w:r>
          </w:p>
        </w:tc>
        <w:tc>
          <w:tcPr>
            <w:tcW w:w="52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76F11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经济分类科目（按“款”级功能分类科目）</w:t>
            </w:r>
          </w:p>
        </w:tc>
        <w:tc>
          <w:tcPr>
            <w:tcW w:w="61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BE379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cs="宋体"/>
                <w:b w:val="0"/>
                <w:bCs w:val="0"/>
                <w:i w:val="0"/>
                <w:color w:val="000000"/>
                <w:kern w:val="0"/>
                <w:sz w:val="22"/>
                <w:szCs w:val="22"/>
                <w:u w:val="none"/>
                <w:lang w:val="en-US" w:eastAsia="zh-CN" w:bidi="ar"/>
              </w:rPr>
              <w:t>金额</w:t>
            </w:r>
          </w:p>
        </w:tc>
        <w:tc>
          <w:tcPr>
            <w:tcW w:w="33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6B120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经济分类科目编码</w:t>
            </w:r>
          </w:p>
        </w:tc>
        <w:tc>
          <w:tcPr>
            <w:tcW w:w="100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DE612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经济分类科目（按“款”级功能分类科目）</w:t>
            </w:r>
          </w:p>
        </w:tc>
        <w:tc>
          <w:tcPr>
            <w:tcW w:w="56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359DC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cs="宋体"/>
                <w:b w:val="0"/>
                <w:bCs w:val="0"/>
                <w:i w:val="0"/>
                <w:color w:val="000000"/>
                <w:kern w:val="0"/>
                <w:sz w:val="22"/>
                <w:szCs w:val="22"/>
                <w:u w:val="none"/>
                <w:lang w:val="en-US" w:eastAsia="zh-CN" w:bidi="ar"/>
              </w:rPr>
              <w:t>金额</w:t>
            </w:r>
          </w:p>
        </w:tc>
      </w:tr>
      <w:tr w14:paraId="1AC03362">
        <w:tblPrEx>
          <w:shd w:val="clear" w:color="auto" w:fill="auto"/>
          <w:tblCellMar>
            <w:top w:w="0" w:type="dxa"/>
            <w:left w:w="0" w:type="dxa"/>
            <w:bottom w:w="0" w:type="dxa"/>
            <w:right w:w="0" w:type="dxa"/>
          </w:tblCellMar>
        </w:tblPrEx>
        <w:trPr>
          <w:trHeight w:val="799" w:hRule="atLeast"/>
        </w:trPr>
        <w:tc>
          <w:tcPr>
            <w:tcW w:w="289"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2D76B">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7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D76AC2">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3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E21CE4">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25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000C54">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2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52CF3C">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61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F29988">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33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A0A720">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00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D6859A">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6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D4E8BE">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r>
      <w:tr w14:paraId="2FE47E2B">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507B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E5614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9B09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66.73</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8842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8104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D86B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5.04</w:t>
            </w: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A881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B71E8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003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D50B2F5">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EF051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02BB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基本工资</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162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16.58</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6F317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FBBE5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办公费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EDF2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0.04</w:t>
            </w: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B083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31001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F3E1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房屋建筑物购建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DD86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E480E23">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EB53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30102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D74C2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津贴补贴</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A8D9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1.65</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18D9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BB06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印刷费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BD8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32E94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31002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2A101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办公设备购置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AAC2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161CF0A">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37FA5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E6BE5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奖金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A04E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FDA8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64357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咨询费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5494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19244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31003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7BF10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专用设备购置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A4D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34176A1">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08181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30106</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5BD3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伙食补助费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C5D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92B0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0E53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手续费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DCBD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F2821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31005</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3E31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基础设施建设</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093F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F8EBA6B">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1E1A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30107</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A8670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绩效工资</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660F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33.35</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B7DC3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BF82D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水费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722B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0.02</w:t>
            </w: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1B00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31006</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0EA64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大型修缮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FDCE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F9A0013">
        <w:tblPrEx>
          <w:shd w:val="clear" w:color="auto" w:fill="auto"/>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E591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30108</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731B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机关事业单位基本养老保险缴费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1F93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4.78</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8610B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1A0C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9C6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0.02</w:t>
            </w: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A9E3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31007</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58D3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信息网络及软件购置更新</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0DCD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FCA2C21">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9E9D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30109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49B8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职业年金缴费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D0C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2.39</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51A3F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A84F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邮电费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B5F3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408E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31008</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750D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物资储备</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C37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B21A70A">
        <w:tblPrEx>
          <w:shd w:val="clear" w:color="auto" w:fill="auto"/>
          <w:tblCellMar>
            <w:top w:w="0" w:type="dxa"/>
            <w:left w:w="0" w:type="dxa"/>
            <w:bottom w:w="0" w:type="dxa"/>
            <w:right w:w="0" w:type="dxa"/>
          </w:tblCellMar>
        </w:tblPrEx>
        <w:trPr>
          <w:trHeight w:val="364"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17A3E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30110</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3EA1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职工基本医疗保险缴费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F6CD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2.54</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2AE35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D3F9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取暖费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1A5A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9F4F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31009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980E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土地补偿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1996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E9F8D53">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88B3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30111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42C1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公务员医疗补助缴费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4303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1C36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30209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49A8C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物业管理费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580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4B6F4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1D4CF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安置补助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75BC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E909931">
        <w:tblPrEx>
          <w:shd w:val="clear" w:color="auto" w:fill="auto"/>
          <w:tblCellMar>
            <w:top w:w="0" w:type="dxa"/>
            <w:left w:w="0" w:type="dxa"/>
            <w:bottom w:w="0" w:type="dxa"/>
            <w:right w:w="0" w:type="dxa"/>
          </w:tblCellMar>
        </w:tblPrEx>
        <w:trPr>
          <w:trHeight w:val="333"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0A8A9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30112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7F14F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其他社会保障缴费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E814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0.69</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698E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30211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EE1C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差旅费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3BF9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4.60</w:t>
            </w: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4779D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31011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3913B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地上附着物和青苗补偿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55D4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6AB41ED">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952A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30113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23D81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住房公积金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2C76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4.11</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D137B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30212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C41D3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因公出国（境）费用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67E0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74CE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31012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A9DC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拆迁补偿</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BD2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D7C16A0">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C9EB0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30114</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DEE13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医疗费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6ECA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0.64</w:t>
            </w: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22C2F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30213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C2134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维修（护）费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A139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3157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31013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9EFC9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公务用车购置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39EA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F61FDE7">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7D36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30199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90AC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其他工资福利支出</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9061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A5FD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30214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EDBAD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租赁费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52A3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221CD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31019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9C149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其他交通工具购置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B1B4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C05C525">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74E4C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D3AE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079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8CBA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30215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FA836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会议费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C497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846F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31021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6DF9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文物和陈列品购置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257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A3D8824">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0C94F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50DB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离休费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E5A6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A4167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30216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C1650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培训费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A0AC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983B1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31022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94AD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无形资产购置</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A0F4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A5AE6E1">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8E46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30302</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9FC62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退休费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94C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5CD43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30217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3533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公务接待费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6A6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1242B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31099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63562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其他资本性支出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91A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D8C56B6">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CF1E4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30303</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4FB4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退职（役）费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7D01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D546B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30218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A8CC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专用材料费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38C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EEBC5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312</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1488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916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2FC5CAD">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7ECD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30304</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0EB9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抚恤金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6FF6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9D78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30224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0A47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被装购置费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E97D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B47A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31201</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F5025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资本金注入</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5F30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D9F43CC">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F9337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30305</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21B2A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生活补助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737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95BD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30225</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FB5DB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专用燃料费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0525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E69D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31203</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71D0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政府投资基金股权投资</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685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29171DA">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523E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30306</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C8FC4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救济费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6F4B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DB1D5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30226</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14CA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劳务费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6F9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9D123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31204</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21DB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费用补贴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C5F1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3182C7C">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9411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30307</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4ADC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医疗费补助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5CB1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C0E55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30227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DEB7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委托业务费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898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A24C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31205</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6D10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利息补贴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FDC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5B42CEE">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54A64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30308</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31B6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助学金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EACC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B1B15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30228</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567E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工会经费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F940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0.36</w:t>
            </w: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6864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31299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E679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其他对企业补助</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458A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46B4F2A">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57C13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30309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AAF4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奖励金</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773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CC64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30229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4275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福利费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6C7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8FB36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BE55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5F5E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EEC9533">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75C61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30310</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8B34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个人农业生产补贴</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2CE3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B25E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30231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9FE7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公务用车运行维护费</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B046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131B3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39907</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B5636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国家赔偿费用支出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1C3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15C457B">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CD92B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30311</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0CB78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代缴社会保险费</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5B8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56304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30239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5831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其他交通费用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852B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C2B2F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39908</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08250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对民间非营利组织和群众性自治组织补贴</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3638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9CFE6D0">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EA82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30399</w:t>
            </w: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B6C3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其他对个人和家庭的补助</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0E6A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6562D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30240</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C81DA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税金及附加费用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CA4E2">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EE706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39909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51254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经常性赠与</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E0FAB">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6486AB1">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77F8D1">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752924">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7AF8F6">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4FA08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30299</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C54D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其他商品和服务支出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D483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3616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39910</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3F7B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资本性赠与</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B7E65">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33AC8FA">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7DD0F">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7FBB5E">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C08B12">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9A689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307</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0B83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债务利息及费用支出</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CB13E">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7659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39999</w:t>
            </w: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27077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其他支出</w:t>
            </w: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3C89E">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1CA18B6">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80A4C">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F79C47">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937913">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5497E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30701</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C75EE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国内债务付息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93EFF">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AD1E6">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00D939">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61308">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r>
      <w:tr w14:paraId="0A7F8334">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E64BE">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E731A6">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F7E111">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83792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30702</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45CF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国外债务付息</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EDC57">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5C069">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02918">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37B84">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r>
      <w:tr w14:paraId="5127E597">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CE3D44">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7357C">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A37AD3">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FC99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30703</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BFB0D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国内债务发行费用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7703">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BC898">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113B2F">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BB667">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r>
      <w:tr w14:paraId="66E50BA2">
        <w:tblPrEx>
          <w:shd w:val="clear" w:color="auto" w:fill="auto"/>
          <w:tblCellMar>
            <w:top w:w="0" w:type="dxa"/>
            <w:left w:w="0" w:type="dxa"/>
            <w:bottom w:w="0" w:type="dxa"/>
            <w:right w:w="0" w:type="dxa"/>
          </w:tblCellMar>
        </w:tblPrEx>
        <w:trPr>
          <w:trHeight w:val="311" w:hRule="atLeast"/>
        </w:trPr>
        <w:tc>
          <w:tcPr>
            <w:tcW w:w="28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D0AC7">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78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E982E">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EA4AF4">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25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4E618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30704</w:t>
            </w:r>
          </w:p>
        </w:tc>
        <w:tc>
          <w:tcPr>
            <w:tcW w:w="52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A513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国外债务发行费用</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D68D5">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33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3378C2">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100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78727">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5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94D9E">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r>
      <w:tr w14:paraId="529295DE">
        <w:tblPrEx>
          <w:shd w:val="clear" w:color="auto" w:fill="auto"/>
          <w:tblCellMar>
            <w:top w:w="0" w:type="dxa"/>
            <w:left w:w="0" w:type="dxa"/>
            <w:bottom w:w="0" w:type="dxa"/>
            <w:right w:w="0" w:type="dxa"/>
          </w:tblCellMar>
        </w:tblPrEx>
        <w:trPr>
          <w:trHeight w:val="321" w:hRule="atLeast"/>
        </w:trPr>
        <w:tc>
          <w:tcPr>
            <w:tcW w:w="1073"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3F7C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人员经费合计</w:t>
            </w:r>
          </w:p>
        </w:tc>
        <w:tc>
          <w:tcPr>
            <w:tcW w:w="63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98E4C3">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eastAsia="宋体" w:cs="宋体"/>
                <w:b w:val="0"/>
                <w:bCs w:val="0"/>
                <w:color w:val="000000"/>
                <w:sz w:val="21"/>
                <w:szCs w:val="21"/>
                <w:lang w:bidi="ar"/>
              </w:rPr>
              <w:t>66.73</w:t>
            </w:r>
            <w:r>
              <w:rPr>
                <w:rFonts w:hint="eastAsia" w:ascii="Times New Roman" w:hAnsi="Times New Roman" w:cs="宋体"/>
                <w:b w:val="0"/>
                <w:bCs w:val="0"/>
                <w:color w:val="000000"/>
                <w:sz w:val="21"/>
                <w:szCs w:val="21"/>
                <w:lang w:val="en-US" w:eastAsia="zh-CN" w:bidi="ar"/>
              </w:rPr>
              <w:t xml:space="preserve"> </w:t>
            </w:r>
          </w:p>
        </w:tc>
        <w:tc>
          <w:tcPr>
            <w:tcW w:w="2731"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808C4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公用经费合计</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7FDC37">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eastAsia="宋体" w:cs="宋体"/>
                <w:b w:val="0"/>
                <w:bCs w:val="0"/>
                <w:color w:val="000000"/>
                <w:sz w:val="21"/>
                <w:szCs w:val="21"/>
                <w:lang w:bidi="ar"/>
              </w:rPr>
              <w:t>5.04</w:t>
            </w:r>
            <w:r>
              <w:rPr>
                <w:rFonts w:hint="eastAsia" w:ascii="Times New Roman" w:hAnsi="Times New Roman" w:cs="宋体"/>
                <w:b w:val="0"/>
                <w:bCs w:val="0"/>
                <w:color w:val="000000"/>
                <w:sz w:val="21"/>
                <w:szCs w:val="21"/>
                <w:lang w:val="en-US" w:eastAsia="zh-CN" w:bidi="ar"/>
              </w:rPr>
              <w:t xml:space="preserve"> </w:t>
            </w:r>
          </w:p>
        </w:tc>
      </w:tr>
    </w:tbl>
    <w:p w14:paraId="692D57DA">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sz w:val="21"/>
          <w:szCs w:val="21"/>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sz w:val="21"/>
          <w:szCs w:val="21"/>
        </w:rPr>
        <w:br w:type="textWrapping"/>
      </w:r>
    </w:p>
    <w:p w14:paraId="65B3F28F">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2038"/>
        <w:gridCol w:w="3392"/>
        <w:gridCol w:w="1625"/>
        <w:gridCol w:w="1625"/>
        <w:gridCol w:w="1626"/>
        <w:gridCol w:w="1626"/>
        <w:gridCol w:w="1690"/>
        <w:gridCol w:w="1755"/>
      </w:tblGrid>
      <w:tr w14:paraId="61C1E2CA">
        <w:tblPrEx>
          <w:shd w:val="clear" w:color="auto" w:fill="auto"/>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DF33AD7">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附件7</w:t>
            </w:r>
          </w:p>
          <w:p w14:paraId="71883D4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bottom"/>
              <w:rPr>
                <w:rFonts w:hint="eastAsia" w:ascii="方正小标宋_GBK" w:hAnsi="方正小标宋_GBK" w:eastAsia="方正小标宋_GBK" w:cs="方正小标宋_GBK"/>
                <w:b w:val="0"/>
                <w:bCs w:val="0"/>
                <w:i w:val="0"/>
                <w:color w:val="000000"/>
                <w:kern w:val="0"/>
                <w:sz w:val="44"/>
                <w:szCs w:val="44"/>
                <w:u w:val="none"/>
                <w:lang w:val="en-US" w:eastAsia="zh-CN" w:bidi="ar"/>
              </w:rPr>
            </w:pPr>
          </w:p>
          <w:p w14:paraId="24CB88F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bottom"/>
              <w:rPr>
                <w:rFonts w:hint="eastAsia" w:ascii="Times New Roman" w:hAnsi="Times New Roman"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政府性基金预算财政拨款收入支出决算表</w:t>
            </w:r>
          </w:p>
        </w:tc>
      </w:tr>
      <w:tr w14:paraId="5CC95D57">
        <w:tblPrEx>
          <w:shd w:val="clear" w:color="auto" w:fill="auto"/>
          <w:tblCellMar>
            <w:top w:w="0" w:type="dxa"/>
            <w:left w:w="0" w:type="dxa"/>
            <w:bottom w:w="0" w:type="dxa"/>
            <w:right w:w="0" w:type="dxa"/>
          </w:tblCellMar>
        </w:tblPrEx>
        <w:trPr>
          <w:trHeight w:val="329" w:hRule="atLeast"/>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14:paraId="0DA1D17C">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r>
              <w:rPr>
                <w:rFonts w:hint="eastAsia" w:ascii="Times New Roman" w:hAnsi="Times New Roman" w:eastAsiaTheme="minorEastAsia" w:cstheme="minorEastAsia"/>
                <w:b w:val="0"/>
                <w:bCs w:val="0"/>
                <w:sz w:val="24"/>
                <w:szCs w:val="24"/>
                <w:lang w:eastAsia="zh-CN"/>
              </w:rPr>
              <w:t>公开单位</w:t>
            </w:r>
            <w:r>
              <w:rPr>
                <w:rFonts w:hint="eastAsia" w:ascii="Times New Roman" w:hAnsi="Times New Roman" w:eastAsiaTheme="minorEastAsia" w:cstheme="minorEastAsia"/>
                <w:b w:val="0"/>
                <w:bCs w:val="0"/>
                <w:color w:val="000000"/>
                <w:sz w:val="24"/>
                <w:szCs w:val="24"/>
                <w:lang w:bidi="ar"/>
              </w:rPr>
              <w:t xml:space="preserve">： </w:t>
            </w:r>
            <w:r>
              <w:rPr>
                <w:rFonts w:ascii="Times New Roman" w:hAnsi="Times New Roman"/>
                <w:b w:val="0"/>
                <w:bCs w:val="0"/>
                <w:color w:val="000000"/>
                <w:sz w:val="24"/>
                <w:u w:color="auto"/>
              </w:rPr>
              <w:t>重庆市潼南区田家镇产业发展服务中心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AACCE0B">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4EE838F">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58B078E">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93AD092">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2AEE6148">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420FE16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公开07表</w:t>
            </w:r>
          </w:p>
        </w:tc>
      </w:tr>
      <w:tr w14:paraId="73358427">
        <w:tblPrEx>
          <w:shd w:val="clear" w:color="auto" w:fill="auto"/>
          <w:tblCellMar>
            <w:top w:w="0" w:type="dxa"/>
            <w:left w:w="0" w:type="dxa"/>
            <w:bottom w:w="0" w:type="dxa"/>
            <w:right w:w="0" w:type="dxa"/>
          </w:tblCellMar>
        </w:tblPrEx>
        <w:trPr>
          <w:trHeight w:val="329" w:hRule="atLeast"/>
        </w:trPr>
        <w:tc>
          <w:tcPr>
            <w:tcW w:w="1607" w:type="pct"/>
            <w:gridSpan w:val="2"/>
            <w:vMerge w:val="continue"/>
            <w:tcBorders>
              <w:left w:val="nil"/>
              <w:bottom w:val="nil"/>
              <w:right w:val="nil"/>
            </w:tcBorders>
            <w:shd w:val="clear" w:color="auto" w:fill="auto"/>
            <w:noWrap/>
            <w:tcMar>
              <w:top w:w="15" w:type="dxa"/>
              <w:left w:w="15" w:type="dxa"/>
              <w:right w:w="15" w:type="dxa"/>
            </w:tcMar>
            <w:vAlign w:val="bottom"/>
          </w:tcPr>
          <w:p w14:paraId="77357D64">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F30225">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8CEE128">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142DB8F">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A845061">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574" w:type="pct"/>
            <w:tcBorders>
              <w:top w:val="nil"/>
              <w:left w:val="nil"/>
              <w:bottom w:val="nil"/>
              <w:right w:val="nil"/>
            </w:tcBorders>
            <w:shd w:val="clear" w:color="auto" w:fill="auto"/>
            <w:noWrap/>
            <w:tcMar>
              <w:top w:w="15" w:type="dxa"/>
              <w:left w:w="15" w:type="dxa"/>
              <w:right w:w="15" w:type="dxa"/>
            </w:tcMar>
            <w:vAlign w:val="bottom"/>
          </w:tcPr>
          <w:p w14:paraId="456F4ACE">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594" w:type="pct"/>
            <w:tcBorders>
              <w:top w:val="nil"/>
              <w:left w:val="nil"/>
              <w:bottom w:val="nil"/>
              <w:right w:val="nil"/>
            </w:tcBorders>
            <w:shd w:val="clear" w:color="auto" w:fill="auto"/>
            <w:noWrap/>
            <w:tcMar>
              <w:top w:w="15" w:type="dxa"/>
              <w:left w:w="15" w:type="dxa"/>
              <w:right w:w="15" w:type="dxa"/>
            </w:tcMar>
            <w:vAlign w:val="bottom"/>
          </w:tcPr>
          <w:p w14:paraId="5D7EB0F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6AAAC224">
        <w:tblPrEx>
          <w:shd w:val="clear" w:color="auto" w:fill="auto"/>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3274E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92A6CC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0E52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7C2305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本年支出</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869D5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年末结转和结余</w:t>
            </w:r>
          </w:p>
        </w:tc>
      </w:tr>
      <w:tr w14:paraId="1094C441">
        <w:tblPrEx>
          <w:shd w:val="clear" w:color="auto" w:fill="auto"/>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F68A4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功能分类科目编码</w:t>
            </w:r>
          </w:p>
        </w:tc>
        <w:tc>
          <w:tcPr>
            <w:tcW w:w="10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E4BC4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E321D55">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D86BB9">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7F78F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44168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基本支出</w:t>
            </w:r>
          </w:p>
        </w:tc>
        <w:tc>
          <w:tcPr>
            <w:tcW w:w="5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88384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项目支出</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9173B4">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r>
      <w:tr w14:paraId="2B934FB6">
        <w:tblPrEx>
          <w:shd w:val="clear" w:color="auto" w:fill="auto"/>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F9E7E">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19B87">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C97DD2C">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C66524">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4ABEC79">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5CECC9">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827AF68">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49ADCF">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r>
      <w:tr w14:paraId="663872DF">
        <w:tblPrEx>
          <w:shd w:val="clear" w:color="auto" w:fill="auto"/>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FC3A4A">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0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CB975">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69CD950">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30C17">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62F20E">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2387A3">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A8DDE3">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6B1E2">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r>
      <w:tr w14:paraId="6D81C934">
        <w:tblPrEx>
          <w:shd w:val="clear" w:color="auto" w:fill="auto"/>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BFFC3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2FCD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65696">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36C7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E85E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7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0391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59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CE97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bl>
    <w:p w14:paraId="4A441B98">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sz w:val="21"/>
          <w:szCs w:val="21"/>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sz w:val="21"/>
          <w:szCs w:val="21"/>
        </w:rPr>
        <w:br w:type="textWrapping"/>
      </w:r>
    </w:p>
    <w:p w14:paraId="2998E758">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2070"/>
        <w:gridCol w:w="3360"/>
        <w:gridCol w:w="3113"/>
        <w:gridCol w:w="3591"/>
        <w:gridCol w:w="3243"/>
      </w:tblGrid>
      <w:tr w14:paraId="5FA6ECC9">
        <w:tblPrEx>
          <w:shd w:val="clear" w:color="auto" w:fill="auto"/>
          <w:tblCellMar>
            <w:top w:w="0" w:type="dxa"/>
            <w:left w:w="0" w:type="dxa"/>
            <w:bottom w:w="0" w:type="dxa"/>
            <w:right w:w="0" w:type="dxa"/>
          </w:tblCellMar>
        </w:tblPrEx>
        <w:trPr>
          <w:trHeight w:val="65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BFEEF13">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附件8</w:t>
            </w:r>
          </w:p>
          <w:p w14:paraId="625EBBA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bottom"/>
              <w:rPr>
                <w:rFonts w:hint="eastAsia" w:ascii="方正小标宋_GBK" w:hAnsi="方正小标宋_GBK" w:eastAsia="方正小标宋_GBK" w:cs="方正小标宋_GBK"/>
                <w:b w:val="0"/>
                <w:bCs w:val="0"/>
                <w:i w:val="0"/>
                <w:color w:val="000000"/>
                <w:kern w:val="0"/>
                <w:sz w:val="44"/>
                <w:szCs w:val="44"/>
                <w:u w:val="none"/>
                <w:lang w:val="en-US" w:eastAsia="zh-CN" w:bidi="ar"/>
              </w:rPr>
            </w:pPr>
          </w:p>
          <w:p w14:paraId="2553106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bottom"/>
              <w:rPr>
                <w:rFonts w:hint="eastAsia" w:ascii="Times New Roman" w:hAnsi="Times New Roman"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国有资本经营预算财政拨款支出决算表</w:t>
            </w:r>
          </w:p>
        </w:tc>
      </w:tr>
      <w:tr w14:paraId="32A0F3AC">
        <w:tblPrEx>
          <w:tblCellMar>
            <w:top w:w="0" w:type="dxa"/>
            <w:left w:w="0" w:type="dxa"/>
            <w:bottom w:w="0" w:type="dxa"/>
            <w:right w:w="0" w:type="dxa"/>
          </w:tblCellMar>
        </w:tblPrEx>
        <w:trPr>
          <w:trHeight w:val="332" w:hRule="atLeast"/>
        </w:trPr>
        <w:tc>
          <w:tcPr>
            <w:tcW w:w="1608" w:type="pct"/>
            <w:gridSpan w:val="2"/>
            <w:vMerge w:val="restart"/>
            <w:tcBorders>
              <w:top w:val="nil"/>
              <w:left w:val="nil"/>
              <w:right w:val="nil"/>
            </w:tcBorders>
            <w:shd w:val="clear" w:color="auto" w:fill="auto"/>
            <w:noWrap/>
            <w:tcMar>
              <w:top w:w="15" w:type="dxa"/>
              <w:left w:w="15" w:type="dxa"/>
              <w:right w:w="15" w:type="dxa"/>
            </w:tcMar>
            <w:vAlign w:val="bottom"/>
          </w:tcPr>
          <w:p w14:paraId="4711EE04">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r>
              <w:rPr>
                <w:rFonts w:hint="eastAsia" w:ascii="Times New Roman" w:hAnsi="Times New Roman" w:eastAsiaTheme="minorEastAsia" w:cstheme="minorEastAsia"/>
                <w:b w:val="0"/>
                <w:bCs w:val="0"/>
                <w:sz w:val="24"/>
                <w:szCs w:val="24"/>
                <w:lang w:eastAsia="zh-CN"/>
              </w:rPr>
              <w:t>公开单位</w:t>
            </w:r>
            <w:r>
              <w:rPr>
                <w:rFonts w:hint="eastAsia" w:ascii="Times New Roman" w:hAnsi="Times New Roman" w:eastAsiaTheme="minorEastAsia" w:cstheme="minorEastAsia"/>
                <w:b w:val="0"/>
                <w:bCs w:val="0"/>
                <w:color w:val="000000"/>
                <w:sz w:val="24"/>
                <w:szCs w:val="24"/>
                <w:lang w:bidi="ar"/>
              </w:rPr>
              <w:t xml:space="preserve">： </w:t>
            </w:r>
            <w:r>
              <w:rPr>
                <w:rFonts w:ascii="Times New Roman" w:hAnsi="Times New Roman"/>
                <w:b w:val="0"/>
                <w:bCs w:val="0"/>
                <w:color w:val="000000"/>
                <w:sz w:val="24"/>
                <w:u w:color="auto"/>
              </w:rPr>
              <w:t>重庆市潼南区田家镇产业发展服务中心</w:t>
            </w:r>
          </w:p>
        </w:tc>
        <w:tc>
          <w:tcPr>
            <w:tcW w:w="1065" w:type="pct"/>
            <w:tcBorders>
              <w:top w:val="nil"/>
              <w:left w:val="nil"/>
              <w:bottom w:val="nil"/>
              <w:right w:val="nil"/>
            </w:tcBorders>
            <w:shd w:val="clear" w:color="auto" w:fill="auto"/>
            <w:noWrap/>
            <w:tcMar>
              <w:top w:w="15" w:type="dxa"/>
              <w:left w:w="15" w:type="dxa"/>
              <w:right w:w="15" w:type="dxa"/>
            </w:tcMar>
            <w:vAlign w:val="bottom"/>
          </w:tcPr>
          <w:p w14:paraId="3CBDEB6E">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2E870880">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24FCB51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公开08表</w:t>
            </w:r>
          </w:p>
        </w:tc>
      </w:tr>
      <w:tr w14:paraId="1133C4E8">
        <w:tblPrEx>
          <w:shd w:val="clear" w:color="auto" w:fill="auto"/>
          <w:tblCellMar>
            <w:top w:w="0" w:type="dxa"/>
            <w:left w:w="0" w:type="dxa"/>
            <w:bottom w:w="0" w:type="dxa"/>
            <w:right w:w="0" w:type="dxa"/>
          </w:tblCellMar>
        </w:tblPrEx>
        <w:trPr>
          <w:trHeight w:val="332" w:hRule="atLeast"/>
        </w:trPr>
        <w:tc>
          <w:tcPr>
            <w:tcW w:w="1608" w:type="pct"/>
            <w:gridSpan w:val="2"/>
            <w:vMerge w:val="continue"/>
            <w:tcBorders>
              <w:left w:val="nil"/>
              <w:bottom w:val="nil"/>
              <w:right w:val="nil"/>
            </w:tcBorders>
            <w:shd w:val="clear" w:color="auto" w:fill="auto"/>
            <w:noWrap/>
            <w:tcMar>
              <w:top w:w="15" w:type="dxa"/>
              <w:left w:w="15" w:type="dxa"/>
              <w:right w:w="15" w:type="dxa"/>
            </w:tcMar>
            <w:vAlign w:val="bottom"/>
          </w:tcPr>
          <w:p w14:paraId="069E16E1">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1065" w:type="pct"/>
            <w:tcBorders>
              <w:top w:val="nil"/>
              <w:left w:val="nil"/>
              <w:bottom w:val="nil"/>
              <w:right w:val="nil"/>
            </w:tcBorders>
            <w:shd w:val="clear" w:color="auto" w:fill="auto"/>
            <w:noWrap/>
            <w:tcMar>
              <w:top w:w="15" w:type="dxa"/>
              <w:left w:w="15" w:type="dxa"/>
              <w:right w:w="15" w:type="dxa"/>
            </w:tcMar>
            <w:vAlign w:val="bottom"/>
          </w:tcPr>
          <w:p w14:paraId="7A71ACB8">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1220" w:type="pct"/>
            <w:tcBorders>
              <w:top w:val="nil"/>
              <w:left w:val="nil"/>
              <w:bottom w:val="nil"/>
              <w:right w:val="nil"/>
            </w:tcBorders>
            <w:shd w:val="clear" w:color="auto" w:fill="auto"/>
            <w:noWrap/>
            <w:tcMar>
              <w:top w:w="15" w:type="dxa"/>
              <w:left w:w="15" w:type="dxa"/>
              <w:right w:w="15" w:type="dxa"/>
            </w:tcMar>
            <w:vAlign w:val="bottom"/>
          </w:tcPr>
          <w:p w14:paraId="6E23EB9F">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1105" w:type="pct"/>
            <w:tcBorders>
              <w:top w:val="nil"/>
              <w:left w:val="nil"/>
              <w:bottom w:val="nil"/>
              <w:right w:val="nil"/>
            </w:tcBorders>
            <w:shd w:val="clear" w:color="auto" w:fill="auto"/>
            <w:noWrap/>
            <w:tcMar>
              <w:top w:w="15" w:type="dxa"/>
              <w:left w:w="15" w:type="dxa"/>
              <w:right w:w="15" w:type="dxa"/>
            </w:tcMar>
            <w:vAlign w:val="bottom"/>
          </w:tcPr>
          <w:p w14:paraId="6D65AF7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773F0D5A">
        <w:tblPrEx>
          <w:shd w:val="clear" w:color="auto" w:fill="auto"/>
          <w:tblCellMar>
            <w:top w:w="0" w:type="dxa"/>
            <w:left w:w="0" w:type="dxa"/>
            <w:bottom w:w="0" w:type="dxa"/>
            <w:right w:w="0" w:type="dxa"/>
          </w:tblCellMar>
        </w:tblPrEx>
        <w:trPr>
          <w:trHeight w:val="422"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8D9B15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bottom"/>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w:t>
            </w:r>
          </w:p>
        </w:tc>
        <w:tc>
          <w:tcPr>
            <w:tcW w:w="3391" w:type="pct"/>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18AC8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bottom"/>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本年支出</w:t>
            </w:r>
          </w:p>
        </w:tc>
      </w:tr>
      <w:tr w14:paraId="276F3D54">
        <w:tblPrEx>
          <w:shd w:val="clear" w:color="auto" w:fill="auto"/>
          <w:tblCellMar>
            <w:top w:w="0" w:type="dxa"/>
            <w:left w:w="0" w:type="dxa"/>
            <w:bottom w:w="0" w:type="dxa"/>
            <w:right w:w="0" w:type="dxa"/>
          </w:tblCellMar>
        </w:tblPrEx>
        <w:trPr>
          <w:trHeight w:val="339" w:hRule="atLeast"/>
        </w:trPr>
        <w:tc>
          <w:tcPr>
            <w:tcW w:w="61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711F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功能分类科目编码</w:t>
            </w:r>
          </w:p>
        </w:tc>
        <w:tc>
          <w:tcPr>
            <w:tcW w:w="99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116C6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科目名称</w:t>
            </w:r>
          </w:p>
        </w:tc>
        <w:tc>
          <w:tcPr>
            <w:tcW w:w="106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BFCFF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合计</w:t>
            </w:r>
          </w:p>
        </w:tc>
        <w:tc>
          <w:tcPr>
            <w:tcW w:w="122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30A25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基本支出</w:t>
            </w:r>
          </w:p>
        </w:tc>
        <w:tc>
          <w:tcPr>
            <w:tcW w:w="110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8131D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项目支出</w:t>
            </w:r>
          </w:p>
        </w:tc>
      </w:tr>
      <w:tr w14:paraId="50336A64">
        <w:tblPrEx>
          <w:shd w:val="clear" w:color="auto" w:fill="auto"/>
          <w:tblCellMar>
            <w:top w:w="0" w:type="dxa"/>
            <w:left w:w="0" w:type="dxa"/>
            <w:bottom w:w="0" w:type="dxa"/>
            <w:right w:w="0" w:type="dxa"/>
          </w:tblCellMar>
        </w:tblPrEx>
        <w:trPr>
          <w:trHeight w:val="339"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413C10">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5F35FD">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DE59B">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ABA5D5">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E6026F">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r>
      <w:tr w14:paraId="6543BB38">
        <w:tblPrEx>
          <w:shd w:val="clear" w:color="auto" w:fill="auto"/>
          <w:tblCellMar>
            <w:top w:w="0" w:type="dxa"/>
            <w:left w:w="0" w:type="dxa"/>
            <w:bottom w:w="0" w:type="dxa"/>
            <w:right w:w="0" w:type="dxa"/>
          </w:tblCellMar>
        </w:tblPrEx>
        <w:trPr>
          <w:trHeight w:val="339"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822FA">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6BD8CD">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BD3F33">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FE8C6C">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083DF77">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r>
      <w:tr w14:paraId="5E4B6282">
        <w:tblPrEx>
          <w:shd w:val="clear" w:color="auto" w:fill="auto"/>
          <w:tblCellMar>
            <w:top w:w="0" w:type="dxa"/>
            <w:left w:w="0" w:type="dxa"/>
            <w:bottom w:w="0" w:type="dxa"/>
            <w:right w:w="0" w:type="dxa"/>
          </w:tblCellMar>
        </w:tblPrEx>
        <w:trPr>
          <w:trHeight w:val="312" w:hRule="atLeast"/>
        </w:trPr>
        <w:tc>
          <w:tcPr>
            <w:tcW w:w="61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EAED8A">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99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6414EC">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06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AB8E88">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2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EB8634">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11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63B451">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r>
      <w:tr w14:paraId="73A7AE51">
        <w:tblPrEx>
          <w:shd w:val="clear" w:color="auto" w:fill="auto"/>
          <w:tblCellMar>
            <w:top w:w="0" w:type="dxa"/>
            <w:left w:w="0" w:type="dxa"/>
            <w:bottom w:w="0" w:type="dxa"/>
            <w:right w:w="0" w:type="dxa"/>
          </w:tblCellMar>
        </w:tblPrEx>
        <w:trPr>
          <w:trHeight w:val="611" w:hRule="atLeast"/>
        </w:trPr>
        <w:tc>
          <w:tcPr>
            <w:tcW w:w="160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8BEC2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合计</w:t>
            </w:r>
          </w:p>
        </w:tc>
        <w:tc>
          <w:tcPr>
            <w:tcW w:w="10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EAD6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2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D3688">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eastAsia" w:ascii="Times New Roman" w:hAnsi="Times New Roman" w:eastAsia="宋体" w:cs="宋体"/>
                <w:b w:val="0"/>
                <w:bCs w:val="0"/>
                <w:i w:val="0"/>
                <w:color w:val="000000"/>
                <w:sz w:val="22"/>
                <w:szCs w:val="22"/>
                <w:u w:val="none"/>
              </w:rPr>
            </w:pPr>
          </w:p>
        </w:tc>
        <w:tc>
          <w:tcPr>
            <w:tcW w:w="11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90206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center"/>
              <w:rPr>
                <w:rFonts w:hint="eastAsia" w:ascii="Times New Roman" w:hAnsi="Times New Roman" w:eastAsia="宋体" w:cs="宋体"/>
                <w:b w:val="0"/>
                <w:bCs w:val="0"/>
                <w:i w:val="0"/>
                <w:color w:val="000000"/>
                <w:sz w:val="22"/>
                <w:szCs w:val="22"/>
                <w:u w:val="none"/>
                <w:lang w:val="en-US" w:eastAsia="zh-CN"/>
              </w:rPr>
            </w:pPr>
            <w:r>
              <w:rPr>
                <w:rFonts w:hint="eastAsia" w:ascii="Times New Roman" w:hAnsi="Times New Roman" w:cs="宋体"/>
                <w:b w:val="0"/>
                <w:bCs w:val="0"/>
                <w:color w:val="000000"/>
                <w:sz w:val="21"/>
                <w:szCs w:val="21"/>
                <w:lang w:val="en-US" w:eastAsia="zh-CN" w:bidi="ar"/>
              </w:rPr>
              <w:t xml:space="preserve"> </w:t>
            </w:r>
          </w:p>
        </w:tc>
      </w:tr>
    </w:tbl>
    <w:p w14:paraId="2C34925E">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sz w:val="21"/>
          <w:szCs w:val="21"/>
        </w:rPr>
        <w:br w:type="textWrapping"/>
      </w:r>
    </w:p>
    <w:p w14:paraId="333D9CE2">
      <w:pPr>
        <w:keepNext w:val="0"/>
        <w:keepLines w:val="0"/>
        <w:pageBreakBefore w:val="0"/>
        <w:widowControl/>
        <w:numPr>
          <w:ilvl w:val="0"/>
          <w:numId w:val="0"/>
        </w:numPr>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sz w:val="21"/>
          <w:szCs w:val="21"/>
        </w:rPr>
      </w:pPr>
      <w:r>
        <w:rPr>
          <w:rFonts w:hint="eastAsia" w:ascii="Times New Roman" w:hAnsi="Times New Roman" w:eastAsia="宋体" w:cs="宋体"/>
          <w:b w:val="0"/>
          <w:bCs w:val="0"/>
          <w:sz w:val="21"/>
          <w:szCs w:val="21"/>
        </w:rPr>
        <w:br w:type="page"/>
      </w:r>
    </w:p>
    <w:tbl>
      <w:tblPr>
        <w:tblStyle w:val="6"/>
        <w:tblW w:w="5000" w:type="pct"/>
        <w:tblInd w:w="0" w:type="dxa"/>
        <w:shd w:val="clear" w:color="auto" w:fill="auto"/>
        <w:tblLayout w:type="autofit"/>
        <w:tblCellMar>
          <w:top w:w="0" w:type="dxa"/>
          <w:left w:w="0" w:type="dxa"/>
          <w:bottom w:w="0" w:type="dxa"/>
          <w:right w:w="0" w:type="dxa"/>
        </w:tblCellMar>
      </w:tblPr>
      <w:tblGrid>
        <w:gridCol w:w="5430"/>
        <w:gridCol w:w="1857"/>
        <w:gridCol w:w="1480"/>
        <w:gridCol w:w="5090"/>
        <w:gridCol w:w="1520"/>
      </w:tblGrid>
      <w:tr w14:paraId="767CF434">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998D2E8">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附件9</w:t>
            </w:r>
          </w:p>
          <w:p w14:paraId="7C6DB81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bottom"/>
              <w:rPr>
                <w:rFonts w:hint="eastAsia" w:ascii="方正小标宋_GBK" w:hAnsi="方正小标宋_GBK" w:eastAsia="方正小标宋_GBK" w:cs="方正小标宋_GBK"/>
                <w:b w:val="0"/>
                <w:bCs w:val="0"/>
                <w:i w:val="0"/>
                <w:color w:val="000000"/>
                <w:kern w:val="0"/>
                <w:sz w:val="44"/>
                <w:szCs w:val="44"/>
                <w:u w:val="none"/>
                <w:lang w:val="en-US" w:eastAsia="zh-CN" w:bidi="ar"/>
              </w:rPr>
            </w:pPr>
          </w:p>
          <w:p w14:paraId="66791AE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bottom"/>
              <w:rPr>
                <w:rFonts w:hint="eastAsia" w:ascii="Times New Roman" w:hAnsi="Times New Roman" w:eastAsia="宋体" w:cs="宋体"/>
                <w:b w:val="0"/>
                <w:bCs w:val="0"/>
                <w:i w:val="0"/>
                <w:color w:val="000000"/>
                <w:sz w:val="40"/>
                <w:szCs w:val="40"/>
                <w:u w:val="none"/>
              </w:rPr>
            </w:pPr>
            <w:r>
              <w:rPr>
                <w:rFonts w:hint="eastAsia" w:ascii="方正小标宋_GBK" w:hAnsi="方正小标宋_GBK" w:eastAsia="方正小标宋_GBK" w:cs="方正小标宋_GBK"/>
                <w:b w:val="0"/>
                <w:bCs w:val="0"/>
                <w:i w:val="0"/>
                <w:color w:val="000000"/>
                <w:kern w:val="0"/>
                <w:sz w:val="44"/>
                <w:szCs w:val="44"/>
                <w:u w:val="none"/>
                <w:lang w:val="en-US" w:eastAsia="zh-CN" w:bidi="ar"/>
              </w:rPr>
              <w:t>机构运行信息表</w:t>
            </w:r>
          </w:p>
        </w:tc>
      </w:tr>
      <w:tr w14:paraId="452B8D47">
        <w:tblPrEx>
          <w:shd w:val="clear" w:color="auto" w:fill="auto"/>
          <w:tblCellMar>
            <w:top w:w="0" w:type="dxa"/>
            <w:left w:w="0" w:type="dxa"/>
            <w:bottom w:w="0" w:type="dxa"/>
            <w:right w:w="0" w:type="dxa"/>
          </w:tblCellMar>
        </w:tblPrEx>
        <w:trPr>
          <w:trHeight w:val="255" w:hRule="atLeast"/>
        </w:trPr>
        <w:tc>
          <w:tcPr>
            <w:tcW w:w="1163" w:type="pct"/>
            <w:tcBorders>
              <w:top w:val="nil"/>
              <w:left w:val="nil"/>
              <w:bottom w:val="nil"/>
              <w:right w:val="nil"/>
            </w:tcBorders>
            <w:shd w:val="clear" w:color="auto" w:fill="auto"/>
            <w:noWrap/>
            <w:tcMar>
              <w:top w:w="15" w:type="dxa"/>
              <w:left w:w="15" w:type="dxa"/>
              <w:right w:w="15" w:type="dxa"/>
            </w:tcMar>
            <w:vAlign w:val="bottom"/>
          </w:tcPr>
          <w:p w14:paraId="73AACF49">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862" w:type="pct"/>
            <w:tcBorders>
              <w:top w:val="nil"/>
              <w:left w:val="nil"/>
              <w:bottom w:val="nil"/>
              <w:right w:val="nil"/>
            </w:tcBorders>
            <w:shd w:val="clear" w:color="auto" w:fill="auto"/>
            <w:noWrap/>
            <w:tcMar>
              <w:top w:w="15" w:type="dxa"/>
              <w:left w:w="15" w:type="dxa"/>
              <w:right w:w="15" w:type="dxa"/>
            </w:tcMar>
            <w:vAlign w:val="bottom"/>
          </w:tcPr>
          <w:p w14:paraId="0FFC1CD4">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default" w:ascii="Times New Roman" w:hAnsi="Times New Roman" w:eastAsia="宋体" w:cs="Arial"/>
                <w:b w:val="0"/>
                <w:bCs w:val="0"/>
                <w:i w:val="0"/>
                <w:color w:val="000000"/>
                <w:sz w:val="20"/>
                <w:szCs w:val="20"/>
                <w:u w:val="none"/>
              </w:rPr>
            </w:pPr>
          </w:p>
        </w:tc>
        <w:tc>
          <w:tcPr>
            <w:tcW w:w="739" w:type="pct"/>
            <w:tcBorders>
              <w:top w:val="nil"/>
              <w:left w:val="nil"/>
              <w:bottom w:val="nil"/>
              <w:right w:val="nil"/>
            </w:tcBorders>
            <w:shd w:val="clear" w:color="auto" w:fill="auto"/>
            <w:noWrap/>
            <w:tcMar>
              <w:top w:w="15" w:type="dxa"/>
              <w:left w:w="15" w:type="dxa"/>
              <w:right w:w="15" w:type="dxa"/>
            </w:tcMar>
            <w:vAlign w:val="bottom"/>
          </w:tcPr>
          <w:p w14:paraId="2308005A">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default" w:ascii="Times New Roman" w:hAnsi="Times New Roman" w:eastAsia="宋体" w:cs="Arial"/>
                <w:b w:val="0"/>
                <w:bCs w:val="0"/>
                <w:i w:val="0"/>
                <w:color w:val="000000"/>
                <w:sz w:val="20"/>
                <w:szCs w:val="20"/>
                <w:u w:val="none"/>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3CD22ED2">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0"/>
                <w:szCs w:val="20"/>
                <w:u w:val="none"/>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6C26CE2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公开09表</w:t>
            </w:r>
          </w:p>
        </w:tc>
      </w:tr>
      <w:tr w14:paraId="524772DB">
        <w:tblPrEx>
          <w:shd w:val="clear" w:color="auto" w:fill="auto"/>
          <w:tblCellMar>
            <w:top w:w="0" w:type="dxa"/>
            <w:left w:w="0" w:type="dxa"/>
            <w:bottom w:w="0" w:type="dxa"/>
            <w:right w:w="0" w:type="dxa"/>
          </w:tblCellMar>
        </w:tblPrEx>
        <w:trPr>
          <w:trHeight w:val="285" w:hRule="atLeast"/>
        </w:trPr>
        <w:tc>
          <w:tcPr>
            <w:tcW w:w="1163" w:type="pct"/>
            <w:tcBorders>
              <w:top w:val="nil"/>
              <w:left w:val="nil"/>
              <w:bottom w:val="nil"/>
              <w:right w:val="nil"/>
            </w:tcBorders>
            <w:shd w:val="clear" w:color="auto" w:fill="auto"/>
            <w:noWrap/>
            <w:tcMar>
              <w:top w:w="15" w:type="dxa"/>
              <w:left w:w="15" w:type="dxa"/>
              <w:right w:w="15" w:type="dxa"/>
            </w:tcMar>
            <w:vAlign w:val="bottom"/>
          </w:tcPr>
          <w:p w14:paraId="4AF404A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bottom"/>
              <w:rPr>
                <w:rFonts w:hint="default" w:ascii="Times New Roman" w:hAnsi="Times New Roman" w:eastAsia="宋体" w:cs="Arial"/>
                <w:b w:val="0"/>
                <w:bCs w:val="0"/>
                <w:i w:val="0"/>
                <w:color w:val="000000"/>
                <w:sz w:val="22"/>
                <w:szCs w:val="22"/>
                <w:u w:val="none"/>
              </w:rPr>
            </w:pPr>
            <w:r>
              <w:rPr>
                <w:rFonts w:hint="eastAsia" w:ascii="Times New Roman" w:hAnsi="Times New Roman" w:eastAsiaTheme="minorEastAsia" w:cstheme="minorEastAsia"/>
                <w:b w:val="0"/>
                <w:bCs w:val="0"/>
                <w:sz w:val="24"/>
                <w:szCs w:val="24"/>
                <w:lang w:eastAsia="zh-CN"/>
              </w:rPr>
              <w:t>公开单位</w:t>
            </w:r>
            <w:r>
              <w:rPr>
                <w:rFonts w:hint="eastAsia" w:ascii="Times New Roman" w:hAnsi="Times New Roman" w:eastAsiaTheme="minorEastAsia" w:cstheme="minorEastAsia"/>
                <w:b w:val="0"/>
                <w:bCs w:val="0"/>
                <w:color w:val="000000"/>
                <w:sz w:val="24"/>
                <w:szCs w:val="24"/>
                <w:lang w:bidi="ar"/>
              </w:rPr>
              <w:t xml:space="preserve">： </w:t>
            </w:r>
            <w:r>
              <w:rPr>
                <w:rFonts w:ascii="Times New Roman" w:hAnsi="Times New Roman"/>
                <w:b w:val="0"/>
                <w:bCs w:val="0"/>
                <w:color w:val="000000"/>
                <w:sz w:val="24"/>
                <w:u w:color="auto"/>
              </w:rPr>
              <w:t>重庆市潼南区田家镇产业发展服务中心</w:t>
            </w:r>
          </w:p>
        </w:tc>
        <w:tc>
          <w:tcPr>
            <w:tcW w:w="862" w:type="pct"/>
            <w:tcBorders>
              <w:top w:val="nil"/>
              <w:left w:val="nil"/>
              <w:bottom w:val="nil"/>
              <w:right w:val="nil"/>
            </w:tcBorders>
            <w:shd w:val="clear" w:color="auto" w:fill="auto"/>
            <w:noWrap/>
            <w:tcMar>
              <w:top w:w="15" w:type="dxa"/>
              <w:left w:w="15" w:type="dxa"/>
              <w:right w:w="15" w:type="dxa"/>
            </w:tcMar>
            <w:vAlign w:val="bottom"/>
          </w:tcPr>
          <w:p w14:paraId="5EB1B773">
            <w:pPr>
              <w:keepNext w:val="0"/>
              <w:keepLines w:val="0"/>
              <w:pageBreakBefore w:val="0"/>
              <w:widowControl/>
              <w:kinsoku/>
              <w:overflowPunct/>
              <w:topLinePunct w:val="0"/>
              <w:autoSpaceDN/>
              <w:bidi w:val="0"/>
              <w:adjustRightInd/>
              <w:spacing w:beforeAutospacing="0" w:afterAutospacing="0" w:line="600" w:lineRule="exact"/>
              <w:ind w:left="0" w:leftChars="0"/>
              <w:jc w:val="center"/>
              <w:rPr>
                <w:rFonts w:hint="eastAsia" w:ascii="Times New Roman" w:hAnsi="Times New Roman" w:eastAsia="宋体" w:cs="宋体"/>
                <w:b w:val="0"/>
                <w:bCs w:val="0"/>
                <w:i w:val="0"/>
                <w:color w:val="000000"/>
                <w:sz w:val="22"/>
                <w:szCs w:val="22"/>
                <w:u w:val="none"/>
              </w:rPr>
            </w:pPr>
          </w:p>
        </w:tc>
        <w:tc>
          <w:tcPr>
            <w:tcW w:w="739" w:type="pct"/>
            <w:tcBorders>
              <w:top w:val="nil"/>
              <w:left w:val="nil"/>
              <w:bottom w:val="nil"/>
              <w:right w:val="nil"/>
            </w:tcBorders>
            <w:shd w:val="clear" w:color="auto" w:fill="auto"/>
            <w:noWrap/>
            <w:tcMar>
              <w:top w:w="15" w:type="dxa"/>
              <w:left w:w="15" w:type="dxa"/>
              <w:right w:w="15" w:type="dxa"/>
            </w:tcMar>
            <w:vAlign w:val="bottom"/>
          </w:tcPr>
          <w:p w14:paraId="458667CB">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default" w:ascii="Times New Roman" w:hAnsi="Times New Roman" w:eastAsia="宋体" w:cs="Arial"/>
                <w:b w:val="0"/>
                <w:bCs w:val="0"/>
                <w:i w:val="0"/>
                <w:color w:val="000000"/>
                <w:sz w:val="22"/>
                <w:szCs w:val="22"/>
                <w:u w:val="none"/>
              </w:rPr>
            </w:pPr>
          </w:p>
        </w:tc>
        <w:tc>
          <w:tcPr>
            <w:tcW w:w="1484" w:type="pct"/>
            <w:tcBorders>
              <w:top w:val="nil"/>
              <w:left w:val="nil"/>
              <w:bottom w:val="nil"/>
              <w:right w:val="nil"/>
            </w:tcBorders>
            <w:shd w:val="clear" w:color="auto" w:fill="auto"/>
            <w:noWrap/>
            <w:tcMar>
              <w:top w:w="15" w:type="dxa"/>
              <w:left w:w="15" w:type="dxa"/>
              <w:right w:w="15" w:type="dxa"/>
            </w:tcMar>
            <w:vAlign w:val="bottom"/>
          </w:tcPr>
          <w:p w14:paraId="6CDC2C7D">
            <w:pPr>
              <w:keepNext w:val="0"/>
              <w:keepLines w:val="0"/>
              <w:pageBreakBefore w:val="0"/>
              <w:widowControl/>
              <w:kinsoku/>
              <w:overflowPunct/>
              <w:topLinePunct w:val="0"/>
              <w:autoSpaceDN/>
              <w:bidi w:val="0"/>
              <w:adjustRightInd/>
              <w:spacing w:beforeAutospacing="0" w:afterAutospacing="0" w:line="600" w:lineRule="exact"/>
              <w:ind w:left="0" w:leftChars="0"/>
              <w:rPr>
                <w:rFonts w:hint="default" w:ascii="Times New Roman" w:hAnsi="Times New Roman" w:eastAsia="宋体" w:cs="Arial"/>
                <w:b w:val="0"/>
                <w:bCs w:val="0"/>
                <w:i w:val="0"/>
                <w:color w:val="000000"/>
                <w:sz w:val="22"/>
                <w:szCs w:val="22"/>
                <w:u w:val="none"/>
              </w:rPr>
            </w:pPr>
          </w:p>
        </w:tc>
        <w:tc>
          <w:tcPr>
            <w:tcW w:w="750" w:type="pct"/>
            <w:tcBorders>
              <w:top w:val="nil"/>
              <w:left w:val="nil"/>
              <w:bottom w:val="nil"/>
              <w:right w:val="nil"/>
            </w:tcBorders>
            <w:shd w:val="clear" w:color="auto" w:fill="auto"/>
            <w:noWrap/>
            <w:tcMar>
              <w:top w:w="15" w:type="dxa"/>
              <w:left w:w="15" w:type="dxa"/>
              <w:right w:w="15" w:type="dxa"/>
            </w:tcMar>
            <w:vAlign w:val="bottom"/>
          </w:tcPr>
          <w:p w14:paraId="76D1C04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宋体"/>
                <w:b w:val="0"/>
                <w:bCs w:val="0"/>
                <w:i w:val="0"/>
                <w:color w:val="000000"/>
                <w:sz w:val="24"/>
                <w:szCs w:val="24"/>
                <w:u w:val="none"/>
              </w:rPr>
            </w:pPr>
            <w:r>
              <w:rPr>
                <w:rFonts w:hint="eastAsia" w:ascii="Times New Roman" w:hAnsi="Times New Roman" w:eastAsia="宋体" w:cs="宋体"/>
                <w:b w:val="0"/>
                <w:bCs w:val="0"/>
                <w:i w:val="0"/>
                <w:color w:val="000000"/>
                <w:kern w:val="0"/>
                <w:sz w:val="24"/>
                <w:szCs w:val="24"/>
                <w:u w:val="none"/>
                <w:lang w:val="en-US" w:eastAsia="zh-CN" w:bidi="ar"/>
              </w:rPr>
              <w:t>单位：</w:t>
            </w:r>
            <w:r>
              <w:rPr>
                <w:rFonts w:hint="eastAsia" w:ascii="Times New Roman" w:hAnsi="Times New Roman" w:eastAsia="宋体" w:cs="宋体"/>
                <w:b w:val="0"/>
                <w:bCs w:val="0"/>
                <w:sz w:val="24"/>
                <w:szCs w:val="24"/>
              </w:rPr>
              <w:t>万元</w:t>
            </w:r>
          </w:p>
        </w:tc>
      </w:tr>
      <w:tr w14:paraId="7A27C20C">
        <w:tblPrEx>
          <w:shd w:val="clear" w:color="auto" w:fill="auto"/>
          <w:tblCellMar>
            <w:top w:w="0" w:type="dxa"/>
            <w:left w:w="0" w:type="dxa"/>
            <w:bottom w:w="0" w:type="dxa"/>
            <w:right w:w="0" w:type="dxa"/>
          </w:tblCellMar>
        </w:tblPrEx>
        <w:trPr>
          <w:trHeight w:val="308" w:hRule="atLeast"/>
        </w:trPr>
        <w:tc>
          <w:tcPr>
            <w:tcW w:w="1163" w:type="pct"/>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14:paraId="29231D6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  目</w:t>
            </w:r>
          </w:p>
        </w:tc>
        <w:tc>
          <w:tcPr>
            <w:tcW w:w="86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F0DB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预算数</w:t>
            </w:r>
          </w:p>
        </w:tc>
        <w:tc>
          <w:tcPr>
            <w:tcW w:w="739"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4E13D23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决算数</w:t>
            </w:r>
          </w:p>
        </w:tc>
        <w:tc>
          <w:tcPr>
            <w:tcW w:w="1484" w:type="pct"/>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1469212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项  目</w:t>
            </w:r>
          </w:p>
        </w:tc>
        <w:tc>
          <w:tcPr>
            <w:tcW w:w="750" w:type="pct"/>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14:paraId="67B0C54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决算数</w:t>
            </w:r>
          </w:p>
        </w:tc>
      </w:tr>
      <w:tr w14:paraId="23595CFD">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18EDBB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一、“三公”经费支出</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0935B3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E229E3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FD7D2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四、机关运行经费</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54705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EE3BE66">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4EA44C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（一）支出合计</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0A1ADBB">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7A183B3">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049AB9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（一）行政单位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B8D71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901552D">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A9AAE7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1．因公出国（境）费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0DA5A50">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49FE5B3">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AA52A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（二）参照公务员法管理事业单位</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B6BCC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C3CBF14">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F6BD02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2．公务用车购置及运行维护费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3C278A5">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3A649DA">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4412C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五、资产信息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1ED4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r>
      <w:tr w14:paraId="709B43BF">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0F6BEE0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（1）公务用车购置费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18A78F1C">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70A51E11">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1E766D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（一）车辆数合计（辆）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05A7D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248DA93D">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DCD5D4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（2）公务用车运行维护费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DEE9326">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606E40A">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08A40DF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1．副部（省）级及以上领导用车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72682B">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CEB37A4">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7FA9718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3．公务接待费</w:t>
            </w:r>
          </w:p>
        </w:tc>
        <w:tc>
          <w:tcPr>
            <w:tcW w:w="86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218EAC2">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4B6BAF77">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B9046C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2．主要领导干部用车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7443B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6A04C8BA">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33E3948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（1）国内接待费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2AA1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75C9674">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A87ED0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3．机要通信用车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E2B00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2B48D8E">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4F0222B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其中：外事接待费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8F3D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39D81DCA">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3389490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4．应急保障用车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FD6B2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5465FC2">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111FEE7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（2）国（境）外接待费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D2AF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5DDCDEEE">
            <w:pPr>
              <w:keepNext w:val="0"/>
              <w:keepLines w:val="0"/>
              <w:pageBreakBefore w:val="0"/>
              <w:widowControl/>
              <w:suppressLineNumbers w:val="0"/>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F0F329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5．执法执勤用车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3E407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DCA1CB1">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6806AFE8">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（二）相关统计数</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92EC1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5B850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6F324AF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6．特种专业技术用车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32507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93128FB">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BEB561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1．因公出国（境）团组数（个）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CB9D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3B214D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778FF292">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7．离退休干部用车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4E9DF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6B2D76D">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890D1B3">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2．因公出国（境）人次数（人）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543AE">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5BABEA03">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802006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8．其他用车</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56900E">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049A1777">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09844EF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3．公务用车购置数（辆）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18E6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3A7215E0">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14:paraId="5FE57AC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（二）单价100万元（含）以上设备（不含车辆）</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CF0DCD">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3C518950">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19324EF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4．公务用车保有量（辆）</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1C7E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4EFEC1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034CF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六、政府采购支出信息</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834F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r>
      <w:tr w14:paraId="107805E5">
        <w:tblPrEx>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21D3DD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5．国内公务接待批次（个）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86E9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7F3D7E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6BA0B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（一）政府采购支出合计</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375C25">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47976C45">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5B2133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其中：外事接待批次（个）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E023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68C55197">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D217C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1．政府采购货物支出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60A21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5ED1565A">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68AC4A1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6．国内公务接待人次（人）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D7FDC">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500597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FD7487">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2．政府采购工程支出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8A1B51">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43AED85">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6778235">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其中：外事接待人次（人）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22A24">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2FD702E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D00911">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3．政府采购服务支出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BF2448">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2FE004B">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54206B39">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7．国（境）外公务接待批次（个）</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D3D1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135A2839">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46FD32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（二）政府采购授予中小企业合同金额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7E3268C">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70980835">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14:paraId="3759DADB">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8．国（境）外公务接待人次（人）</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4E756">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14:paraId="4A6BF91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C8485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 xml:space="preserve">        其中：授予小微企业合同金额</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D07F5F">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r>
      <w:tr w14:paraId="17A5B874">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229EB14A">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二、会议费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19F1F">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29B2328A">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856A61">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21AE4B">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default" w:ascii="Times New Roman" w:hAnsi="Times New Roman" w:eastAsia="宋体" w:cs="Arial"/>
                <w:b w:val="0"/>
                <w:bCs w:val="0"/>
                <w:i w:val="0"/>
                <w:color w:val="000000"/>
                <w:sz w:val="20"/>
                <w:szCs w:val="20"/>
                <w:u w:val="none"/>
              </w:rPr>
            </w:pPr>
          </w:p>
        </w:tc>
      </w:tr>
      <w:tr w14:paraId="594950BB">
        <w:tblPrEx>
          <w:shd w:val="clear" w:color="auto" w:fill="auto"/>
          <w:tblCellMar>
            <w:top w:w="0" w:type="dxa"/>
            <w:left w:w="0" w:type="dxa"/>
            <w:bottom w:w="0" w:type="dxa"/>
            <w:right w:w="0" w:type="dxa"/>
          </w:tblCellMar>
        </w:tblPrEx>
        <w:trPr>
          <w:trHeight w:val="308" w:hRule="atLeast"/>
        </w:trPr>
        <w:tc>
          <w:tcPr>
            <w:tcW w:w="1163" w:type="pct"/>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14:paraId="57B934BD">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left"/>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三、培训费</w:t>
            </w:r>
          </w:p>
        </w:tc>
        <w:tc>
          <w:tcPr>
            <w:tcW w:w="8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9D560">
            <w:pPr>
              <w:keepNext w:val="0"/>
              <w:keepLines w:val="0"/>
              <w:pageBreakBefore w:val="0"/>
              <w:widowControl/>
              <w:suppressLineNumbers w:val="0"/>
              <w:kinsoku/>
              <w:overflowPunct/>
              <w:topLinePunct w:val="0"/>
              <w:autoSpaceDN/>
              <w:bidi w:val="0"/>
              <w:adjustRightInd/>
              <w:spacing w:beforeAutospacing="0" w:afterAutospacing="0" w:line="600" w:lineRule="exact"/>
              <w:ind w:left="0" w:leftChars="0"/>
              <w:jc w:val="center"/>
              <w:textAlignment w:val="center"/>
              <w:rPr>
                <w:rFonts w:hint="eastAsia" w:ascii="Times New Roman" w:hAnsi="Times New Roman" w:eastAsia="宋体" w:cs="宋体"/>
                <w:b w:val="0"/>
                <w:bCs w:val="0"/>
                <w:i w:val="0"/>
                <w:color w:val="000000"/>
                <w:sz w:val="22"/>
                <w:szCs w:val="22"/>
                <w:u w:val="none"/>
              </w:rPr>
            </w:pPr>
            <w:r>
              <w:rPr>
                <w:rFonts w:hint="eastAsia" w:ascii="Times New Roman" w:hAnsi="Times New Roman" w:eastAsia="宋体" w:cs="宋体"/>
                <w:b w:val="0"/>
                <w:bCs w:val="0"/>
                <w:i w:val="0"/>
                <w:color w:val="000000"/>
                <w:kern w:val="0"/>
                <w:sz w:val="22"/>
                <w:szCs w:val="22"/>
                <w:u w:val="none"/>
                <w:lang w:val="en-US" w:eastAsia="zh-CN" w:bidi="ar"/>
              </w:rPr>
              <w:t>—</w:t>
            </w:r>
          </w:p>
        </w:tc>
        <w:tc>
          <w:tcPr>
            <w:tcW w:w="7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14:paraId="09D66F34">
            <w:pPr>
              <w:keepNext w:val="0"/>
              <w:keepLines w:val="0"/>
              <w:pageBreakBefore w:val="0"/>
              <w:widowControl/>
              <w:kinsoku/>
              <w:wordWrap w:val="0"/>
              <w:overflowPunct/>
              <w:topLinePunct w:val="0"/>
              <w:autoSpaceDN/>
              <w:bidi w:val="0"/>
              <w:adjustRightInd/>
              <w:spacing w:beforeAutospacing="0" w:afterAutospacing="0" w:line="600" w:lineRule="exact"/>
              <w:ind w:left="0" w:leftChars="0"/>
              <w:jc w:val="right"/>
              <w:textAlignment w:val="bottom"/>
              <w:rPr>
                <w:rFonts w:hint="eastAsia" w:ascii="Times New Roman" w:hAnsi="Times New Roman" w:eastAsia="宋体" w:cs="Arial"/>
                <w:b w:val="0"/>
                <w:bCs w:val="0"/>
                <w:i w:val="0"/>
                <w:color w:val="000000"/>
                <w:sz w:val="20"/>
                <w:szCs w:val="20"/>
                <w:u w:val="none"/>
                <w:lang w:val="en-US" w:eastAsia="zh-CN"/>
              </w:rPr>
            </w:pPr>
            <w:r>
              <w:rPr>
                <w:rFonts w:hint="eastAsia" w:ascii="Times New Roman" w:hAnsi="Times New Roman" w:cs="宋体"/>
                <w:b w:val="0"/>
                <w:bCs w:val="0"/>
                <w:color w:val="000000"/>
                <w:sz w:val="21"/>
                <w:szCs w:val="21"/>
                <w:lang w:val="en-US" w:eastAsia="zh-CN" w:bidi="ar"/>
              </w:rPr>
              <w:t xml:space="preserve"> </w:t>
            </w:r>
          </w:p>
        </w:tc>
        <w:tc>
          <w:tcPr>
            <w:tcW w:w="1484"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6532BF1">
            <w:pPr>
              <w:keepNext w:val="0"/>
              <w:keepLines w:val="0"/>
              <w:pageBreakBefore w:val="0"/>
              <w:widowControl/>
              <w:kinsoku/>
              <w:overflowPunct/>
              <w:topLinePunct w:val="0"/>
              <w:autoSpaceDN/>
              <w:bidi w:val="0"/>
              <w:adjustRightInd/>
              <w:spacing w:beforeAutospacing="0" w:afterAutospacing="0" w:line="600" w:lineRule="exact"/>
              <w:ind w:left="0" w:leftChars="0"/>
              <w:jc w:val="left"/>
              <w:rPr>
                <w:rFonts w:hint="eastAsia" w:ascii="Times New Roman" w:hAnsi="Times New Roman" w:eastAsia="宋体" w:cs="宋体"/>
                <w:b w:val="0"/>
                <w:bCs w:val="0"/>
                <w:i w:val="0"/>
                <w:color w:val="000000"/>
                <w:sz w:val="22"/>
                <w:szCs w:val="22"/>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DF1C81">
            <w:pPr>
              <w:keepNext w:val="0"/>
              <w:keepLines w:val="0"/>
              <w:pageBreakBefore w:val="0"/>
              <w:widowControl/>
              <w:kinsoku/>
              <w:overflowPunct/>
              <w:topLinePunct w:val="0"/>
              <w:autoSpaceDN/>
              <w:bidi w:val="0"/>
              <w:adjustRightInd/>
              <w:spacing w:beforeAutospacing="0" w:afterAutospacing="0" w:line="600" w:lineRule="exact"/>
              <w:ind w:left="0" w:leftChars="0"/>
              <w:jc w:val="right"/>
              <w:rPr>
                <w:rFonts w:hint="default" w:ascii="Times New Roman" w:hAnsi="Times New Roman" w:eastAsia="宋体" w:cs="Arial"/>
                <w:b w:val="0"/>
                <w:bCs w:val="0"/>
                <w:i w:val="0"/>
                <w:color w:val="000000"/>
                <w:sz w:val="20"/>
                <w:szCs w:val="20"/>
                <w:u w:val="none"/>
              </w:rPr>
            </w:pPr>
          </w:p>
        </w:tc>
      </w:tr>
    </w:tbl>
    <w:p w14:paraId="13442F63">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sz w:val="21"/>
          <w:szCs w:val="21"/>
        </w:rPr>
      </w:pP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Times New Roman" w:hAnsi="Times New Roman" w:eastAsia="宋体" w:cs="宋体"/>
          <w:b w:val="0"/>
          <w:bCs w:val="0"/>
          <w:i w:val="0"/>
          <w:iCs w:val="0"/>
          <w:color w:val="auto"/>
          <w:kern w:val="0"/>
          <w:sz w:val="21"/>
          <w:szCs w:val="21"/>
          <w:u w:val="none"/>
          <w:shd w:val="clear" w:color="auto" w:fill="auto"/>
          <w:lang w:val="en-US" w:eastAsia="zh-CN" w:bidi="ar"/>
        </w:rPr>
        <w:br w:type="textWrapping"/>
      </w:r>
      <w:r>
        <w:rPr>
          <w:rFonts w:hint="eastAsia" w:ascii="Times New Roman" w:hAnsi="Times New Roman" w:eastAsia="宋体" w:cs="宋体"/>
          <w:b w:val="0"/>
          <w:bCs w:val="0"/>
          <w:sz w:val="21"/>
          <w:szCs w:val="21"/>
        </w:rPr>
        <w:br w:type="textWrapping"/>
      </w:r>
    </w:p>
    <w:p w14:paraId="206AE115">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color w:val="000000"/>
          <w:sz w:val="21"/>
          <w:szCs w:val="21"/>
          <w:lang w:bidi="ar"/>
        </w:rPr>
      </w:pPr>
    </w:p>
    <w:p w14:paraId="1CD42F53">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color w:val="000000"/>
          <w:sz w:val="21"/>
          <w:szCs w:val="21"/>
          <w:lang w:bidi="ar"/>
        </w:rPr>
      </w:pPr>
    </w:p>
    <w:p w14:paraId="07D9AD59">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color w:val="000000"/>
          <w:sz w:val="21"/>
          <w:szCs w:val="21"/>
          <w:lang w:bidi="ar"/>
        </w:rPr>
      </w:pPr>
    </w:p>
    <w:p w14:paraId="1F10B012">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color w:val="000000"/>
          <w:sz w:val="21"/>
          <w:szCs w:val="21"/>
          <w:lang w:bidi="ar"/>
        </w:rPr>
      </w:pPr>
    </w:p>
    <w:p w14:paraId="318D1178">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color w:val="000000"/>
          <w:sz w:val="21"/>
          <w:szCs w:val="21"/>
          <w:lang w:bidi="ar"/>
        </w:rPr>
      </w:pPr>
    </w:p>
    <w:p w14:paraId="3D2A65D8">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color w:val="000000"/>
          <w:sz w:val="21"/>
          <w:szCs w:val="21"/>
          <w:lang w:bidi="ar"/>
        </w:rPr>
      </w:pPr>
    </w:p>
    <w:p w14:paraId="5C501CF3">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color w:val="000000"/>
          <w:sz w:val="21"/>
          <w:szCs w:val="21"/>
          <w:lang w:bidi="ar"/>
        </w:rPr>
      </w:pPr>
    </w:p>
    <w:p w14:paraId="27C53400">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color w:val="000000"/>
          <w:sz w:val="21"/>
          <w:szCs w:val="21"/>
          <w:lang w:bidi="ar"/>
        </w:rPr>
      </w:pPr>
    </w:p>
    <w:p w14:paraId="4213BF72">
      <w:pPr>
        <w:keepNext w:val="0"/>
        <w:keepLines w:val="0"/>
        <w:pageBreakBefore w:val="0"/>
        <w:widowControl/>
        <w:kinsoku/>
        <w:overflowPunct/>
        <w:topLinePunct w:val="0"/>
        <w:autoSpaceDN/>
        <w:bidi w:val="0"/>
        <w:adjustRightInd/>
        <w:spacing w:beforeAutospacing="0" w:afterAutospacing="0" w:line="600" w:lineRule="exact"/>
        <w:ind w:left="0" w:leftChars="0"/>
        <w:rPr>
          <w:rFonts w:hint="eastAsia" w:ascii="Times New Roman" w:hAnsi="Times New Roman" w:eastAsia="宋体" w:cs="宋体"/>
          <w:b w:val="0"/>
          <w:bCs w:val="0"/>
          <w:color w:val="000000"/>
          <w:sz w:val="21"/>
          <w:szCs w:val="21"/>
          <w:lang w:bidi="ar"/>
        </w:rPr>
      </w:pPr>
    </w:p>
    <w:p w14:paraId="632466B7">
      <w:pPr>
        <w:pStyle w:val="10"/>
        <w:keepNext w:val="0"/>
        <w:keepLines w:val="0"/>
        <w:pageBreakBefore w:val="0"/>
        <w:widowControl/>
        <w:kinsoku/>
        <w:overflowPunct/>
        <w:topLinePunct w:val="0"/>
        <w:autoSpaceDE w:val="0"/>
        <w:autoSpaceDN/>
        <w:bidi w:val="0"/>
        <w:adjustRightInd/>
        <w:spacing w:beforeAutospacing="0" w:afterAutospacing="0" w:line="600" w:lineRule="exact"/>
        <w:ind w:left="0" w:leftChars="0" w:firstLine="0" w:firstLineChars="0"/>
        <w:rPr>
          <w:rFonts w:hint="default" w:ascii="Times New Roman" w:hAnsi="Times New Roman" w:eastAsia="宋体" w:cs="宋体"/>
          <w:b w:val="0"/>
          <w:bCs w:val="0"/>
          <w:sz w:val="21"/>
          <w:szCs w:val="21"/>
        </w:rPr>
      </w:pPr>
    </w:p>
    <w:sectPr>
      <w:headerReference r:id="rId4" w:type="default"/>
      <w:footerReference r:id="rId5" w:type="default"/>
      <w:pgSz w:w="16838" w:h="11906"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cript"/>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0016" w:usb3="00000000" w:csb0="00040001" w:csb1="00000000"/>
  </w:font>
  <w:font w:name="方正楷体_GBK">
    <w:panose1 w:val="02000000000000000000"/>
    <w:charset w:val="86"/>
    <w:family w:val="auto"/>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A00002BF" w:usb1="38CF7CFA" w:usb2="00082016" w:usb3="00000000" w:csb0="00040001"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F46D">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069BD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6069BD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F816">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1B60A77">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71B60A77">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46191D3">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46191D3">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9A971">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6BE329D7"/>
    <w:multiLevelType w:val="singleLevel"/>
    <w:tmpl w:val="6BE329D7"/>
    <w:lvl w:ilvl="0" w:tentative="0">
      <w:start w:val="1"/>
      <w:numFmt w:val="decimal"/>
      <w:suff w:val="nothing"/>
      <w:lvlText w:val="%1、"/>
      <w:lvlJc w:val="left"/>
      <w:pPr>
        <w:ind w:left="80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ODFlMjkyNzYzMTQwYTM4M2IyNzYwNjE4OGE2ZDIifQ=="/>
  </w:docVars>
  <w:rsids>
    <w:rsidRoot w:val="00B03CCD"/>
    <w:rsid w:val="00550ABE"/>
    <w:rsid w:val="00672E2D"/>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42091A"/>
    <w:rsid w:val="17C374FC"/>
    <w:rsid w:val="189079DC"/>
    <w:rsid w:val="189B0D0B"/>
    <w:rsid w:val="18B43F7C"/>
    <w:rsid w:val="194A1770"/>
    <w:rsid w:val="19B906A4"/>
    <w:rsid w:val="1B6F15B6"/>
    <w:rsid w:val="1BAA2EDC"/>
    <w:rsid w:val="1C6012AB"/>
    <w:rsid w:val="1CA55E64"/>
    <w:rsid w:val="1D014A01"/>
    <w:rsid w:val="1D022362"/>
    <w:rsid w:val="1D1B04B0"/>
    <w:rsid w:val="1DA52501"/>
    <w:rsid w:val="1DBD6767"/>
    <w:rsid w:val="1DC52125"/>
    <w:rsid w:val="1DD26311"/>
    <w:rsid w:val="1E374ACB"/>
    <w:rsid w:val="1ECF0A66"/>
    <w:rsid w:val="1EF67CA4"/>
    <w:rsid w:val="1F020D3A"/>
    <w:rsid w:val="1F2C5189"/>
    <w:rsid w:val="1F404141"/>
    <w:rsid w:val="1F4B0B02"/>
    <w:rsid w:val="1FBB35CD"/>
    <w:rsid w:val="1FCD26AF"/>
    <w:rsid w:val="20642787"/>
    <w:rsid w:val="21556F04"/>
    <w:rsid w:val="22403BD3"/>
    <w:rsid w:val="23A64E14"/>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8739BA"/>
    <w:rsid w:val="4B135857"/>
    <w:rsid w:val="4B7951CB"/>
    <w:rsid w:val="4B7C315C"/>
    <w:rsid w:val="4DAC4ACA"/>
    <w:rsid w:val="4DBE01D2"/>
    <w:rsid w:val="4F0C6BA3"/>
    <w:rsid w:val="4F186D58"/>
    <w:rsid w:val="50325D21"/>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96E50AC"/>
    <w:rsid w:val="5A3B59D6"/>
    <w:rsid w:val="5AD134D8"/>
    <w:rsid w:val="5C263CE4"/>
    <w:rsid w:val="5C5D2777"/>
    <w:rsid w:val="5CF66BF3"/>
    <w:rsid w:val="5D290C69"/>
    <w:rsid w:val="5F2D4A41"/>
    <w:rsid w:val="60C74F6C"/>
    <w:rsid w:val="61025A59"/>
    <w:rsid w:val="613D5BBC"/>
    <w:rsid w:val="61536C39"/>
    <w:rsid w:val="62430D0A"/>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9D82FBA"/>
    <w:rsid w:val="6AAD2300"/>
    <w:rsid w:val="6B474EF5"/>
    <w:rsid w:val="6C0A5AC5"/>
    <w:rsid w:val="6C560CAE"/>
    <w:rsid w:val="6C576495"/>
    <w:rsid w:val="6D903FF5"/>
    <w:rsid w:val="6DA955B8"/>
    <w:rsid w:val="6DE346AB"/>
    <w:rsid w:val="6DE5391A"/>
    <w:rsid w:val="6EFD1324"/>
    <w:rsid w:val="6F5A53AC"/>
    <w:rsid w:val="6FAC003D"/>
    <w:rsid w:val="6FE55E12"/>
    <w:rsid w:val="6FFB2E76"/>
    <w:rsid w:val="7053600D"/>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BE2D25"/>
    <w:rsid w:val="7CDC31AB"/>
    <w:rsid w:val="7D7406BB"/>
    <w:rsid w:val="7DE94331"/>
    <w:rsid w:val="7EE508B5"/>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List Paragraph"/>
    <w:qFormat/>
    <w:uiPriority w:val="99"/>
    <w:pPr>
      <w:ind w:firstLine="420" w:firstLineChars="200"/>
    </w:pPr>
    <w:rPr>
      <w:rFonts w:hint="default"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7391</Words>
  <Characters>8741</Characters>
  <Lines>161</Lines>
  <Paragraphs>45</Paragraphs>
  <TotalTime>12</TotalTime>
  <ScaleCrop>false</ScaleCrop>
  <LinksUpToDate>false</LinksUpToDate>
  <CharactersWithSpaces>9727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WPS_1691481702</cp:lastModifiedBy>
  <dcterms:modified xsi:type="dcterms:W3CDTF">2024-08-20T07:55:33Z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