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A15885">
      <w:pPr>
        <w:pStyle w:val="6"/>
        <w:spacing w:before="0" w:beforeAutospacing="0" w:after="0" w:afterAutospacing="0" w:line="596" w:lineRule="exact"/>
        <w:jc w:val="center"/>
        <w:rPr>
          <w:rFonts w:hint="default" w:ascii="Times New Roman" w:hAnsi="Times New Roman" w:eastAsia="方正小标宋_GBK" w:cs="Times New Roman"/>
          <w:b w:val="0"/>
          <w:bCs w:val="0"/>
          <w:sz w:val="36"/>
          <w:szCs w:val="36"/>
        </w:rPr>
      </w:pPr>
      <w:r>
        <w:rPr>
          <w:rFonts w:hint="default" w:ascii="Times New Roman" w:hAnsi="Times New Roman" w:eastAsia="方正小标宋_GBK" w:cs="Times New Roman"/>
          <w:b w:val="0"/>
          <w:bCs w:val="0"/>
          <w:sz w:val="36"/>
          <w:szCs w:val="36"/>
        </w:rPr>
        <w:t>重庆市潼南区塘坝镇人民政府</w:t>
      </w:r>
    </w:p>
    <w:p w14:paraId="14748198">
      <w:pPr>
        <w:pStyle w:val="6"/>
        <w:spacing w:before="0" w:beforeAutospacing="0" w:after="0" w:afterAutospacing="0" w:line="596" w:lineRule="exact"/>
        <w:jc w:val="center"/>
        <w:rPr>
          <w:rFonts w:hint="default" w:ascii="Times New Roman" w:hAnsi="Times New Roman" w:eastAsia="方正小标宋_GBK" w:cs="Times New Roman"/>
          <w:b w:val="0"/>
          <w:bCs w:val="0"/>
          <w:sz w:val="36"/>
          <w:szCs w:val="36"/>
          <w:shd w:val="clear" w:color="auto" w:fill="FFFFFF"/>
        </w:rPr>
      </w:pPr>
      <w:r>
        <w:rPr>
          <w:rFonts w:hint="default" w:ascii="Times New Roman" w:hAnsi="Times New Roman" w:eastAsia="方正小标宋_GBK" w:cs="Times New Roman"/>
          <w:b w:val="0"/>
          <w:bCs w:val="0"/>
          <w:sz w:val="36"/>
          <w:szCs w:val="36"/>
          <w:shd w:val="clear" w:color="auto" w:fill="FFFFFF"/>
        </w:rPr>
        <w:t>2024年度决算公开说明</w:t>
      </w:r>
    </w:p>
    <w:p w14:paraId="4E7592E1">
      <w:pPr>
        <w:pStyle w:val="6"/>
        <w:spacing w:before="0" w:beforeAutospacing="0" w:after="0" w:afterAutospacing="0" w:line="596" w:lineRule="exact"/>
        <w:jc w:val="center"/>
        <w:rPr>
          <w:rFonts w:hint="default" w:ascii="Times New Roman" w:hAnsi="Times New Roman" w:eastAsia="方正小标宋_GBK" w:cs="Times New Roman"/>
          <w:b w:val="0"/>
          <w:bCs w:val="0"/>
          <w:sz w:val="36"/>
          <w:szCs w:val="36"/>
          <w:shd w:val="clear" w:color="auto" w:fill="FFFFFF"/>
        </w:rPr>
      </w:pPr>
      <w:bookmarkStart w:id="0" w:name="_GoBack"/>
      <w:bookmarkEnd w:id="0"/>
    </w:p>
    <w:p w14:paraId="0AB5A6E5">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6" w:lineRule="exact"/>
        <w:ind w:firstLine="643" w:firstLineChars="200"/>
        <w:textAlignment w:val="auto"/>
        <w:rPr>
          <w:rStyle w:val="10"/>
          <w:rFonts w:hint="default" w:ascii="Times New Roman" w:hAnsi="Times New Roman" w:eastAsia="黑体" w:cs="Times New Roman"/>
          <w:sz w:val="32"/>
          <w:szCs w:val="32"/>
          <w:shd w:val="clear" w:color="auto" w:fill="FFFFFF"/>
        </w:rPr>
      </w:pPr>
      <w:r>
        <w:rPr>
          <w:rStyle w:val="10"/>
          <w:rFonts w:hint="default" w:ascii="Times New Roman" w:hAnsi="Times New Roman" w:eastAsia="黑体" w:cs="Times New Roman"/>
          <w:sz w:val="32"/>
          <w:szCs w:val="32"/>
          <w:shd w:val="clear" w:color="auto" w:fill="FFFFFF"/>
        </w:rPr>
        <w:t>一、</w:t>
      </w:r>
      <w:r>
        <w:rPr>
          <w:rStyle w:val="10"/>
          <w:rFonts w:hint="default" w:ascii="Times New Roman" w:hAnsi="Times New Roman" w:eastAsia="黑体" w:cs="Times New Roman"/>
          <w:sz w:val="32"/>
          <w:szCs w:val="32"/>
          <w:shd w:val="clear" w:color="auto" w:fill="FFFFFF"/>
          <w:lang w:eastAsia="zh-CN"/>
        </w:rPr>
        <w:t>部门</w:t>
      </w:r>
      <w:r>
        <w:rPr>
          <w:rStyle w:val="10"/>
          <w:rFonts w:hint="default" w:ascii="Times New Roman" w:hAnsi="Times New Roman" w:eastAsia="黑体" w:cs="Times New Roman"/>
          <w:sz w:val="32"/>
          <w:szCs w:val="32"/>
          <w:shd w:val="clear" w:color="auto" w:fill="FFFFFF"/>
        </w:rPr>
        <w:t>基本情况</w:t>
      </w:r>
    </w:p>
    <w:p w14:paraId="2045528E">
      <w:pPr>
        <w:keepNext w:val="0"/>
        <w:keepLines w:val="0"/>
        <w:pageBreakBefore w:val="0"/>
        <w:widowControl w:val="0"/>
        <w:kinsoku/>
        <w:wordWrap/>
        <w:overflowPunct/>
        <w:topLinePunct w:val="0"/>
        <w:autoSpaceDE/>
        <w:autoSpaceDN/>
        <w:bidi w:val="0"/>
        <w:adjustRightInd/>
        <w:snapToGrid/>
        <w:spacing w:line="300" w:lineRule="auto"/>
        <w:ind w:firstLine="640" w:firstLineChars="200"/>
        <w:textAlignment w:val="auto"/>
        <w:rPr>
          <w:rFonts w:hint="default" w:ascii="Times New Roman" w:hAnsi="Times New Roman" w:eastAsia="方正仿宋_GBK" w:cs="Times New Roman"/>
          <w:sz w:val="32"/>
          <w:szCs w:val="32"/>
          <w:shd w:val="clear" w:color="auto" w:fill="FFFFFF"/>
          <w:lang w:val="en-US" w:eastAsia="zh-CN" w:bidi="ar-SA"/>
        </w:rPr>
      </w:pPr>
      <w:r>
        <w:rPr>
          <w:rFonts w:hint="default" w:ascii="Times New Roman" w:hAnsi="Times New Roman" w:eastAsia="方正仿宋_GBK" w:cs="Times New Roman"/>
          <w:sz w:val="32"/>
          <w:szCs w:val="32"/>
          <w:shd w:val="clear" w:color="auto" w:fill="FFFFFF"/>
          <w:lang w:val="en-US" w:eastAsia="zh-CN" w:bidi="ar-SA"/>
        </w:rPr>
        <w:t>1．主要职能</w:t>
      </w:r>
    </w:p>
    <w:p w14:paraId="3D1AD8C0">
      <w:pPr>
        <w:keepNext w:val="0"/>
        <w:keepLines w:val="0"/>
        <w:pageBreakBefore w:val="0"/>
        <w:widowControl w:val="0"/>
        <w:kinsoku/>
        <w:wordWrap/>
        <w:overflowPunct/>
        <w:topLinePunct w:val="0"/>
        <w:autoSpaceDE/>
        <w:autoSpaceDN/>
        <w:bidi w:val="0"/>
        <w:adjustRightInd/>
        <w:snapToGrid/>
        <w:spacing w:line="300" w:lineRule="auto"/>
        <w:ind w:firstLine="640" w:firstLineChars="200"/>
        <w:textAlignment w:val="auto"/>
        <w:rPr>
          <w:rFonts w:hint="default" w:ascii="Times New Roman" w:hAnsi="Times New Roman" w:eastAsia="方正仿宋_GBK" w:cs="Times New Roman"/>
          <w:sz w:val="32"/>
          <w:szCs w:val="32"/>
          <w:shd w:val="clear" w:color="auto" w:fill="FFFFFF"/>
          <w:lang w:val="en-US" w:eastAsia="zh-CN" w:bidi="ar-SA"/>
        </w:rPr>
      </w:pPr>
      <w:r>
        <w:rPr>
          <w:rFonts w:hint="default" w:ascii="Times New Roman" w:hAnsi="Times New Roman" w:eastAsia="方正仿宋_GBK" w:cs="Times New Roman"/>
          <w:sz w:val="32"/>
          <w:szCs w:val="32"/>
          <w:shd w:val="clear" w:color="auto" w:fill="FFFFFF"/>
          <w:lang w:val="en-US" w:eastAsia="zh-CN" w:bidi="ar-SA"/>
        </w:rPr>
        <w:t>重庆市潼南区塘坝镇人民政府主要承担宣传和执行党的路线方针政策，贯彻执行上级的各项决议，组织带领全体干部，努力完成本单位所担负经济发展、社会稳定等各项中心工作和任务；加强党组织自身建设，领导以村（居）党组织为核心的村（居）组织体系建设； 领导和指导社区非公有制经济组织开展党的工作；领导本镇工会、共青团、妇联等群众组织，支持和保证其依照各自章程开展工作；以经济建设为中心，抓好招商引资、向上争资工作，做好培植税源工作，努力为区域经济发展营造良好的社会环境，促进区域经济发展；组织、协调党、政、工、青、妇、司法所、派出所等部门和周边单位，密切关注辖区内的治安动态，掌握、分析治安状况，及时向上级部门上报信息，重大问题报告党政领导研究解决；对本辖区城市管理、计划生育、民政低保、就业和社会保障、社区建设、精神文明建设中的重大问题行使组织领导、综合协调、监督评议的行政管理职能，协调有关部门，动员各方力量，整合各类资源，服务群众，共同推进社区建设。</w:t>
      </w:r>
    </w:p>
    <w:p w14:paraId="5BD62A74">
      <w:pPr>
        <w:keepNext w:val="0"/>
        <w:keepLines w:val="0"/>
        <w:pageBreakBefore w:val="0"/>
        <w:widowControl w:val="0"/>
        <w:numPr>
          <w:ilvl w:val="0"/>
          <w:numId w:val="1"/>
        </w:numPr>
        <w:kinsoku/>
        <w:wordWrap/>
        <w:overflowPunct/>
        <w:topLinePunct w:val="0"/>
        <w:autoSpaceDE/>
        <w:autoSpaceDN/>
        <w:bidi w:val="0"/>
        <w:adjustRightInd/>
        <w:snapToGrid/>
        <w:spacing w:line="300" w:lineRule="auto"/>
        <w:ind w:firstLine="640" w:firstLineChars="200"/>
        <w:textAlignment w:val="auto"/>
        <w:rPr>
          <w:rFonts w:hint="default" w:ascii="Times New Roman" w:hAnsi="Times New Roman" w:eastAsia="方正仿宋_GBK" w:cs="Times New Roman"/>
          <w:sz w:val="32"/>
          <w:szCs w:val="32"/>
          <w:shd w:val="clear" w:color="auto" w:fill="FFFFFF"/>
          <w:lang w:val="en-US" w:eastAsia="zh-CN" w:bidi="ar-SA"/>
        </w:rPr>
      </w:pPr>
      <w:r>
        <w:rPr>
          <w:rFonts w:hint="default" w:ascii="Times New Roman" w:hAnsi="Times New Roman" w:eastAsia="方正仿宋_GBK" w:cs="Times New Roman"/>
          <w:sz w:val="32"/>
          <w:szCs w:val="32"/>
          <w:shd w:val="clear" w:color="auto" w:fill="FFFFFF"/>
          <w:lang w:val="en-US" w:eastAsia="zh-CN" w:bidi="ar-SA"/>
        </w:rPr>
        <w:t>机构情况</w:t>
      </w:r>
    </w:p>
    <w:p w14:paraId="7D8C8695">
      <w:pPr>
        <w:keepNext w:val="0"/>
        <w:keepLines w:val="0"/>
        <w:pageBreakBefore w:val="0"/>
        <w:widowControl w:val="0"/>
        <w:kinsoku/>
        <w:wordWrap/>
        <w:overflowPunct/>
        <w:topLinePunct w:val="0"/>
        <w:autoSpaceDE/>
        <w:autoSpaceDN/>
        <w:bidi w:val="0"/>
        <w:adjustRightInd/>
        <w:snapToGrid/>
        <w:spacing w:line="300" w:lineRule="auto"/>
        <w:ind w:firstLine="640" w:firstLineChars="200"/>
        <w:textAlignment w:val="auto"/>
        <w:rPr>
          <w:rFonts w:hint="default" w:ascii="Times New Roman" w:hAnsi="Times New Roman" w:eastAsia="方正仿宋_GBK" w:cs="Times New Roman"/>
          <w:sz w:val="32"/>
          <w:szCs w:val="32"/>
          <w:shd w:val="clear" w:color="auto" w:fill="FFFFFF"/>
          <w:lang w:val="en-US" w:eastAsia="zh-CN" w:bidi="ar-SA"/>
        </w:rPr>
      </w:pPr>
      <w:r>
        <w:rPr>
          <w:rFonts w:hint="default" w:ascii="Times New Roman" w:hAnsi="Times New Roman" w:eastAsia="方正仿宋_GBK" w:cs="Times New Roman"/>
          <w:sz w:val="32"/>
          <w:szCs w:val="32"/>
          <w:shd w:val="clear" w:color="auto" w:fill="FFFFFF"/>
          <w:lang w:val="en-US" w:eastAsia="zh-CN" w:bidi="ar-SA"/>
        </w:rPr>
        <w:t>重庆市潼南区塘坝镇人民政府属于一级预算单位，单位类型是行政单位，决算编报类型为叠加汇总表，按照政府会计准则制度填报决算数据 ，</w:t>
      </w:r>
      <w:r>
        <w:rPr>
          <w:rFonts w:hint="eastAsia" w:ascii="Times New Roman" w:hAnsi="Times New Roman" w:eastAsia="方正仿宋_GBK" w:cs="Times New Roman"/>
          <w:sz w:val="32"/>
          <w:szCs w:val="32"/>
          <w:shd w:val="clear" w:color="auto" w:fill="FFFFFF"/>
          <w:lang w:val="en-US" w:eastAsia="zh-CN" w:bidi="ar-SA"/>
        </w:rPr>
        <w:t>年末</w:t>
      </w:r>
      <w:r>
        <w:rPr>
          <w:rFonts w:hint="default" w:ascii="Times New Roman" w:hAnsi="Times New Roman" w:eastAsia="方正仿宋_GBK" w:cs="Times New Roman"/>
          <w:sz w:val="32"/>
          <w:szCs w:val="32"/>
          <w:shd w:val="clear" w:color="auto" w:fill="FFFFFF"/>
          <w:lang w:val="en-US" w:eastAsia="zh-CN" w:bidi="ar-SA"/>
        </w:rPr>
        <w:t>共有行政编制人员50名，参公编制1名，事业编制56名。</w:t>
      </w:r>
    </w:p>
    <w:p w14:paraId="4B483903">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6" w:lineRule="exact"/>
        <w:ind w:firstLine="643" w:firstLineChars="200"/>
        <w:textAlignment w:val="auto"/>
        <w:rPr>
          <w:rStyle w:val="10"/>
          <w:rFonts w:hint="default" w:ascii="Times New Roman" w:hAnsi="Times New Roman" w:eastAsia="黑体" w:cs="Times New Roman"/>
          <w:sz w:val="32"/>
          <w:szCs w:val="32"/>
          <w:shd w:val="clear" w:color="auto" w:fill="FFFFFF"/>
        </w:rPr>
      </w:pPr>
      <w:r>
        <w:rPr>
          <w:rStyle w:val="10"/>
          <w:rFonts w:hint="default" w:ascii="Times New Roman" w:hAnsi="Times New Roman" w:eastAsia="黑体" w:cs="Times New Roman"/>
          <w:sz w:val="32"/>
          <w:szCs w:val="32"/>
          <w:shd w:val="clear" w:color="auto" w:fill="FFFFFF"/>
        </w:rPr>
        <w:t>二、</w:t>
      </w:r>
      <w:r>
        <w:rPr>
          <w:rStyle w:val="10"/>
          <w:rFonts w:hint="default" w:ascii="Times New Roman" w:hAnsi="Times New Roman" w:eastAsia="黑体" w:cs="Times New Roman"/>
          <w:sz w:val="32"/>
          <w:szCs w:val="32"/>
          <w:shd w:val="clear" w:color="auto" w:fill="FFFFFF"/>
          <w:lang w:eastAsia="zh-CN"/>
        </w:rPr>
        <w:t>部门</w:t>
      </w:r>
      <w:r>
        <w:rPr>
          <w:rStyle w:val="10"/>
          <w:rFonts w:hint="default" w:ascii="Times New Roman" w:hAnsi="Times New Roman" w:eastAsia="黑体" w:cs="Times New Roman"/>
          <w:sz w:val="32"/>
          <w:szCs w:val="32"/>
          <w:shd w:val="clear" w:color="auto" w:fill="FFFFFF"/>
        </w:rPr>
        <w:t>决算</w:t>
      </w:r>
      <w:r>
        <w:rPr>
          <w:rStyle w:val="10"/>
          <w:rFonts w:hint="default" w:ascii="Times New Roman" w:hAnsi="Times New Roman" w:eastAsia="黑体" w:cs="Times New Roman"/>
          <w:sz w:val="32"/>
          <w:szCs w:val="32"/>
          <w:shd w:val="clear" w:color="auto" w:fill="FFFFFF"/>
          <w:lang w:eastAsia="zh-CN"/>
        </w:rPr>
        <w:t>收支</w:t>
      </w:r>
      <w:r>
        <w:rPr>
          <w:rStyle w:val="10"/>
          <w:rFonts w:hint="default" w:ascii="Times New Roman" w:hAnsi="Times New Roman" w:eastAsia="黑体" w:cs="Times New Roman"/>
          <w:sz w:val="32"/>
          <w:szCs w:val="32"/>
          <w:shd w:val="clear" w:color="auto" w:fill="FFFFFF"/>
        </w:rPr>
        <w:t>情况说明</w:t>
      </w:r>
    </w:p>
    <w:p w14:paraId="5373FA11">
      <w:pPr>
        <w:pStyle w:val="11"/>
        <w:keepNext w:val="0"/>
        <w:keepLines w:val="0"/>
        <w:pageBreakBefore w:val="0"/>
        <w:widowControl/>
        <w:kinsoku/>
        <w:wordWrap/>
        <w:overflowPunct/>
        <w:topLinePunct w:val="0"/>
        <w:autoSpaceDE w:val="0"/>
        <w:autoSpaceDN/>
        <w:bidi w:val="0"/>
        <w:adjustRightInd/>
        <w:snapToGrid/>
        <w:spacing w:line="596" w:lineRule="exact"/>
        <w:ind w:firstLine="643" w:firstLineChars="200"/>
        <w:textAlignment w:val="auto"/>
        <w:rPr>
          <w:rFonts w:hint="default" w:ascii="Times New Roman" w:hAnsi="Times New Roman" w:eastAsia="楷体" w:cs="Times New Roman"/>
          <w:b/>
          <w:bCs/>
          <w:sz w:val="32"/>
          <w:szCs w:val="32"/>
          <w:shd w:val="clear" w:color="auto" w:fill="FFFFFF"/>
        </w:rPr>
      </w:pPr>
      <w:r>
        <w:rPr>
          <w:rFonts w:hint="default" w:ascii="Times New Roman" w:hAnsi="Times New Roman" w:eastAsia="楷体" w:cs="Times New Roman"/>
          <w:b/>
          <w:bCs/>
          <w:sz w:val="32"/>
          <w:szCs w:val="32"/>
          <w:shd w:val="clear" w:color="auto" w:fill="FFFFFF"/>
        </w:rPr>
        <w:t>（一）收入支出决算总体情况说明</w:t>
      </w:r>
    </w:p>
    <w:p w14:paraId="1738AF65">
      <w:pPr>
        <w:pStyle w:val="6"/>
        <w:shd w:val="clear" w:color="auto" w:fill="FFFFFF"/>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sz w:val="32"/>
          <w:szCs w:val="32"/>
          <w:shd w:val="clear" w:color="auto" w:fill="FFFFFF"/>
        </w:rPr>
        <w:t>2024年度收</w:t>
      </w:r>
      <w:r>
        <w:rPr>
          <w:rFonts w:hint="default" w:ascii="Times New Roman" w:hAnsi="Times New Roman" w:eastAsia="方正仿宋_GBK" w:cs="Times New Roman"/>
          <w:sz w:val="32"/>
          <w:szCs w:val="32"/>
          <w:shd w:val="clear" w:color="auto" w:fill="FFFFFF"/>
          <w:lang w:eastAsia="zh-CN"/>
        </w:rPr>
        <w:t>、支</w:t>
      </w:r>
      <w:r>
        <w:rPr>
          <w:rFonts w:hint="default" w:ascii="Times New Roman" w:hAnsi="Times New Roman" w:eastAsia="方正仿宋_GBK" w:cs="Times New Roman"/>
          <w:sz w:val="32"/>
          <w:szCs w:val="32"/>
          <w:shd w:val="clear" w:color="auto" w:fill="FFFFFF"/>
        </w:rPr>
        <w:t>总计</w:t>
      </w:r>
      <w:r>
        <w:rPr>
          <w:rFonts w:hint="default" w:ascii="Times New Roman" w:hAnsi="Times New Roman" w:eastAsia="方正仿宋_GBK" w:cs="Times New Roman"/>
          <w:sz w:val="32"/>
          <w:szCs w:val="32"/>
          <w:shd w:val="clear" w:color="auto" w:fill="FFFFFF"/>
          <w:lang w:eastAsia="zh-CN"/>
        </w:rPr>
        <w:t>均为</w:t>
      </w:r>
      <w:r>
        <w:rPr>
          <w:rFonts w:hint="default" w:ascii="Times New Roman" w:hAnsi="Times New Roman" w:eastAsia="方正仿宋_GBK" w:cs="Times New Roman"/>
          <w:sz w:val="32"/>
          <w:szCs w:val="32"/>
          <w:shd w:val="clear" w:color="auto" w:fill="FFFFFF"/>
        </w:rPr>
        <w:t>4708.29万元。收、支与2023年度相比，减少1168.07万元，下降19.88%，主要原因是本年度较23年基层治理减少48.45万元、消防队支出减少68万元、养老服务站减少22万元、旧房品质提升减少202.46万元、健身广场建设减少50万元、农村综合改革减少67.13万元、灾害资金减少68万元，导致本年度项目收入大幅减少，减少1244.93万元，日常公用经费减少20.35万元，但本年度人员晋升及工资浮动增加，增加97.21万元，总计较上年减少1168.07万元，</w:t>
      </w:r>
      <w:r>
        <w:rPr>
          <w:rFonts w:hint="default" w:ascii="Times New Roman" w:hAnsi="Times New Roman" w:eastAsia="方正仿宋_GBK" w:cs="Times New Roman"/>
          <w:sz w:val="32"/>
          <w:szCs w:val="32"/>
          <w:shd w:val="clear" w:color="auto" w:fill="FFFFFF"/>
          <w:lang w:val="en-US" w:eastAsia="zh-CN"/>
        </w:rPr>
        <w:t>收支</w:t>
      </w:r>
      <w:r>
        <w:rPr>
          <w:rFonts w:hint="default" w:ascii="Times New Roman" w:hAnsi="Times New Roman" w:eastAsia="方正仿宋_GBK" w:cs="Times New Roman"/>
          <w:sz w:val="32"/>
          <w:szCs w:val="32"/>
          <w:shd w:val="clear" w:color="auto" w:fill="FFFFFF"/>
        </w:rPr>
        <w:t>减少19.88%。</w:t>
      </w:r>
    </w:p>
    <w:p w14:paraId="0BA63F74">
      <w:pPr>
        <w:pStyle w:val="6"/>
        <w:shd w:val="clear" w:color="auto" w:fill="FFFFFF"/>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shd w:val="clear" w:color="auto" w:fill="FFFFFF"/>
        </w:rPr>
      </w:pPr>
      <w:r>
        <w:rPr>
          <w:rStyle w:val="10"/>
          <w:rFonts w:hint="default" w:ascii="Times New Roman" w:hAnsi="Times New Roman" w:eastAsia="方正仿宋_GBK" w:cs="Times New Roman"/>
          <w:sz w:val="32"/>
          <w:szCs w:val="32"/>
          <w:shd w:val="clear" w:color="auto" w:fill="FFFFFF"/>
          <w:lang w:val="en-US" w:eastAsia="zh-CN"/>
        </w:rPr>
        <w:t>1</w:t>
      </w:r>
      <w:r>
        <w:rPr>
          <w:rStyle w:val="10"/>
          <w:rFonts w:hint="default" w:ascii="Times New Roman" w:hAnsi="Times New Roman" w:eastAsia="方正仿宋_GBK" w:cs="Times New Roman"/>
          <w:sz w:val="32"/>
          <w:szCs w:val="32"/>
          <w:shd w:val="clear" w:color="auto" w:fill="FFFFFF"/>
        </w:rPr>
        <w:t>.收入情况。</w:t>
      </w:r>
      <w:r>
        <w:rPr>
          <w:rFonts w:hint="default" w:ascii="Times New Roman" w:hAnsi="Times New Roman" w:eastAsia="方正仿宋_GBK" w:cs="Times New Roman"/>
          <w:sz w:val="32"/>
          <w:szCs w:val="32"/>
          <w:shd w:val="clear" w:color="auto" w:fill="FFFFFF"/>
        </w:rPr>
        <w:t>2024年度收入合计4708.29万元，与2023年度相比，减少1168.07万元，下降19.88%，主要原因是本年度较23年基层治理减少48.45万元、消防队支出减少68万元、养老服务站减少22万元、旧房品质提升减少202.46万元、健身广场建设减少50万元、农村综合改革减少67.13万元、灾害资金减少68万元，导致本年度项目收入大幅减少，减少1244.93万元，日常公用经费减少20.35万元，但本年度人员晋升及工资浮动增加，增加97.21万元，总计较上年减少1168.07万元，</w:t>
      </w:r>
      <w:r>
        <w:rPr>
          <w:rFonts w:hint="default" w:ascii="Times New Roman" w:hAnsi="Times New Roman" w:eastAsia="方正仿宋_GBK" w:cs="Times New Roman"/>
          <w:sz w:val="32"/>
          <w:szCs w:val="32"/>
          <w:shd w:val="clear" w:color="auto" w:fill="FFFFFF"/>
          <w:lang w:val="en-US" w:eastAsia="zh-CN"/>
        </w:rPr>
        <w:t>收入</w:t>
      </w:r>
      <w:r>
        <w:rPr>
          <w:rFonts w:hint="default" w:ascii="Times New Roman" w:hAnsi="Times New Roman" w:eastAsia="方正仿宋_GBK" w:cs="Times New Roman"/>
          <w:sz w:val="32"/>
          <w:szCs w:val="32"/>
          <w:shd w:val="clear" w:color="auto" w:fill="FFFFFF"/>
        </w:rPr>
        <w:t>减少19.88%。其中：财政拨款收入4708.29万元，占100.00%；事业收入0.00万元，占0.00%；经营收入0.00万元，占0.00%；其他收入0.00万元，占0.00%。此外，使用非财政拨款结余和专用结余0.00万元，年初结转和结余0.00万元。</w:t>
      </w:r>
    </w:p>
    <w:p w14:paraId="122CF80B">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shd w:val="clear" w:color="auto" w:fill="FFFFFF"/>
        </w:rPr>
      </w:pPr>
      <w:r>
        <w:rPr>
          <w:rStyle w:val="10"/>
          <w:rFonts w:hint="default" w:ascii="Times New Roman" w:hAnsi="Times New Roman" w:eastAsia="方正仿宋_GBK" w:cs="Times New Roman"/>
          <w:sz w:val="32"/>
          <w:szCs w:val="32"/>
          <w:shd w:val="clear" w:color="auto" w:fill="FFFFFF"/>
          <w:lang w:val="en-US" w:eastAsia="zh-CN"/>
        </w:rPr>
        <w:t>2</w:t>
      </w:r>
      <w:r>
        <w:rPr>
          <w:rStyle w:val="10"/>
          <w:rFonts w:hint="default" w:ascii="Times New Roman" w:hAnsi="Times New Roman" w:eastAsia="方正仿宋_GBK" w:cs="Times New Roman"/>
          <w:sz w:val="32"/>
          <w:szCs w:val="32"/>
          <w:shd w:val="clear" w:color="auto" w:fill="FFFFFF"/>
        </w:rPr>
        <w:t>.支出情况。</w:t>
      </w:r>
      <w:r>
        <w:rPr>
          <w:rFonts w:hint="default" w:ascii="Times New Roman" w:hAnsi="Times New Roman" w:eastAsia="方正仿宋_GBK" w:cs="Times New Roman"/>
          <w:sz w:val="32"/>
          <w:szCs w:val="32"/>
          <w:shd w:val="clear" w:color="auto" w:fill="FFFFFF"/>
        </w:rPr>
        <w:t>2024年度支出合计4708.29万元，与2023年度相比，减少1168.07万元，下降19.88%，主要原因是本年度较23年基层治理减少48.45万元、消防队支出减少68万元、养老服务站减少22万元、旧房品质提升减少202.46万元、健身广场建设减少50万元、农村综合改革减少67.13万元、灾害资金减少68万元，导致本年度项目收入大幅减少，减少1244.93万元，日常公用经费减少20.35万元，但本年度人员晋升及工资浮动增加，增加97.21万元，总计较上年减少1168.07万元，</w:t>
      </w:r>
      <w:r>
        <w:rPr>
          <w:rFonts w:hint="default" w:ascii="Times New Roman" w:hAnsi="Times New Roman" w:eastAsia="方正仿宋_GBK" w:cs="Times New Roman"/>
          <w:sz w:val="32"/>
          <w:szCs w:val="32"/>
          <w:shd w:val="clear" w:color="auto" w:fill="FFFFFF"/>
          <w:lang w:val="en-US" w:eastAsia="zh-CN"/>
        </w:rPr>
        <w:t>支出</w:t>
      </w:r>
      <w:r>
        <w:rPr>
          <w:rFonts w:hint="default" w:ascii="Times New Roman" w:hAnsi="Times New Roman" w:eastAsia="方正仿宋_GBK" w:cs="Times New Roman"/>
          <w:sz w:val="32"/>
          <w:szCs w:val="32"/>
          <w:shd w:val="clear" w:color="auto" w:fill="FFFFFF"/>
        </w:rPr>
        <w:t>减少19.88%。其中：基本支出3057.44万元，占64.94%；项目支出1650.85万元，占35.06%；经营支出</w:t>
      </w:r>
      <w:r>
        <w:rPr>
          <w:rFonts w:hint="default" w:ascii="Times New Roman" w:hAnsi="Times New Roman" w:eastAsia="方正仿宋_GBK" w:cs="Times New Roman"/>
          <w:sz w:val="32"/>
          <w:szCs w:val="32"/>
        </w:rPr>
        <w:t>0.00</w:t>
      </w:r>
      <w:r>
        <w:rPr>
          <w:rFonts w:hint="default" w:ascii="Times New Roman" w:hAnsi="Times New Roman" w:eastAsia="方正仿宋_GBK" w:cs="Times New Roman"/>
          <w:sz w:val="32"/>
          <w:szCs w:val="32"/>
          <w:shd w:val="clear" w:color="auto" w:fill="FFFFFF"/>
        </w:rPr>
        <w:t>万元，占0.00%。此外，结余分配0.00万元。</w:t>
      </w:r>
    </w:p>
    <w:p w14:paraId="39A5D361">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lang w:eastAsia="zh-CN"/>
        </w:rPr>
      </w:pPr>
      <w:r>
        <w:rPr>
          <w:rStyle w:val="10"/>
          <w:rFonts w:hint="default" w:ascii="Times New Roman" w:hAnsi="Times New Roman" w:eastAsia="方正仿宋_GBK" w:cs="Times New Roman"/>
          <w:sz w:val="32"/>
          <w:szCs w:val="32"/>
          <w:shd w:val="clear" w:color="auto" w:fill="FFFFFF"/>
          <w:lang w:val="en-US" w:eastAsia="zh-CN"/>
        </w:rPr>
        <w:t>3</w:t>
      </w:r>
      <w:r>
        <w:rPr>
          <w:rStyle w:val="10"/>
          <w:rFonts w:hint="default" w:ascii="Times New Roman" w:hAnsi="Times New Roman" w:eastAsia="方正仿宋_GBK" w:cs="Times New Roman"/>
          <w:sz w:val="32"/>
          <w:szCs w:val="32"/>
          <w:shd w:val="clear" w:color="auto" w:fill="FFFFFF"/>
        </w:rPr>
        <w:t>.结转结余情况。</w:t>
      </w:r>
      <w:r>
        <w:rPr>
          <w:rFonts w:hint="default" w:ascii="Times New Roman" w:hAnsi="Times New Roman" w:eastAsia="方正仿宋_GBK" w:cs="Times New Roman"/>
          <w:sz w:val="32"/>
          <w:szCs w:val="32"/>
          <w:shd w:val="clear" w:color="auto" w:fill="FFFFFF"/>
        </w:rPr>
        <w:t>2024年度</w:t>
      </w:r>
      <w:r>
        <w:rPr>
          <w:rFonts w:hint="default" w:ascii="Times New Roman" w:hAnsi="Times New Roman" w:eastAsia="方正仿宋_GBK" w:cs="Times New Roman"/>
          <w:sz w:val="32"/>
          <w:szCs w:val="32"/>
          <w:shd w:val="clear" w:color="auto" w:fill="FFFFFF"/>
          <w:lang w:val="en-US" w:eastAsia="zh-CN"/>
        </w:rPr>
        <w:t>无</w:t>
      </w:r>
      <w:r>
        <w:rPr>
          <w:rFonts w:hint="default" w:ascii="Times New Roman" w:hAnsi="Times New Roman" w:eastAsia="方正仿宋_GBK" w:cs="Times New Roman"/>
          <w:sz w:val="32"/>
          <w:szCs w:val="32"/>
          <w:shd w:val="clear" w:color="auto" w:fill="FFFFFF"/>
        </w:rPr>
        <w:t>年末结转和结余</w:t>
      </w:r>
      <w:r>
        <w:rPr>
          <w:rFonts w:hint="default" w:ascii="Times New Roman" w:hAnsi="Times New Roman" w:eastAsia="方正仿宋_GBK" w:cs="Times New Roman"/>
          <w:sz w:val="32"/>
          <w:szCs w:val="32"/>
          <w:shd w:val="clear" w:color="auto" w:fill="FFFFFF"/>
          <w:lang w:eastAsia="zh-CN"/>
        </w:rPr>
        <w:t>。</w:t>
      </w:r>
    </w:p>
    <w:p w14:paraId="481429C3">
      <w:pPr>
        <w:pStyle w:val="11"/>
        <w:keepNext w:val="0"/>
        <w:keepLines w:val="0"/>
        <w:pageBreakBefore w:val="0"/>
        <w:widowControl/>
        <w:kinsoku/>
        <w:wordWrap/>
        <w:overflowPunct/>
        <w:topLinePunct w:val="0"/>
        <w:autoSpaceDE w:val="0"/>
        <w:autoSpaceDN/>
        <w:bidi w:val="0"/>
        <w:adjustRightInd/>
        <w:snapToGrid/>
        <w:spacing w:line="596" w:lineRule="exact"/>
        <w:ind w:firstLine="643" w:firstLineChars="200"/>
        <w:textAlignment w:val="auto"/>
        <w:rPr>
          <w:rFonts w:hint="default" w:ascii="Times New Roman" w:hAnsi="Times New Roman" w:eastAsia="楷体" w:cs="Times New Roman"/>
          <w:b/>
          <w:bCs/>
          <w:sz w:val="32"/>
          <w:szCs w:val="32"/>
          <w:shd w:val="clear" w:color="auto" w:fill="FFFFFF"/>
        </w:rPr>
      </w:pPr>
      <w:r>
        <w:rPr>
          <w:rFonts w:hint="default" w:ascii="Times New Roman" w:hAnsi="Times New Roman" w:eastAsia="楷体" w:cs="Times New Roman"/>
          <w:b/>
          <w:bCs/>
          <w:sz w:val="32"/>
          <w:szCs w:val="32"/>
          <w:shd w:val="clear" w:color="auto" w:fill="FFFFFF"/>
        </w:rPr>
        <w:t>（二）财政拨款收入支出决算总体情况说明</w:t>
      </w:r>
    </w:p>
    <w:p w14:paraId="051F5A61">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2024年度财政拨款收、支总计均为4708.29万元。与2023年</w:t>
      </w:r>
      <w:r>
        <w:rPr>
          <w:rFonts w:hint="default" w:ascii="Times New Roman" w:hAnsi="Times New Roman" w:eastAsia="方正仿宋_GBK" w:cs="Times New Roman"/>
          <w:sz w:val="32"/>
          <w:szCs w:val="32"/>
          <w:shd w:val="clear" w:color="auto" w:fill="FFFFFF"/>
          <w:lang w:eastAsia="zh-CN"/>
        </w:rPr>
        <w:t>度</w:t>
      </w:r>
      <w:r>
        <w:rPr>
          <w:rFonts w:hint="default" w:ascii="Times New Roman" w:hAnsi="Times New Roman" w:eastAsia="方正仿宋_GBK" w:cs="Times New Roman"/>
          <w:sz w:val="32"/>
          <w:szCs w:val="32"/>
          <w:shd w:val="clear" w:color="auto" w:fill="FFFFFF"/>
        </w:rPr>
        <w:t>相比，财政拨款收、支总计各减少1168.07万元，下降19.88%。主要原因是本年度较23年基层治理减少48.45万元、消防队支出减少68万元、养老服务站减少22万元、旧房品质提升减少202.46万元、健身广场建设减少50万元、农村综合改革减少67.13万元、灾害资金减少68万元，导致本年度项目收入大幅减少，减少1244.93万元，日常公用经费减少20.35万元，但本年度人员晋升及工资浮动增加，增加97.21万元，总计较上年减少1168.07万元，</w:t>
      </w:r>
      <w:r>
        <w:rPr>
          <w:rFonts w:hint="default" w:ascii="Times New Roman" w:hAnsi="Times New Roman" w:eastAsia="方正仿宋_GBK" w:cs="Times New Roman"/>
          <w:sz w:val="32"/>
          <w:szCs w:val="32"/>
          <w:shd w:val="clear" w:color="auto" w:fill="FFFFFF"/>
          <w:lang w:val="en-US" w:eastAsia="zh-CN"/>
        </w:rPr>
        <w:t>收支</w:t>
      </w:r>
      <w:r>
        <w:rPr>
          <w:rFonts w:hint="default" w:ascii="Times New Roman" w:hAnsi="Times New Roman" w:eastAsia="方正仿宋_GBK" w:cs="Times New Roman"/>
          <w:sz w:val="32"/>
          <w:szCs w:val="32"/>
          <w:shd w:val="clear" w:color="auto" w:fill="FFFFFF"/>
        </w:rPr>
        <w:t>减少19.88%。</w:t>
      </w:r>
    </w:p>
    <w:p w14:paraId="75FC49AE">
      <w:pPr>
        <w:pStyle w:val="11"/>
        <w:keepNext w:val="0"/>
        <w:keepLines w:val="0"/>
        <w:pageBreakBefore w:val="0"/>
        <w:widowControl/>
        <w:kinsoku/>
        <w:wordWrap/>
        <w:overflowPunct/>
        <w:topLinePunct w:val="0"/>
        <w:autoSpaceDE w:val="0"/>
        <w:autoSpaceDN/>
        <w:bidi w:val="0"/>
        <w:adjustRightInd/>
        <w:snapToGrid/>
        <w:spacing w:line="596" w:lineRule="exact"/>
        <w:ind w:firstLine="643" w:firstLineChars="200"/>
        <w:textAlignment w:val="auto"/>
        <w:rPr>
          <w:rFonts w:hint="default" w:ascii="Times New Roman" w:hAnsi="Times New Roman" w:eastAsia="楷体" w:cs="Times New Roman"/>
          <w:b/>
          <w:bCs/>
          <w:sz w:val="32"/>
          <w:szCs w:val="32"/>
          <w:shd w:val="clear" w:color="auto" w:fill="FFFFFF"/>
        </w:rPr>
      </w:pPr>
      <w:r>
        <w:rPr>
          <w:rFonts w:hint="default" w:ascii="Times New Roman" w:hAnsi="Times New Roman" w:eastAsia="楷体" w:cs="Times New Roman"/>
          <w:b/>
          <w:bCs/>
          <w:sz w:val="32"/>
          <w:szCs w:val="32"/>
          <w:shd w:val="clear" w:color="auto" w:fill="FFFFFF"/>
        </w:rPr>
        <w:t>（三）一般公共预算财政拨款收入支出决算情况说明</w:t>
      </w:r>
    </w:p>
    <w:p w14:paraId="6D3AAF18">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方正仿宋_GBK" w:cs="Times New Roman"/>
          <w:sz w:val="32"/>
          <w:szCs w:val="32"/>
          <w:shd w:val="clear" w:color="auto" w:fill="FFFFFF"/>
        </w:rPr>
        <w:t>1.收入情况。</w:t>
      </w:r>
      <w:r>
        <w:rPr>
          <w:rFonts w:hint="default" w:ascii="Times New Roman" w:hAnsi="Times New Roman" w:eastAsia="方正仿宋_GBK" w:cs="Times New Roman"/>
          <w:sz w:val="32"/>
          <w:szCs w:val="32"/>
          <w:shd w:val="clear" w:color="auto" w:fill="FFFFFF"/>
        </w:rPr>
        <w:t>2024年度一般公共预算财政拨款收入4682.58万元，与2023年度相比，减少971.31万元，下降17.18%。主要原因是本年度较23年基层治理减少48.45万元、消防队支出减少68万元、养老服务站减少22万元、旧房品质提升减少202.46万元、健身广场建设减少50万元、农村综合改革减少67.13万元、灾害资金减少68万元，导致本年度项目收入大幅减少，减少1244.93万元，日常公用经费减少20.35万元，但本年度人员晋升及工资浮动增加，增加97.21万元，总</w:t>
      </w:r>
      <w:r>
        <w:rPr>
          <w:rFonts w:hint="default" w:ascii="Times New Roman" w:hAnsi="Times New Roman" w:eastAsia="方正仿宋_GBK" w:cs="Times New Roman"/>
          <w:sz w:val="32"/>
          <w:szCs w:val="32"/>
          <w:shd w:val="clear" w:color="auto" w:fill="FFFFFF"/>
          <w:lang w:val="en-US" w:eastAsia="zh-CN"/>
        </w:rPr>
        <w:t>体收入</w:t>
      </w:r>
      <w:r>
        <w:rPr>
          <w:rFonts w:hint="default" w:ascii="Times New Roman" w:hAnsi="Times New Roman" w:eastAsia="方正仿宋_GBK" w:cs="Times New Roman"/>
          <w:sz w:val="32"/>
          <w:szCs w:val="32"/>
          <w:shd w:val="clear" w:color="auto" w:fill="FFFFFF"/>
        </w:rPr>
        <w:t>减少</w:t>
      </w:r>
      <w:r>
        <w:rPr>
          <w:rFonts w:hint="default" w:ascii="Times New Roman" w:hAnsi="Times New Roman" w:eastAsia="方正仿宋_GBK" w:cs="Times New Roman"/>
          <w:sz w:val="32"/>
          <w:szCs w:val="32"/>
          <w:shd w:val="clear" w:color="auto" w:fill="FFFFFF"/>
          <w:lang w:val="en-US" w:eastAsia="zh-CN"/>
        </w:rPr>
        <w:t>17.18</w:t>
      </w:r>
      <w:r>
        <w:rPr>
          <w:rFonts w:hint="default" w:ascii="Times New Roman" w:hAnsi="Times New Roman" w:eastAsia="方正仿宋_GBK" w:cs="Times New Roman"/>
          <w:sz w:val="32"/>
          <w:szCs w:val="32"/>
          <w:shd w:val="clear" w:color="auto" w:fill="FFFFFF"/>
        </w:rPr>
        <w:t>%。较年初预算数增加461.09万元，增长10.92%。主要原因是人员普遍调资工资上浮、年中</w:t>
      </w:r>
      <w:r>
        <w:rPr>
          <w:rFonts w:hint="default" w:ascii="Times New Roman" w:hAnsi="Times New Roman" w:eastAsia="方正仿宋_GBK" w:cs="Times New Roman"/>
          <w:sz w:val="32"/>
          <w:szCs w:val="32"/>
          <w:shd w:val="clear" w:color="auto" w:fill="FFFFFF"/>
          <w:lang w:val="en-US" w:eastAsia="zh-CN"/>
        </w:rPr>
        <w:t>安排政府性基金、农村综合改革等项目</w:t>
      </w:r>
      <w:r>
        <w:rPr>
          <w:rFonts w:hint="default" w:ascii="Times New Roman" w:hAnsi="Times New Roman" w:eastAsia="方正仿宋_GBK" w:cs="Times New Roman"/>
          <w:sz w:val="32"/>
          <w:szCs w:val="32"/>
          <w:shd w:val="clear" w:color="auto" w:fill="FFFFFF"/>
        </w:rPr>
        <w:t>支出、年</w:t>
      </w:r>
      <w:r>
        <w:rPr>
          <w:rFonts w:hint="default" w:ascii="Times New Roman" w:hAnsi="Times New Roman" w:eastAsia="方正仿宋_GBK" w:cs="Times New Roman"/>
          <w:sz w:val="32"/>
          <w:szCs w:val="32"/>
          <w:shd w:val="clear" w:color="auto" w:fill="FFFFFF"/>
          <w:lang w:val="en-US" w:eastAsia="zh-CN"/>
        </w:rPr>
        <w:t>终</w:t>
      </w:r>
      <w:r>
        <w:rPr>
          <w:rFonts w:hint="default" w:ascii="Times New Roman" w:hAnsi="Times New Roman" w:eastAsia="方正仿宋_GBK" w:cs="Times New Roman"/>
          <w:sz w:val="32"/>
          <w:szCs w:val="32"/>
          <w:shd w:val="clear" w:color="auto" w:fill="FFFFFF"/>
        </w:rPr>
        <w:t>财政公用经费全部下达</w:t>
      </w: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sz w:val="32"/>
          <w:szCs w:val="32"/>
          <w:shd w:val="clear" w:color="auto" w:fill="FFFFFF"/>
          <w:lang w:val="en-US" w:eastAsia="zh-CN"/>
        </w:rPr>
        <w:t>收入增加，增长10.92%。</w:t>
      </w:r>
      <w:r>
        <w:rPr>
          <w:rFonts w:hint="default" w:ascii="Times New Roman" w:hAnsi="Times New Roman" w:eastAsia="方正仿宋_GBK" w:cs="Times New Roman"/>
          <w:sz w:val="32"/>
          <w:szCs w:val="32"/>
          <w:shd w:val="clear" w:color="auto" w:fill="FFFFFF"/>
        </w:rPr>
        <w:t>此外，年初财政拨款结转和结余0.00万元。</w:t>
      </w:r>
    </w:p>
    <w:p w14:paraId="56CD00B0">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color w:val="FF0000"/>
          <w:sz w:val="32"/>
          <w:szCs w:val="32"/>
          <w:shd w:val="clear" w:color="auto" w:fill="FFFFFF"/>
        </w:rPr>
      </w:pPr>
      <w:r>
        <w:rPr>
          <w:rStyle w:val="10"/>
          <w:rFonts w:hint="default" w:ascii="Times New Roman" w:hAnsi="Times New Roman" w:eastAsia="方正仿宋_GBK" w:cs="Times New Roman"/>
          <w:sz w:val="32"/>
          <w:szCs w:val="32"/>
          <w:shd w:val="clear" w:color="auto" w:fill="FFFFFF"/>
        </w:rPr>
        <w:t>2.支出情况。</w:t>
      </w:r>
      <w:r>
        <w:rPr>
          <w:rFonts w:hint="default" w:ascii="Times New Roman" w:hAnsi="Times New Roman" w:eastAsia="方正仿宋_GBK" w:cs="Times New Roman"/>
          <w:sz w:val="32"/>
          <w:szCs w:val="32"/>
          <w:shd w:val="clear" w:color="auto" w:fill="FFFFFF"/>
        </w:rPr>
        <w:t>2024年度一般公共预算财政拨款支出4682.58万元，与2023年度相比，减少971.31万元，下降17.18%。主要原因是本年度较23年基层治理减少48.45万元、消防队支出减少68万元、养老服务站减少22万元、旧房品质提升减少202.46万元、健身广场建设减少50万元、农村综合改革减少67.13万元、灾害资金减少68万元，导致本年度项目收入大幅减少，减少1244.93万元，日常公用经费减少20.35万元，但本年度人员晋升及工资浮动增加，增加97.21万元，总</w:t>
      </w:r>
      <w:r>
        <w:rPr>
          <w:rFonts w:hint="default" w:ascii="Times New Roman" w:hAnsi="Times New Roman" w:eastAsia="方正仿宋_GBK" w:cs="Times New Roman"/>
          <w:sz w:val="32"/>
          <w:szCs w:val="32"/>
          <w:shd w:val="clear" w:color="auto" w:fill="FFFFFF"/>
          <w:lang w:val="en-US" w:eastAsia="zh-CN"/>
        </w:rPr>
        <w:t>体收入</w:t>
      </w:r>
      <w:r>
        <w:rPr>
          <w:rFonts w:hint="default" w:ascii="Times New Roman" w:hAnsi="Times New Roman" w:eastAsia="方正仿宋_GBK" w:cs="Times New Roman"/>
          <w:sz w:val="32"/>
          <w:szCs w:val="32"/>
          <w:shd w:val="clear" w:color="auto" w:fill="FFFFFF"/>
        </w:rPr>
        <w:t>减少</w:t>
      </w:r>
      <w:r>
        <w:rPr>
          <w:rFonts w:hint="default" w:ascii="Times New Roman" w:hAnsi="Times New Roman" w:eastAsia="方正仿宋_GBK" w:cs="Times New Roman"/>
          <w:sz w:val="32"/>
          <w:szCs w:val="32"/>
          <w:shd w:val="clear" w:color="auto" w:fill="FFFFFF"/>
          <w:lang w:val="en-US" w:eastAsia="zh-CN"/>
        </w:rPr>
        <w:t>17.18</w:t>
      </w:r>
      <w:r>
        <w:rPr>
          <w:rFonts w:hint="default" w:ascii="Times New Roman" w:hAnsi="Times New Roman" w:eastAsia="方正仿宋_GBK" w:cs="Times New Roman"/>
          <w:sz w:val="32"/>
          <w:szCs w:val="32"/>
          <w:shd w:val="clear" w:color="auto" w:fill="FFFFFF"/>
        </w:rPr>
        <w:t>%。较年初预算数增加461.09万元，增长10.92%。主要原因是人员普遍调资工资上浮、年中</w:t>
      </w:r>
      <w:r>
        <w:rPr>
          <w:rFonts w:hint="default" w:ascii="Times New Roman" w:hAnsi="Times New Roman" w:eastAsia="方正仿宋_GBK" w:cs="Times New Roman"/>
          <w:sz w:val="32"/>
          <w:szCs w:val="32"/>
          <w:shd w:val="clear" w:color="auto" w:fill="FFFFFF"/>
          <w:lang w:val="en-US" w:eastAsia="zh-CN"/>
        </w:rPr>
        <w:t>安排政府性基金、农村综合改革等项目</w:t>
      </w:r>
      <w:r>
        <w:rPr>
          <w:rFonts w:hint="default" w:ascii="Times New Roman" w:hAnsi="Times New Roman" w:eastAsia="方正仿宋_GBK" w:cs="Times New Roman"/>
          <w:sz w:val="32"/>
          <w:szCs w:val="32"/>
          <w:shd w:val="clear" w:color="auto" w:fill="FFFFFF"/>
        </w:rPr>
        <w:t>支出、年</w:t>
      </w:r>
      <w:r>
        <w:rPr>
          <w:rFonts w:hint="default" w:ascii="Times New Roman" w:hAnsi="Times New Roman" w:eastAsia="方正仿宋_GBK" w:cs="Times New Roman"/>
          <w:sz w:val="32"/>
          <w:szCs w:val="32"/>
          <w:shd w:val="clear" w:color="auto" w:fill="FFFFFF"/>
          <w:lang w:val="en-US" w:eastAsia="zh-CN"/>
        </w:rPr>
        <w:t>终</w:t>
      </w:r>
      <w:r>
        <w:rPr>
          <w:rFonts w:hint="default" w:ascii="Times New Roman" w:hAnsi="Times New Roman" w:eastAsia="方正仿宋_GBK" w:cs="Times New Roman"/>
          <w:sz w:val="32"/>
          <w:szCs w:val="32"/>
          <w:shd w:val="clear" w:color="auto" w:fill="FFFFFF"/>
        </w:rPr>
        <w:t>财政公用经费全部下达</w:t>
      </w: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sz w:val="32"/>
          <w:szCs w:val="32"/>
          <w:shd w:val="clear" w:color="auto" w:fill="FFFFFF"/>
          <w:lang w:val="en-US" w:eastAsia="zh-CN"/>
        </w:rPr>
        <w:t>收入增加，增长10.92%。</w:t>
      </w:r>
    </w:p>
    <w:p w14:paraId="2D3EB2CE">
      <w:pPr>
        <w:pStyle w:val="6"/>
        <w:keepNext w:val="0"/>
        <w:keepLines w:val="0"/>
        <w:pageBreakBefore w:val="0"/>
        <w:widowControl/>
        <w:kinsoku/>
        <w:wordWrap/>
        <w:overflowPunct/>
        <w:topLinePunct w:val="0"/>
        <w:autoSpaceDE/>
        <w:autoSpaceDN/>
        <w:bidi w:val="0"/>
        <w:adjustRightInd/>
        <w:snapToGrid w:val="0"/>
        <w:spacing w:before="0" w:beforeAutospacing="0" w:after="0" w:afterAutospacing="0" w:line="596" w:lineRule="exact"/>
        <w:ind w:firstLine="640" w:firstLineChars="200"/>
        <w:jc w:val="both"/>
        <w:textAlignment w:val="auto"/>
        <w:rPr>
          <w:rFonts w:hint="default" w:ascii="Times New Roman" w:hAnsi="Times New Roman" w:eastAsia="方正仿宋_GBK" w:cs="Times New Roman"/>
          <w:sz w:val="32"/>
          <w:szCs w:val="32"/>
          <w:highlight w:val="none"/>
          <w:shd w:val="clear" w:color="auto" w:fill="FFFFFF"/>
        </w:rPr>
      </w:pPr>
      <w:r>
        <w:rPr>
          <w:rFonts w:hint="default" w:ascii="Times New Roman" w:hAnsi="Times New Roman" w:eastAsia="方正仿宋_GBK" w:cs="Times New Roman"/>
          <w:sz w:val="32"/>
          <w:szCs w:val="32"/>
          <w:highlight w:val="none"/>
          <w:shd w:val="clear" w:color="auto" w:fill="FFFFFF"/>
        </w:rPr>
        <w:t>一般公共预算财政拨款支出主要</w:t>
      </w:r>
      <w:r>
        <w:rPr>
          <w:rFonts w:hint="default" w:ascii="Times New Roman" w:hAnsi="Times New Roman" w:eastAsia="方正仿宋_GBK" w:cs="Times New Roman"/>
          <w:sz w:val="32"/>
          <w:szCs w:val="32"/>
          <w:highlight w:val="none"/>
          <w:shd w:val="clear" w:color="auto" w:fill="FFFFFF"/>
          <w:lang w:eastAsia="zh-CN"/>
        </w:rPr>
        <w:t>用途如下</w:t>
      </w:r>
      <w:r>
        <w:rPr>
          <w:rFonts w:hint="default" w:ascii="Times New Roman" w:hAnsi="Times New Roman" w:eastAsia="方正仿宋_GBK" w:cs="Times New Roman"/>
          <w:sz w:val="32"/>
          <w:szCs w:val="32"/>
          <w:highlight w:val="none"/>
          <w:shd w:val="clear" w:color="auto" w:fill="FFFFFF"/>
        </w:rPr>
        <w:t>：</w:t>
      </w:r>
    </w:p>
    <w:p w14:paraId="01EB5E2C">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（1）一般公共服务支出1731.45万元，占36.98%，较年初预算数增加354.17万元，增长25.72%，主要原因是总部经济拨款收入增加、总部经济拨款收入增加、年财政公用经费全部下达</w:t>
      </w:r>
      <w:r>
        <w:rPr>
          <w:rFonts w:hint="default" w:ascii="Times New Roman" w:hAnsi="Times New Roman" w:eastAsia="方正仿宋_GBK" w:cs="Times New Roman"/>
          <w:sz w:val="32"/>
          <w:szCs w:val="32"/>
          <w:shd w:val="clear" w:color="auto" w:fill="FFFFFF"/>
          <w:lang w:eastAsia="zh-CN"/>
        </w:rPr>
        <w:t>。</w:t>
      </w:r>
    </w:p>
    <w:p w14:paraId="5E6F787D">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shd w:val="clear" w:color="auto" w:fill="FFFFFF"/>
          <w:lang w:val="en-US" w:eastAsia="zh-CN"/>
        </w:rPr>
        <w:t>2</w:t>
      </w:r>
      <w:r>
        <w:rPr>
          <w:rFonts w:hint="default" w:ascii="Times New Roman" w:hAnsi="Times New Roman" w:eastAsia="方正仿宋_GBK" w:cs="Times New Roman"/>
          <w:sz w:val="32"/>
          <w:szCs w:val="32"/>
          <w:shd w:val="clear" w:color="auto" w:fill="FFFFFF"/>
        </w:rPr>
        <w:t>）公共安全支出6.44万元，占0.14%，较年初预算数减少100.15万元，下降93.96%，主要原因是指标未完全支付并收回。</w:t>
      </w:r>
    </w:p>
    <w:p w14:paraId="105C7A69">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shd w:val="clear" w:color="auto" w:fill="FFFFFF"/>
          <w:lang w:val="en-US" w:eastAsia="zh-CN"/>
        </w:rPr>
        <w:t>3</w:t>
      </w:r>
      <w:r>
        <w:rPr>
          <w:rFonts w:hint="default" w:ascii="Times New Roman" w:hAnsi="Times New Roman" w:eastAsia="方正仿宋_GBK" w:cs="Times New Roman"/>
          <w:sz w:val="32"/>
          <w:szCs w:val="32"/>
          <w:shd w:val="clear" w:color="auto" w:fill="FFFFFF"/>
        </w:rPr>
        <w:t>）文化旅游体育与传媒支出41.97万元，占0.90%，较年初预算数增加2.65万元，增长6.74%，主要原因是</w:t>
      </w:r>
      <w:r>
        <w:rPr>
          <w:rFonts w:hint="default" w:ascii="Times New Roman" w:hAnsi="Times New Roman" w:eastAsia="方正仿宋_GBK" w:cs="Times New Roman"/>
          <w:sz w:val="32"/>
          <w:szCs w:val="32"/>
          <w:shd w:val="clear" w:color="auto" w:fill="FFFFFF"/>
          <w:lang w:val="en-US" w:eastAsia="zh-CN"/>
        </w:rPr>
        <w:t>人员普调及调进调出等变化。</w:t>
      </w:r>
    </w:p>
    <w:p w14:paraId="2882E38F">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shd w:val="clear" w:color="auto" w:fill="FFFFFF"/>
          <w:lang w:val="en-US" w:eastAsia="zh-CN"/>
        </w:rPr>
      </w:pP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shd w:val="clear" w:color="auto" w:fill="FFFFFF"/>
          <w:lang w:val="en-US" w:eastAsia="zh-CN"/>
        </w:rPr>
        <w:t>4</w:t>
      </w:r>
      <w:r>
        <w:rPr>
          <w:rFonts w:hint="default" w:ascii="Times New Roman" w:hAnsi="Times New Roman" w:eastAsia="方正仿宋_GBK" w:cs="Times New Roman"/>
          <w:sz w:val="32"/>
          <w:szCs w:val="32"/>
          <w:shd w:val="clear" w:color="auto" w:fill="FFFFFF"/>
        </w:rPr>
        <w:t>）社会保障</w:t>
      </w:r>
      <w:r>
        <w:rPr>
          <w:rFonts w:hint="default" w:ascii="Times New Roman" w:hAnsi="Times New Roman" w:eastAsia="方正仿宋_GBK" w:cs="Times New Roman"/>
          <w:sz w:val="32"/>
          <w:szCs w:val="32"/>
          <w:shd w:val="clear" w:color="auto" w:fill="FFFFFF"/>
          <w:lang w:eastAsia="zh-CN"/>
        </w:rPr>
        <w:t>和</w:t>
      </w:r>
      <w:r>
        <w:rPr>
          <w:rFonts w:hint="default" w:ascii="Times New Roman" w:hAnsi="Times New Roman" w:eastAsia="方正仿宋_GBK" w:cs="Times New Roman"/>
          <w:sz w:val="32"/>
          <w:szCs w:val="32"/>
          <w:shd w:val="clear" w:color="auto" w:fill="FFFFFF"/>
        </w:rPr>
        <w:t>就业支出724.52万元，占15.47%，较年初预算数增加71.96万元，增长11.03%，主要原因是</w:t>
      </w:r>
      <w:r>
        <w:rPr>
          <w:rFonts w:hint="default" w:ascii="Times New Roman" w:hAnsi="Times New Roman" w:eastAsia="方正仿宋_GBK" w:cs="Times New Roman"/>
          <w:sz w:val="32"/>
          <w:szCs w:val="32"/>
          <w:shd w:val="clear" w:color="auto" w:fill="FFFFFF"/>
          <w:lang w:val="en-US" w:eastAsia="zh-CN"/>
        </w:rPr>
        <w:t>人员普调及调进调出等变化。</w:t>
      </w:r>
      <w:r>
        <w:rPr>
          <w:rFonts w:hint="default" w:ascii="Times New Roman" w:hAnsi="Times New Roman" w:eastAsia="方正仿宋_GBK" w:cs="Times New Roman"/>
          <w:sz w:val="32"/>
          <w:szCs w:val="32"/>
          <w:shd w:val="clear" w:color="auto" w:fill="FFFFFF"/>
        </w:rPr>
        <w:t>算数减少17.19万元，下降10.54%，主要原因是</w:t>
      </w:r>
      <w:r>
        <w:rPr>
          <w:rFonts w:hint="default" w:ascii="Times New Roman" w:hAnsi="Times New Roman" w:eastAsia="方正仿宋_GBK" w:cs="Times New Roman"/>
          <w:sz w:val="32"/>
          <w:szCs w:val="32"/>
          <w:shd w:val="clear" w:color="auto" w:fill="FFFFFF"/>
          <w:lang w:val="en-US" w:eastAsia="zh-CN"/>
        </w:rPr>
        <w:t>人员普调及调进调出等变化。</w:t>
      </w:r>
    </w:p>
    <w:p w14:paraId="0C8C09C0">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shd w:val="clear" w:color="auto" w:fill="FFFFFF"/>
          <w:lang w:val="en-US" w:eastAsia="zh-CN"/>
        </w:rPr>
        <w:t>5</w:t>
      </w:r>
      <w:r>
        <w:rPr>
          <w:rFonts w:hint="default" w:ascii="Times New Roman" w:hAnsi="Times New Roman" w:eastAsia="方正仿宋_GBK" w:cs="Times New Roman"/>
          <w:sz w:val="32"/>
          <w:szCs w:val="32"/>
          <w:shd w:val="clear" w:color="auto" w:fill="FFFFFF"/>
        </w:rPr>
        <w:t>）城乡社区支出148.15万元，占3.16%，较年初预算数增加13.80万元，增长10.27%，主要原因是</w:t>
      </w:r>
      <w:r>
        <w:rPr>
          <w:rFonts w:hint="default" w:ascii="Times New Roman" w:hAnsi="Times New Roman" w:eastAsia="方正仿宋_GBK" w:cs="Times New Roman"/>
          <w:sz w:val="32"/>
          <w:szCs w:val="32"/>
          <w:shd w:val="clear" w:color="auto" w:fill="FFFFFF"/>
          <w:lang w:val="en-US" w:eastAsia="zh-CN"/>
        </w:rPr>
        <w:t>人员普调及调进调出等变化。</w:t>
      </w:r>
    </w:p>
    <w:p w14:paraId="02D2FA75">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shd w:val="clear" w:color="auto" w:fill="FFFFFF"/>
          <w:lang w:val="en-US" w:eastAsia="zh-CN"/>
        </w:rPr>
      </w:pP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shd w:val="clear" w:color="auto" w:fill="FFFFFF"/>
          <w:lang w:val="en-US" w:eastAsia="zh-CN"/>
        </w:rPr>
        <w:t>6</w:t>
      </w:r>
      <w:r>
        <w:rPr>
          <w:rFonts w:hint="default" w:ascii="Times New Roman" w:hAnsi="Times New Roman" w:eastAsia="方正仿宋_GBK" w:cs="Times New Roman"/>
          <w:sz w:val="32"/>
          <w:szCs w:val="32"/>
          <w:shd w:val="clear" w:color="auto" w:fill="FFFFFF"/>
        </w:rPr>
        <w:t>）农林水支出1687.63万元，占36.04%，较年初预算数增加88.65万元，增长5.54%，主要原因是</w:t>
      </w:r>
      <w:r>
        <w:rPr>
          <w:rFonts w:hint="default" w:ascii="Times New Roman" w:hAnsi="Times New Roman" w:eastAsia="方正仿宋_GBK" w:cs="Times New Roman"/>
          <w:sz w:val="32"/>
          <w:szCs w:val="32"/>
          <w:shd w:val="clear" w:color="auto" w:fill="FFFFFF"/>
          <w:lang w:val="en-US" w:eastAsia="zh-CN"/>
        </w:rPr>
        <w:t>人员普调及调进调出等变化。</w:t>
      </w:r>
    </w:p>
    <w:p w14:paraId="00F9C4DF">
      <w:pPr>
        <w:spacing w:line="596" w:lineRule="exact"/>
        <w:ind w:firstLine="640" w:firstLineChars="200"/>
        <w:jc w:val="both"/>
        <w:rPr>
          <w:rFonts w:hint="default" w:ascii="Times New Roman" w:hAnsi="Times New Roman" w:eastAsia="方正仿宋_GBK" w:cs="Times New Roman"/>
          <w:color w:val="FF0000"/>
          <w:sz w:val="32"/>
          <w:szCs w:val="32"/>
          <w:shd w:val="clear" w:color="auto" w:fill="FFFFFF"/>
        </w:rPr>
      </w:pP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shd w:val="clear" w:color="auto" w:fill="FFFFFF"/>
          <w:lang w:val="en-US" w:eastAsia="zh-CN"/>
        </w:rPr>
        <w:t>7</w:t>
      </w: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rPr>
        <w:t>住房保障支出</w:t>
      </w:r>
      <w:r>
        <w:rPr>
          <w:rFonts w:hint="default" w:ascii="Times New Roman" w:hAnsi="Times New Roman" w:eastAsia="方正仿宋_GBK" w:cs="Times New Roman"/>
          <w:sz w:val="32"/>
          <w:szCs w:val="32"/>
          <w:shd w:val="clear" w:color="auto" w:fill="FFFFFF"/>
        </w:rPr>
        <w:t>150.28万元，占3.21%，较年初预算数增加0.92万元，增长0.62%，主要原因是</w:t>
      </w:r>
      <w:r>
        <w:rPr>
          <w:rFonts w:hint="default" w:ascii="Times New Roman" w:hAnsi="Times New Roman" w:eastAsia="方正仿宋_GBK" w:cs="Times New Roman"/>
          <w:sz w:val="32"/>
          <w:szCs w:val="32"/>
          <w:shd w:val="clear" w:color="auto" w:fill="FFFFFF"/>
          <w:lang w:val="en-US" w:eastAsia="zh-CN"/>
        </w:rPr>
        <w:t>人员普调及调进调出等变化。</w:t>
      </w:r>
    </w:p>
    <w:p w14:paraId="02AA12C9">
      <w:pPr>
        <w:spacing w:line="596" w:lineRule="exact"/>
        <w:ind w:firstLine="640" w:firstLineChars="200"/>
        <w:jc w:val="both"/>
        <w:rPr>
          <w:rFonts w:hint="default" w:ascii="Times New Roman" w:hAnsi="Times New Roman" w:eastAsia="方正仿宋_GBK" w:cs="Times New Roman"/>
          <w:color w:val="auto"/>
          <w:sz w:val="32"/>
          <w:szCs w:val="32"/>
          <w:shd w:val="clear" w:color="auto" w:fill="FFFFFF"/>
        </w:rPr>
      </w:pP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shd w:val="clear" w:color="auto" w:fill="FFFFFF"/>
          <w:lang w:val="en-US" w:eastAsia="zh-CN"/>
        </w:rPr>
        <w:t>8</w:t>
      </w: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rPr>
        <w:t>灾害防治及应急管理支出</w:t>
      </w:r>
      <w:r>
        <w:rPr>
          <w:rFonts w:hint="default" w:ascii="Times New Roman" w:hAnsi="Times New Roman" w:eastAsia="方正仿宋_GBK" w:cs="Times New Roman"/>
          <w:sz w:val="32"/>
          <w:szCs w:val="32"/>
          <w:shd w:val="clear" w:color="auto" w:fill="FFFFFF"/>
        </w:rPr>
        <w:t>46.27万元，占0.99%，较年初预算数增加46.27万元，增长100.00%，主要原因是</w:t>
      </w:r>
      <w:r>
        <w:rPr>
          <w:rFonts w:hint="default" w:ascii="Times New Roman" w:hAnsi="Times New Roman" w:eastAsia="方正仿宋_GBK" w:cs="Times New Roman"/>
          <w:sz w:val="32"/>
          <w:szCs w:val="32"/>
          <w:shd w:val="clear" w:color="auto" w:fill="FFFFFF"/>
          <w:lang w:val="en-US" w:eastAsia="zh-CN"/>
        </w:rPr>
        <w:t>下达中央灾害资金，并完成支付。</w:t>
      </w:r>
    </w:p>
    <w:p w14:paraId="026C57D7">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color w:val="FF0000"/>
          <w:sz w:val="32"/>
          <w:szCs w:val="32"/>
          <w:shd w:val="clear" w:color="auto" w:fill="FFFFFF"/>
          <w:lang w:eastAsia="zh-CN"/>
        </w:rPr>
      </w:pPr>
      <w:r>
        <w:rPr>
          <w:rStyle w:val="10"/>
          <w:rFonts w:hint="default" w:ascii="Times New Roman" w:hAnsi="Times New Roman" w:eastAsia="方正仿宋_GBK" w:cs="Times New Roman"/>
          <w:sz w:val="32"/>
          <w:szCs w:val="32"/>
          <w:shd w:val="clear" w:color="auto" w:fill="FFFFFF"/>
        </w:rPr>
        <w:t>3.结转结余情况。</w:t>
      </w:r>
      <w:r>
        <w:rPr>
          <w:rFonts w:hint="default" w:ascii="Times New Roman" w:hAnsi="Times New Roman" w:eastAsia="方正仿宋_GBK" w:cs="Times New Roman"/>
          <w:sz w:val="32"/>
          <w:szCs w:val="32"/>
          <w:shd w:val="clear" w:color="auto" w:fill="FFFFFF"/>
        </w:rPr>
        <w:t>2024年度年末一般公共预算财政拨款</w:t>
      </w:r>
      <w:r>
        <w:rPr>
          <w:rFonts w:hint="default" w:ascii="Times New Roman" w:hAnsi="Times New Roman" w:eastAsia="方正仿宋_GBK" w:cs="Times New Roman"/>
          <w:sz w:val="32"/>
          <w:szCs w:val="32"/>
          <w:shd w:val="clear" w:color="auto" w:fill="FFFFFF"/>
          <w:lang w:val="en-US" w:eastAsia="zh-CN"/>
        </w:rPr>
        <w:t>无</w:t>
      </w:r>
      <w:r>
        <w:rPr>
          <w:rFonts w:hint="default" w:ascii="Times New Roman" w:hAnsi="Times New Roman" w:eastAsia="方正仿宋_GBK" w:cs="Times New Roman"/>
          <w:sz w:val="32"/>
          <w:szCs w:val="32"/>
          <w:shd w:val="clear" w:color="auto" w:fill="FFFFFF"/>
        </w:rPr>
        <w:t>结转和结余</w:t>
      </w:r>
      <w:r>
        <w:rPr>
          <w:rFonts w:hint="default" w:ascii="Times New Roman" w:hAnsi="Times New Roman" w:eastAsia="方正仿宋_GBK" w:cs="Times New Roman"/>
          <w:sz w:val="32"/>
          <w:szCs w:val="32"/>
          <w:shd w:val="clear" w:color="auto" w:fill="FFFFFF"/>
          <w:lang w:eastAsia="zh-CN"/>
        </w:rPr>
        <w:t>。</w:t>
      </w:r>
    </w:p>
    <w:p w14:paraId="5387EF92">
      <w:pPr>
        <w:pStyle w:val="11"/>
        <w:keepNext w:val="0"/>
        <w:keepLines w:val="0"/>
        <w:pageBreakBefore w:val="0"/>
        <w:widowControl/>
        <w:kinsoku/>
        <w:wordWrap/>
        <w:overflowPunct/>
        <w:topLinePunct w:val="0"/>
        <w:autoSpaceDE w:val="0"/>
        <w:autoSpaceDN/>
        <w:bidi w:val="0"/>
        <w:adjustRightInd/>
        <w:snapToGrid/>
        <w:spacing w:line="596" w:lineRule="exact"/>
        <w:ind w:firstLine="643" w:firstLineChars="200"/>
        <w:textAlignment w:val="auto"/>
        <w:rPr>
          <w:rFonts w:hint="default" w:ascii="Times New Roman" w:hAnsi="Times New Roman" w:eastAsia="楷体" w:cs="Times New Roman"/>
          <w:b/>
          <w:bCs/>
          <w:sz w:val="32"/>
          <w:szCs w:val="32"/>
          <w:shd w:val="clear" w:color="auto" w:fill="FFFFFF"/>
        </w:rPr>
      </w:pPr>
      <w:r>
        <w:rPr>
          <w:rFonts w:hint="default" w:ascii="Times New Roman" w:hAnsi="Times New Roman" w:eastAsia="楷体" w:cs="Times New Roman"/>
          <w:b/>
          <w:bCs/>
          <w:sz w:val="32"/>
          <w:szCs w:val="32"/>
          <w:shd w:val="clear" w:color="auto" w:fill="FFFFFF"/>
        </w:rPr>
        <w:t>（四）一般公共预算财政拨款基本支出决算情况说明</w:t>
      </w:r>
    </w:p>
    <w:p w14:paraId="1DA9B6E5">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sz w:val="32"/>
          <w:szCs w:val="32"/>
          <w:shd w:val="clear" w:color="auto" w:fill="FFFFFF"/>
        </w:rPr>
        <w:t>2024年度一般公共财政拨款基本支出3057.44万元。</w:t>
      </w:r>
    </w:p>
    <w:p w14:paraId="148266A7">
      <w:pPr>
        <w:pStyle w:val="6"/>
        <w:keepNext w:val="0"/>
        <w:keepLines w:val="0"/>
        <w:pageBreakBefore w:val="0"/>
        <w:widowControl/>
        <w:kinsoku/>
        <w:wordWrap/>
        <w:overflowPunct/>
        <w:topLinePunct w:val="0"/>
        <w:autoSpaceDE/>
        <w:autoSpaceDN/>
        <w:bidi w:val="0"/>
        <w:adjustRightInd/>
        <w:snapToGrid w:val="0"/>
        <w:spacing w:before="0" w:beforeAutospacing="0" w:after="0" w:afterAutospacing="0" w:line="596" w:lineRule="exact"/>
        <w:ind w:firstLine="0" w:firstLineChars="0"/>
        <w:jc w:val="both"/>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sz w:val="32"/>
          <w:szCs w:val="32"/>
          <w:shd w:val="clear" w:color="auto" w:fill="FFFFFF"/>
        </w:rPr>
        <w:t>其中：</w:t>
      </w:r>
    </w:p>
    <w:p w14:paraId="6B846AD0">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sz w:val="32"/>
          <w:szCs w:val="32"/>
          <w:shd w:val="clear" w:color="auto" w:fill="FFFFFF"/>
        </w:rPr>
        <w:t>人员经费2686.49万元，与2023年度相比，增加97.21万元，增长3.75%，主要原因是</w:t>
      </w:r>
      <w:r>
        <w:rPr>
          <w:rFonts w:hint="default" w:ascii="Times New Roman" w:hAnsi="Times New Roman" w:eastAsia="方正仿宋_GBK" w:cs="Times New Roman"/>
          <w:sz w:val="32"/>
          <w:szCs w:val="32"/>
          <w:shd w:val="clear" w:color="auto" w:fill="FFFFFF"/>
          <w:lang w:val="en-US" w:eastAsia="zh-CN"/>
        </w:rPr>
        <w:t>人员调进调出、工资普调吧变动等。</w:t>
      </w:r>
      <w:r>
        <w:rPr>
          <w:rFonts w:hint="default" w:ascii="Times New Roman" w:hAnsi="Times New Roman" w:eastAsia="方正仿宋_GBK" w:cs="Times New Roman"/>
          <w:sz w:val="32"/>
          <w:szCs w:val="32"/>
          <w:shd w:val="clear" w:color="auto" w:fill="FFFFFF"/>
        </w:rPr>
        <w:t>人员经费用途主要包括在编干部职工的工资福利支出、住房公积金、社会保险费等。</w:t>
      </w:r>
    </w:p>
    <w:p w14:paraId="6F3FD850">
      <w:pPr>
        <w:pStyle w:val="6"/>
        <w:snapToGrid w:val="0"/>
        <w:spacing w:before="0" w:beforeAutospacing="0" w:after="0" w:afterAutospacing="0" w:line="60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公用经费370.94万元，与2023年度相比，减少20.35万元，下降5.20%，主要原因是</w:t>
      </w:r>
      <w:r>
        <w:rPr>
          <w:rFonts w:hint="default" w:ascii="Times New Roman" w:hAnsi="Times New Roman" w:eastAsia="方正仿宋_GBK" w:cs="Times New Roman"/>
          <w:sz w:val="32"/>
          <w:szCs w:val="32"/>
          <w:shd w:val="clear" w:color="auto" w:fill="FFFFFF"/>
          <w:lang w:val="en-US" w:eastAsia="zh-CN"/>
        </w:rPr>
        <w:t>本年度人员变动总体导致公用经费减少，同时缩减开支，年终公用经费未全部支付，公用经费支出减少。</w:t>
      </w:r>
      <w:r>
        <w:rPr>
          <w:rFonts w:hint="default" w:ascii="Times New Roman" w:hAnsi="Times New Roman" w:eastAsia="方正仿宋_GBK" w:cs="Times New Roman"/>
          <w:sz w:val="32"/>
          <w:szCs w:val="32"/>
          <w:shd w:val="clear" w:color="auto" w:fill="FFFFFF"/>
        </w:rPr>
        <w:t>公用经费用途主要包括开支办公费、水电费、邮电费、差旅费、广告宣传费、其他商品和服务支出等。</w:t>
      </w:r>
    </w:p>
    <w:p w14:paraId="05395E14">
      <w:pPr>
        <w:pStyle w:val="11"/>
        <w:keepNext w:val="0"/>
        <w:keepLines w:val="0"/>
        <w:pageBreakBefore w:val="0"/>
        <w:widowControl/>
        <w:kinsoku/>
        <w:wordWrap/>
        <w:overflowPunct/>
        <w:topLinePunct w:val="0"/>
        <w:autoSpaceDE w:val="0"/>
        <w:autoSpaceDN/>
        <w:bidi w:val="0"/>
        <w:adjustRightInd/>
        <w:snapToGrid/>
        <w:spacing w:line="596" w:lineRule="exact"/>
        <w:ind w:firstLine="643" w:firstLineChars="200"/>
        <w:textAlignment w:val="auto"/>
        <w:rPr>
          <w:rFonts w:hint="default" w:ascii="Times New Roman" w:hAnsi="Times New Roman" w:eastAsia="楷体" w:cs="Times New Roman"/>
          <w:b/>
          <w:bCs/>
          <w:sz w:val="32"/>
          <w:szCs w:val="32"/>
          <w:shd w:val="clear" w:color="auto" w:fill="FFFFFF"/>
        </w:rPr>
      </w:pPr>
      <w:r>
        <w:rPr>
          <w:rFonts w:hint="default" w:ascii="Times New Roman" w:hAnsi="Times New Roman" w:eastAsia="楷体" w:cs="Times New Roman"/>
          <w:b/>
          <w:bCs/>
          <w:sz w:val="32"/>
          <w:szCs w:val="32"/>
          <w:shd w:val="clear" w:color="auto" w:fill="FFFFFF"/>
        </w:rPr>
        <w:t>（五）政府性基金预算收支决算情况说明</w:t>
      </w:r>
    </w:p>
    <w:p w14:paraId="5169B0C1">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2024年度政府性基金预算财政拨款年初结转结余0.00万元，年末结转结余0.00万元。本年收入25.71万元，与2023年度相比，减少196.76万元，下降88.44%，主要原因是本单位本年度政府性基金项目减少，下拨减少，导致收入减少196.76万元，较上年减少88.44%。本年支出25.71万元，与2023年度相比，减少196.76万元，下降88.44%，主要原因是本单位本年度政府性基金项目减少，下拨减少，导致</w:t>
      </w:r>
      <w:r>
        <w:rPr>
          <w:rFonts w:hint="default" w:ascii="Times New Roman" w:hAnsi="Times New Roman" w:eastAsia="方正仿宋_GBK" w:cs="Times New Roman"/>
          <w:sz w:val="32"/>
          <w:szCs w:val="32"/>
          <w:shd w:val="clear" w:color="auto" w:fill="FFFFFF"/>
          <w:lang w:val="en-US" w:eastAsia="zh-CN"/>
        </w:rPr>
        <w:t>支出</w:t>
      </w:r>
      <w:r>
        <w:rPr>
          <w:rFonts w:hint="default" w:ascii="Times New Roman" w:hAnsi="Times New Roman" w:eastAsia="方正仿宋_GBK" w:cs="Times New Roman"/>
          <w:sz w:val="32"/>
          <w:szCs w:val="32"/>
          <w:shd w:val="clear" w:color="auto" w:fill="FFFFFF"/>
        </w:rPr>
        <w:t>减少196.76万元，较上年减少88.44%。</w:t>
      </w:r>
    </w:p>
    <w:p w14:paraId="58417E4B">
      <w:pPr>
        <w:pStyle w:val="11"/>
        <w:keepNext w:val="0"/>
        <w:keepLines w:val="0"/>
        <w:pageBreakBefore w:val="0"/>
        <w:widowControl/>
        <w:kinsoku/>
        <w:wordWrap/>
        <w:overflowPunct/>
        <w:topLinePunct w:val="0"/>
        <w:autoSpaceDE w:val="0"/>
        <w:autoSpaceDN/>
        <w:bidi w:val="0"/>
        <w:adjustRightInd/>
        <w:snapToGrid/>
        <w:spacing w:line="596" w:lineRule="exact"/>
        <w:ind w:firstLine="643" w:firstLineChars="200"/>
        <w:textAlignment w:val="auto"/>
        <w:rPr>
          <w:rFonts w:hint="default" w:ascii="Times New Roman" w:hAnsi="Times New Roman" w:eastAsia="楷体" w:cs="Times New Roman"/>
          <w:b/>
          <w:bCs/>
          <w:sz w:val="32"/>
          <w:szCs w:val="32"/>
          <w:shd w:val="clear" w:color="auto" w:fill="FFFFFF"/>
        </w:rPr>
      </w:pPr>
      <w:r>
        <w:rPr>
          <w:rFonts w:hint="default" w:ascii="Times New Roman" w:hAnsi="Times New Roman" w:eastAsia="楷体" w:cs="Times New Roman"/>
          <w:b/>
          <w:bCs/>
          <w:sz w:val="32"/>
          <w:szCs w:val="32"/>
          <w:shd w:val="clear" w:color="auto" w:fill="FFFFFF"/>
        </w:rPr>
        <w:t>（六）国有资本经营预算财政拨款支出决算情况说明</w:t>
      </w:r>
    </w:p>
    <w:p w14:paraId="24CF3689">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本部门2024年度无国有资本经营预算财政拨款支出。</w:t>
      </w:r>
    </w:p>
    <w:p w14:paraId="64713633">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6" w:lineRule="exact"/>
        <w:ind w:firstLine="643" w:firstLineChars="200"/>
        <w:textAlignment w:val="auto"/>
        <w:rPr>
          <w:rStyle w:val="10"/>
          <w:rFonts w:hint="default" w:ascii="Times New Roman" w:hAnsi="Times New Roman" w:eastAsia="黑体" w:cs="Times New Roman"/>
          <w:sz w:val="32"/>
          <w:szCs w:val="32"/>
          <w:shd w:val="clear" w:color="auto" w:fill="FFFFFF"/>
        </w:rPr>
      </w:pPr>
      <w:r>
        <w:rPr>
          <w:rStyle w:val="10"/>
          <w:rFonts w:hint="default" w:ascii="Times New Roman" w:hAnsi="Times New Roman" w:eastAsia="黑体" w:cs="Times New Roman"/>
          <w:sz w:val="32"/>
          <w:szCs w:val="32"/>
          <w:shd w:val="clear" w:color="auto" w:fill="FFFFFF"/>
        </w:rPr>
        <w:t>三、</w:t>
      </w:r>
      <w:r>
        <w:rPr>
          <w:rStyle w:val="10"/>
          <w:rFonts w:hint="default" w:ascii="Times New Roman" w:hAnsi="Times New Roman" w:eastAsia="黑体" w:cs="Times New Roman"/>
          <w:sz w:val="32"/>
          <w:szCs w:val="32"/>
          <w:shd w:val="clear" w:color="auto" w:fill="FFFFFF"/>
          <w:lang w:eastAsia="zh-CN"/>
        </w:rPr>
        <w:t>财政拨款</w:t>
      </w:r>
      <w:r>
        <w:rPr>
          <w:rStyle w:val="10"/>
          <w:rFonts w:hint="default" w:ascii="Times New Roman" w:hAnsi="Times New Roman" w:eastAsia="黑体" w:cs="Times New Roman"/>
          <w:sz w:val="32"/>
          <w:szCs w:val="32"/>
          <w:shd w:val="clear" w:color="auto" w:fill="FFFFFF"/>
        </w:rPr>
        <w:t>“三公”经费情况说明</w:t>
      </w:r>
    </w:p>
    <w:p w14:paraId="21553E3E">
      <w:pPr>
        <w:pStyle w:val="11"/>
        <w:keepNext w:val="0"/>
        <w:keepLines w:val="0"/>
        <w:pageBreakBefore w:val="0"/>
        <w:widowControl/>
        <w:kinsoku/>
        <w:wordWrap/>
        <w:overflowPunct/>
        <w:topLinePunct w:val="0"/>
        <w:autoSpaceDE w:val="0"/>
        <w:autoSpaceDN/>
        <w:bidi w:val="0"/>
        <w:adjustRightInd/>
        <w:snapToGrid/>
        <w:spacing w:line="596" w:lineRule="exact"/>
        <w:ind w:firstLine="643" w:firstLineChars="200"/>
        <w:textAlignment w:val="auto"/>
        <w:rPr>
          <w:rFonts w:hint="default" w:ascii="Times New Roman" w:hAnsi="Times New Roman" w:eastAsia="楷体" w:cs="Times New Roman"/>
          <w:b/>
          <w:bCs/>
          <w:sz w:val="32"/>
          <w:szCs w:val="32"/>
          <w:shd w:val="clear" w:color="auto" w:fill="FFFFFF"/>
        </w:rPr>
      </w:pPr>
      <w:r>
        <w:rPr>
          <w:rFonts w:hint="default" w:ascii="Times New Roman" w:hAnsi="Times New Roman" w:eastAsia="楷体" w:cs="Times New Roman"/>
          <w:b/>
          <w:bCs/>
          <w:sz w:val="32"/>
          <w:szCs w:val="32"/>
          <w:shd w:val="clear" w:color="auto" w:fill="FFFFFF"/>
        </w:rPr>
        <w:t>（一）“三公”经费支出总体情况说明</w:t>
      </w:r>
    </w:p>
    <w:p w14:paraId="474E0A71">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2024年度“三公”经费支出共计37.98万元，较年初预算数减少1.02万元，下降2.62%，主要原因是</w:t>
      </w:r>
      <w:r>
        <w:rPr>
          <w:rFonts w:hint="default" w:ascii="Times New Roman" w:hAnsi="Times New Roman" w:eastAsia="方正仿宋_GBK" w:cs="Times New Roman"/>
          <w:sz w:val="32"/>
          <w:szCs w:val="32"/>
          <w:shd w:val="clear" w:color="auto" w:fill="FFFFFF"/>
          <w:lang w:val="en-US" w:eastAsia="zh-CN"/>
        </w:rPr>
        <w:t>人员变动及缩减开支，同时公用经费未支付完全。</w:t>
      </w:r>
      <w:r>
        <w:rPr>
          <w:rFonts w:hint="default" w:ascii="Times New Roman" w:hAnsi="Times New Roman" w:eastAsia="方正仿宋_GBK" w:cs="Times New Roman"/>
          <w:sz w:val="32"/>
          <w:szCs w:val="32"/>
          <w:shd w:val="clear" w:color="auto" w:fill="FFFFFF"/>
        </w:rPr>
        <w:t>较上年支出数增加3.25万元，增长9.36%，主要原因是</w:t>
      </w:r>
      <w:r>
        <w:rPr>
          <w:rFonts w:hint="default" w:ascii="Times New Roman" w:hAnsi="Times New Roman" w:eastAsia="方正仿宋_GBK" w:cs="Times New Roman"/>
          <w:sz w:val="32"/>
          <w:szCs w:val="32"/>
          <w:shd w:val="clear" w:color="auto" w:fill="FFFFFF"/>
          <w:lang w:val="en-US" w:eastAsia="zh-CN"/>
        </w:rPr>
        <w:t>人员变动，公用经费增加，导致支出支出增加，增加9.36%。</w:t>
      </w:r>
    </w:p>
    <w:p w14:paraId="4169B40B">
      <w:pPr>
        <w:pStyle w:val="11"/>
        <w:keepNext w:val="0"/>
        <w:keepLines w:val="0"/>
        <w:pageBreakBefore w:val="0"/>
        <w:widowControl/>
        <w:kinsoku/>
        <w:wordWrap/>
        <w:overflowPunct/>
        <w:topLinePunct w:val="0"/>
        <w:autoSpaceDE w:val="0"/>
        <w:autoSpaceDN/>
        <w:bidi w:val="0"/>
        <w:adjustRightInd/>
        <w:snapToGrid/>
        <w:spacing w:line="596" w:lineRule="exact"/>
        <w:ind w:firstLine="643" w:firstLineChars="200"/>
        <w:textAlignment w:val="auto"/>
        <w:rPr>
          <w:rFonts w:hint="default" w:ascii="Times New Roman" w:hAnsi="Times New Roman" w:eastAsia="楷体" w:cs="Times New Roman"/>
          <w:b/>
          <w:bCs/>
          <w:sz w:val="32"/>
          <w:szCs w:val="32"/>
          <w:shd w:val="clear" w:color="auto" w:fill="FFFFFF"/>
        </w:rPr>
      </w:pPr>
      <w:r>
        <w:rPr>
          <w:rFonts w:hint="default" w:ascii="Times New Roman" w:hAnsi="Times New Roman" w:eastAsia="楷体" w:cs="Times New Roman"/>
          <w:b/>
          <w:bCs/>
          <w:sz w:val="32"/>
          <w:szCs w:val="32"/>
          <w:shd w:val="clear" w:color="auto" w:fill="FFFFFF"/>
        </w:rPr>
        <w:t>（二）“三公”经费分项支出情况</w:t>
      </w:r>
    </w:p>
    <w:p w14:paraId="54B78652">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shd w:val="clear" w:color="auto" w:fill="FFFFFF"/>
        </w:rPr>
        <w:t>2024年度本</w:t>
      </w:r>
      <w:r>
        <w:rPr>
          <w:rFonts w:hint="default" w:ascii="Times New Roman" w:hAnsi="Times New Roman" w:eastAsia="方正仿宋_GBK" w:cs="Times New Roman"/>
          <w:sz w:val="32"/>
          <w:szCs w:val="32"/>
          <w:shd w:val="clear" w:color="auto" w:fill="FFFFFF"/>
          <w:lang w:eastAsia="zh-CN"/>
        </w:rPr>
        <w:t>单位</w:t>
      </w:r>
      <w:r>
        <w:rPr>
          <w:rFonts w:hint="default" w:ascii="Times New Roman" w:hAnsi="Times New Roman" w:eastAsia="方正仿宋_GBK" w:cs="Times New Roman"/>
          <w:sz w:val="32"/>
          <w:szCs w:val="32"/>
          <w:shd w:val="clear" w:color="auto" w:fill="FFFFFF"/>
          <w:lang w:val="en-US" w:eastAsia="zh-CN"/>
        </w:rPr>
        <w:t>未产生</w:t>
      </w:r>
      <w:r>
        <w:rPr>
          <w:rFonts w:hint="default" w:ascii="Times New Roman" w:hAnsi="Times New Roman" w:eastAsia="方正仿宋_GBK" w:cs="Times New Roman"/>
          <w:sz w:val="32"/>
          <w:szCs w:val="32"/>
          <w:shd w:val="clear" w:color="auto" w:fill="FFFFFF"/>
        </w:rPr>
        <w:t>因公出国（境）费用</w:t>
      </w:r>
      <w:r>
        <w:rPr>
          <w:rFonts w:hint="default" w:ascii="Times New Roman" w:hAnsi="Times New Roman" w:eastAsia="方正仿宋_GBK" w:cs="Times New Roman"/>
          <w:sz w:val="32"/>
          <w:szCs w:val="32"/>
          <w:shd w:val="clear" w:color="auto" w:fill="FFFFFF"/>
          <w:lang w:eastAsia="zh-CN"/>
        </w:rPr>
        <w:t>。</w:t>
      </w:r>
    </w:p>
    <w:p w14:paraId="6353D614">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shd w:val="clear" w:color="auto" w:fill="FFFFFF"/>
          <w:lang w:eastAsia="zh-CN"/>
        </w:rPr>
      </w:pPr>
      <w:r>
        <w:rPr>
          <w:rFonts w:hint="default" w:ascii="Times New Roman" w:hAnsi="Times New Roman" w:eastAsia="方正仿宋_GBK" w:cs="Times New Roman"/>
          <w:sz w:val="32"/>
          <w:szCs w:val="32"/>
          <w:shd w:val="clear" w:color="auto" w:fill="FFFFFF"/>
        </w:rPr>
        <w:t>2024年度本</w:t>
      </w:r>
      <w:r>
        <w:rPr>
          <w:rFonts w:hint="default" w:ascii="Times New Roman" w:hAnsi="Times New Roman" w:eastAsia="方正仿宋_GBK" w:cs="Times New Roman"/>
          <w:sz w:val="32"/>
          <w:szCs w:val="32"/>
          <w:shd w:val="clear" w:color="auto" w:fill="FFFFFF"/>
          <w:lang w:eastAsia="zh-CN"/>
        </w:rPr>
        <w:t>单位</w:t>
      </w:r>
      <w:r>
        <w:rPr>
          <w:rFonts w:hint="default" w:ascii="Times New Roman" w:hAnsi="Times New Roman" w:eastAsia="方正仿宋_GBK" w:cs="Times New Roman"/>
          <w:sz w:val="32"/>
          <w:szCs w:val="32"/>
          <w:shd w:val="clear" w:color="auto" w:fill="FFFFFF"/>
          <w:lang w:val="en-US" w:eastAsia="zh-CN"/>
        </w:rPr>
        <w:t>未购买</w:t>
      </w:r>
      <w:r>
        <w:rPr>
          <w:rFonts w:hint="default" w:ascii="Times New Roman" w:hAnsi="Times New Roman" w:eastAsia="方正仿宋_GBK" w:cs="Times New Roman"/>
          <w:sz w:val="32"/>
          <w:szCs w:val="32"/>
          <w:shd w:val="clear" w:color="auto" w:fill="FFFFFF"/>
        </w:rPr>
        <w:t>公务</w:t>
      </w:r>
      <w:r>
        <w:rPr>
          <w:rFonts w:hint="default" w:ascii="Times New Roman" w:hAnsi="Times New Roman" w:eastAsia="方正仿宋_GBK" w:cs="Times New Roman"/>
          <w:sz w:val="32"/>
          <w:szCs w:val="32"/>
          <w:shd w:val="clear" w:color="auto" w:fill="FFFFFF"/>
          <w:lang w:eastAsia="zh-CN"/>
        </w:rPr>
        <w:t>用</w:t>
      </w:r>
      <w:r>
        <w:rPr>
          <w:rFonts w:hint="default" w:ascii="Times New Roman" w:hAnsi="Times New Roman" w:eastAsia="方正仿宋_GBK" w:cs="Times New Roman"/>
          <w:sz w:val="32"/>
          <w:szCs w:val="32"/>
          <w:shd w:val="clear" w:color="auto" w:fill="FFFFFF"/>
        </w:rPr>
        <w:t>车</w:t>
      </w:r>
      <w:r>
        <w:rPr>
          <w:rFonts w:hint="default" w:ascii="Times New Roman" w:hAnsi="Times New Roman" w:eastAsia="方正仿宋_GBK" w:cs="Times New Roman"/>
          <w:sz w:val="32"/>
          <w:szCs w:val="32"/>
          <w:shd w:val="clear" w:color="auto" w:fill="FFFFFF"/>
          <w:lang w:eastAsia="zh-CN"/>
        </w:rPr>
        <w:t>。</w:t>
      </w:r>
    </w:p>
    <w:p w14:paraId="6D059115">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公务</w:t>
      </w:r>
      <w:r>
        <w:rPr>
          <w:rFonts w:hint="default" w:ascii="Times New Roman" w:hAnsi="Times New Roman" w:eastAsia="方正仿宋_GBK" w:cs="Times New Roman"/>
          <w:sz w:val="32"/>
          <w:szCs w:val="32"/>
          <w:shd w:val="clear" w:color="auto" w:fill="FFFFFF"/>
          <w:lang w:eastAsia="zh-CN"/>
        </w:rPr>
        <w:t>用</w:t>
      </w:r>
      <w:r>
        <w:rPr>
          <w:rFonts w:hint="default" w:ascii="Times New Roman" w:hAnsi="Times New Roman" w:eastAsia="方正仿宋_GBK" w:cs="Times New Roman"/>
          <w:sz w:val="32"/>
          <w:szCs w:val="32"/>
          <w:shd w:val="clear" w:color="auto" w:fill="FFFFFF"/>
        </w:rPr>
        <w:t>车运行维护费8.83万元，主要用于</w:t>
      </w:r>
      <w:r>
        <w:rPr>
          <w:rFonts w:hint="default" w:ascii="Times New Roman" w:hAnsi="Times New Roman" w:eastAsia="方正仿宋_GBK" w:cs="Times New Roman"/>
          <w:sz w:val="32"/>
          <w:szCs w:val="32"/>
          <w:shd w:val="clear" w:color="auto" w:fill="FFFFFF"/>
          <w:lang w:val="en-US" w:eastAsia="zh-CN"/>
        </w:rPr>
        <w:t>公务车维修及保养、保险、过路费、洗车费等日常开支。</w:t>
      </w:r>
      <w:r>
        <w:rPr>
          <w:rFonts w:hint="default" w:ascii="Times New Roman" w:hAnsi="Times New Roman" w:eastAsia="方正仿宋_GBK" w:cs="Times New Roman"/>
          <w:sz w:val="32"/>
          <w:szCs w:val="32"/>
          <w:shd w:val="clear" w:color="auto" w:fill="FFFFFF"/>
        </w:rPr>
        <w:t>费用支出较年初预算数减少0.17万元，下降1.89%，主要原因是</w:t>
      </w:r>
      <w:r>
        <w:rPr>
          <w:rFonts w:hint="default" w:ascii="Times New Roman" w:hAnsi="Times New Roman" w:eastAsia="方正仿宋_GBK" w:cs="Times New Roman"/>
          <w:sz w:val="32"/>
          <w:szCs w:val="32"/>
          <w:shd w:val="clear" w:color="auto" w:fill="FFFFFF"/>
          <w:lang w:val="en-US" w:eastAsia="zh-CN"/>
        </w:rPr>
        <w:t>缩减开支，支出减少。</w:t>
      </w:r>
      <w:r>
        <w:rPr>
          <w:rFonts w:hint="default" w:ascii="Times New Roman" w:hAnsi="Times New Roman" w:eastAsia="方正仿宋_GBK" w:cs="Times New Roman"/>
          <w:sz w:val="32"/>
          <w:szCs w:val="32"/>
          <w:shd w:val="clear" w:color="auto" w:fill="FFFFFF"/>
        </w:rPr>
        <w:t>较上年支出数增加2.65万元，增长42.88%，主要原因是</w:t>
      </w:r>
      <w:r>
        <w:rPr>
          <w:rFonts w:hint="default" w:ascii="Times New Roman" w:hAnsi="Times New Roman" w:eastAsia="方正仿宋_GBK" w:cs="Times New Roman"/>
          <w:sz w:val="32"/>
          <w:szCs w:val="32"/>
          <w:shd w:val="clear" w:color="auto" w:fill="FFFFFF"/>
          <w:lang w:val="en-US" w:eastAsia="zh-CN"/>
        </w:rPr>
        <w:t>年初预算数较上年增加。</w:t>
      </w:r>
    </w:p>
    <w:p w14:paraId="51A2D2B7">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shd w:val="clear" w:color="auto" w:fill="FFFFFF"/>
        </w:rPr>
        <w:t>公务接待费29.15万元，主要用于接待接待区级部门</w:t>
      </w:r>
      <w:r>
        <w:rPr>
          <w:rFonts w:hint="default" w:ascii="Times New Roman" w:hAnsi="Times New Roman" w:eastAsia="方正仿宋_GBK" w:cs="Times New Roman"/>
          <w:sz w:val="32"/>
          <w:szCs w:val="32"/>
          <w:shd w:val="clear" w:color="auto" w:fill="FFFFFF"/>
          <w:lang w:val="en-US" w:eastAsia="zh-CN"/>
        </w:rPr>
        <w:t>及区外部门</w:t>
      </w:r>
      <w:r>
        <w:rPr>
          <w:rFonts w:hint="default" w:ascii="Times New Roman" w:hAnsi="Times New Roman" w:eastAsia="方正仿宋_GBK" w:cs="Times New Roman"/>
          <w:sz w:val="32"/>
          <w:szCs w:val="32"/>
          <w:shd w:val="clear" w:color="auto" w:fill="FFFFFF"/>
        </w:rPr>
        <w:t>来镇检查工作等</w:t>
      </w:r>
      <w:r>
        <w:rPr>
          <w:rFonts w:hint="default" w:ascii="Times New Roman" w:hAnsi="Times New Roman" w:eastAsia="方正仿宋_GBK" w:cs="Times New Roman"/>
          <w:color w:val="000000" w:themeColor="text1"/>
          <w:sz w:val="32"/>
          <w:szCs w:val="32"/>
          <w:shd w:val="clear" w:color="auto" w:fill="FFFFFF"/>
          <w:lang w:eastAsia="zh-CN"/>
        </w:rPr>
        <w:t>。</w:t>
      </w:r>
      <w:r>
        <w:rPr>
          <w:rFonts w:hint="default" w:ascii="Times New Roman" w:hAnsi="Times New Roman" w:eastAsia="方正仿宋_GBK" w:cs="Times New Roman"/>
          <w:sz w:val="32"/>
          <w:szCs w:val="32"/>
          <w:shd w:val="clear" w:color="auto" w:fill="FFFFFF"/>
        </w:rPr>
        <w:t>费用支出较年初预算数减少0.85万元，下降2.83%，主要原因是</w:t>
      </w:r>
      <w:r>
        <w:rPr>
          <w:rFonts w:hint="default" w:ascii="Times New Roman" w:hAnsi="Times New Roman" w:eastAsia="方正仿宋_GBK" w:cs="Times New Roman"/>
          <w:color w:val="000000" w:themeColor="text1"/>
          <w:sz w:val="32"/>
          <w:szCs w:val="32"/>
          <w:shd w:val="clear" w:color="auto" w:fill="FFFFFF"/>
          <w:lang w:val="en-US" w:eastAsia="zh-CN"/>
        </w:rPr>
        <w:t>缩减开支，支出减少</w:t>
      </w:r>
      <w:r>
        <w:rPr>
          <w:rFonts w:hint="default" w:ascii="Times New Roman" w:hAnsi="Times New Roman" w:eastAsia="方正仿宋_GBK" w:cs="Times New Roman"/>
          <w:color w:val="000000" w:themeColor="text1"/>
          <w:sz w:val="32"/>
          <w:szCs w:val="32"/>
          <w:shd w:val="clear" w:color="auto" w:fill="FFFFFF"/>
        </w:rPr>
        <w:t>。</w:t>
      </w:r>
      <w:r>
        <w:rPr>
          <w:rFonts w:hint="default" w:ascii="Times New Roman" w:hAnsi="Times New Roman" w:eastAsia="方正仿宋_GBK" w:cs="Times New Roman"/>
          <w:sz w:val="32"/>
          <w:szCs w:val="32"/>
          <w:shd w:val="clear" w:color="auto" w:fill="FFFFFF"/>
        </w:rPr>
        <w:t>较上年支出数增加0.59万元，增长2.07%</w:t>
      </w:r>
      <w:r>
        <w:rPr>
          <w:rFonts w:hint="default" w:ascii="Times New Roman" w:hAnsi="Times New Roman" w:eastAsia="方正仿宋_GBK" w:cs="Times New Roman"/>
          <w:sz w:val="32"/>
          <w:szCs w:val="32"/>
          <w:shd w:val="clear" w:color="auto" w:fill="FFFFFF"/>
          <w:lang w:eastAsia="zh-CN"/>
        </w:rPr>
        <w:t>。</w:t>
      </w:r>
    </w:p>
    <w:p w14:paraId="2DF06F52">
      <w:pPr>
        <w:pStyle w:val="11"/>
        <w:keepNext w:val="0"/>
        <w:keepLines w:val="0"/>
        <w:pageBreakBefore w:val="0"/>
        <w:widowControl/>
        <w:kinsoku/>
        <w:wordWrap/>
        <w:overflowPunct/>
        <w:topLinePunct w:val="0"/>
        <w:autoSpaceDE w:val="0"/>
        <w:autoSpaceDN/>
        <w:bidi w:val="0"/>
        <w:adjustRightInd/>
        <w:snapToGrid/>
        <w:spacing w:line="596" w:lineRule="exact"/>
        <w:ind w:firstLine="643" w:firstLineChars="200"/>
        <w:textAlignment w:val="auto"/>
        <w:rPr>
          <w:rFonts w:hint="default" w:ascii="Times New Roman" w:hAnsi="Times New Roman" w:eastAsia="楷体" w:cs="Times New Roman"/>
          <w:b/>
          <w:bCs/>
          <w:sz w:val="32"/>
          <w:szCs w:val="32"/>
          <w:shd w:val="clear" w:color="auto" w:fill="FFFFFF"/>
        </w:rPr>
      </w:pPr>
      <w:r>
        <w:rPr>
          <w:rFonts w:hint="default" w:ascii="Times New Roman" w:hAnsi="Times New Roman" w:eastAsia="楷体" w:cs="Times New Roman"/>
          <w:b/>
          <w:bCs/>
          <w:sz w:val="32"/>
          <w:szCs w:val="32"/>
          <w:shd w:val="clear" w:color="auto" w:fill="FFFFFF"/>
        </w:rPr>
        <w:t>（三）“三公”经费实物量情况</w:t>
      </w:r>
    </w:p>
    <w:p w14:paraId="65BDD223">
      <w:pPr>
        <w:pStyle w:val="6"/>
        <w:snapToGrid w:val="0"/>
        <w:spacing w:before="0" w:beforeAutospacing="0" w:after="0" w:afterAutospacing="0" w:line="596"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2024年度本部门因公出国（境）共计0个团组，0人；公务用车购置0辆，公务车保有量为2辆；国内公务接待430批次3450人，其中：国内外事接待0批次，0人；国（境）外公务接待0批次，0人。2024年本部门人均接待费84.50元，车均购置费0万元，车均维护费4.41万元。</w:t>
      </w:r>
    </w:p>
    <w:p w14:paraId="771E6C7F">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6" w:lineRule="exact"/>
        <w:ind w:firstLine="643" w:firstLineChars="200"/>
        <w:textAlignment w:val="auto"/>
        <w:rPr>
          <w:rStyle w:val="10"/>
          <w:rFonts w:hint="default" w:ascii="Times New Roman" w:hAnsi="Times New Roman" w:eastAsia="黑体" w:cs="Times New Roman"/>
          <w:sz w:val="32"/>
          <w:szCs w:val="32"/>
          <w:shd w:val="clear" w:color="auto" w:fill="FFFFFF"/>
        </w:rPr>
      </w:pPr>
      <w:r>
        <w:rPr>
          <w:rStyle w:val="10"/>
          <w:rFonts w:hint="default" w:ascii="Times New Roman" w:hAnsi="Times New Roman" w:eastAsia="黑体" w:cs="Times New Roman"/>
          <w:sz w:val="32"/>
          <w:szCs w:val="32"/>
          <w:shd w:val="clear" w:color="auto" w:fill="FFFFFF"/>
        </w:rPr>
        <w:t>四、其他需要说明的事项</w:t>
      </w:r>
    </w:p>
    <w:p w14:paraId="43D7E8F8">
      <w:pPr>
        <w:pStyle w:val="11"/>
        <w:keepNext w:val="0"/>
        <w:keepLines w:val="0"/>
        <w:pageBreakBefore w:val="0"/>
        <w:widowControl/>
        <w:kinsoku/>
        <w:wordWrap/>
        <w:overflowPunct/>
        <w:topLinePunct w:val="0"/>
        <w:autoSpaceDE w:val="0"/>
        <w:autoSpaceDN/>
        <w:bidi w:val="0"/>
        <w:adjustRightInd/>
        <w:snapToGrid/>
        <w:spacing w:line="596" w:lineRule="exact"/>
        <w:ind w:firstLine="640" w:firstLineChars="200"/>
        <w:jc w:val="both"/>
        <w:textAlignment w:val="auto"/>
        <w:rPr>
          <w:rFonts w:hint="default" w:ascii="Times New Roman" w:hAnsi="Times New Roman" w:eastAsia="方正仿宋_GBK" w:cs="Times New Roman"/>
          <w:sz w:val="32"/>
          <w:szCs w:val="32"/>
          <w:shd w:val="clear" w:color="auto" w:fill="FFFFFF"/>
          <w:lang w:val="en-US" w:eastAsia="zh-CN" w:bidi="ar-SA"/>
        </w:rPr>
      </w:pPr>
      <w:r>
        <w:rPr>
          <w:rFonts w:hint="default" w:ascii="Times New Roman" w:hAnsi="Times New Roman" w:eastAsia="方正仿宋_GBK" w:cs="Times New Roman"/>
          <w:sz w:val="32"/>
          <w:szCs w:val="32"/>
          <w:shd w:val="clear" w:color="auto" w:fill="FFFFFF"/>
          <w:lang w:val="en-US" w:eastAsia="zh-CN" w:bidi="ar-SA"/>
        </w:rPr>
        <w:t>无。</w:t>
      </w:r>
    </w:p>
    <w:p w14:paraId="32F55107">
      <w:pPr>
        <w:pStyle w:val="11"/>
        <w:keepNext w:val="0"/>
        <w:keepLines w:val="0"/>
        <w:pageBreakBefore w:val="0"/>
        <w:widowControl/>
        <w:kinsoku/>
        <w:wordWrap/>
        <w:overflowPunct/>
        <w:topLinePunct w:val="0"/>
        <w:autoSpaceDE w:val="0"/>
        <w:autoSpaceDN/>
        <w:bidi w:val="0"/>
        <w:adjustRightInd/>
        <w:snapToGrid/>
        <w:spacing w:line="596" w:lineRule="exact"/>
        <w:ind w:firstLine="643" w:firstLineChars="200"/>
        <w:jc w:val="both"/>
        <w:textAlignment w:val="auto"/>
        <w:rPr>
          <w:rStyle w:val="10"/>
          <w:rFonts w:hint="default" w:ascii="Times New Roman" w:hAnsi="Times New Roman" w:eastAsia="黑体" w:cs="Times New Roman"/>
          <w:sz w:val="32"/>
          <w:szCs w:val="32"/>
          <w:shd w:val="clear" w:color="auto" w:fill="FFFFFF"/>
          <w:lang w:val="en-US" w:eastAsia="zh-CN" w:bidi="ar-SA"/>
        </w:rPr>
      </w:pPr>
      <w:r>
        <w:rPr>
          <w:rStyle w:val="10"/>
          <w:rFonts w:hint="default" w:ascii="Times New Roman" w:hAnsi="Times New Roman" w:eastAsia="黑体" w:cs="Times New Roman"/>
          <w:sz w:val="32"/>
          <w:szCs w:val="32"/>
          <w:shd w:val="clear" w:color="auto" w:fill="FFFFFF"/>
        </w:rPr>
        <w:t>五、</w:t>
      </w:r>
      <w:r>
        <w:rPr>
          <w:rStyle w:val="10"/>
          <w:rFonts w:hint="default" w:ascii="Times New Roman" w:hAnsi="Times New Roman" w:eastAsia="黑体" w:cs="Times New Roman"/>
          <w:sz w:val="32"/>
          <w:szCs w:val="32"/>
          <w:shd w:val="clear" w:color="auto" w:fill="FFFFFF"/>
          <w:lang w:val="en-US" w:eastAsia="zh-CN" w:bidi="ar-SA"/>
        </w:rPr>
        <w:t>2024年度绩效情况说明</w:t>
      </w:r>
    </w:p>
    <w:p w14:paraId="0137B3BA">
      <w:pPr>
        <w:pStyle w:val="11"/>
        <w:keepNext w:val="0"/>
        <w:keepLines w:val="0"/>
        <w:pageBreakBefore w:val="0"/>
        <w:widowControl/>
        <w:kinsoku/>
        <w:wordWrap/>
        <w:overflowPunct/>
        <w:topLinePunct w:val="0"/>
        <w:autoSpaceDE w:val="0"/>
        <w:autoSpaceDN/>
        <w:bidi w:val="0"/>
        <w:adjustRightInd/>
        <w:snapToGrid/>
        <w:spacing w:line="596" w:lineRule="exact"/>
        <w:ind w:firstLine="643" w:firstLineChars="200"/>
        <w:jc w:val="both"/>
        <w:textAlignment w:val="auto"/>
        <w:rPr>
          <w:rStyle w:val="10"/>
          <w:rFonts w:hint="default" w:ascii="Times New Roman" w:hAnsi="Times New Roman" w:eastAsia="黑体" w:cs="Times New Roman"/>
          <w:sz w:val="32"/>
          <w:szCs w:val="32"/>
          <w:shd w:val="clear" w:color="auto" w:fill="FFFFFF"/>
        </w:rPr>
      </w:pPr>
      <w:r>
        <w:rPr>
          <w:rStyle w:val="10"/>
          <w:rFonts w:hint="default" w:ascii="Times New Roman" w:hAnsi="Times New Roman" w:eastAsia="黑体" w:cs="Times New Roman"/>
          <w:sz w:val="32"/>
          <w:szCs w:val="32"/>
          <w:shd w:val="clear" w:color="auto" w:fill="FFFFFF"/>
          <w:lang w:eastAsia="zh-CN"/>
        </w:rPr>
        <w:t>六</w:t>
      </w:r>
      <w:r>
        <w:rPr>
          <w:rStyle w:val="10"/>
          <w:rFonts w:hint="default" w:ascii="Times New Roman" w:hAnsi="Times New Roman" w:eastAsia="黑体" w:cs="Times New Roman"/>
          <w:sz w:val="32"/>
          <w:szCs w:val="32"/>
          <w:shd w:val="clear" w:color="auto" w:fill="FFFFFF"/>
        </w:rPr>
        <w:t>、专业名词解释</w:t>
      </w:r>
    </w:p>
    <w:p w14:paraId="2BBAB3B8">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Fonts w:hint="default" w:ascii="Times New Roman" w:hAnsi="Times New Roman" w:eastAsia="楷体" w:cs="Times New Roman"/>
          <w:b/>
          <w:bCs/>
          <w:sz w:val="32"/>
          <w:szCs w:val="32"/>
          <w:shd w:val="clear" w:color="auto" w:fill="FFFFFF"/>
        </w:rPr>
        <w:t>（一）财政拨款收入：</w:t>
      </w:r>
      <w:r>
        <w:rPr>
          <w:rFonts w:hint="default" w:ascii="Times New Roman" w:hAnsi="Times New Roman" w:eastAsia="方正仿宋_GBK" w:cs="Times New Roman"/>
          <w:sz w:val="32"/>
          <w:szCs w:val="32"/>
          <w:shd w:val="clear" w:color="auto" w:fill="FFFFFF"/>
        </w:rPr>
        <w:t>指本年度从本级财政部门取得的财政拨款。</w:t>
      </w:r>
    </w:p>
    <w:p w14:paraId="2D3DE460">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（二）事业收入</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指事业单位开展专业业务活动及其辅助活动取得的</w:t>
      </w:r>
      <w:r>
        <w:rPr>
          <w:rFonts w:hint="default" w:ascii="Times New Roman" w:hAnsi="Times New Roman" w:eastAsia="方正仿宋_GBK" w:cs="Times New Roman"/>
          <w:sz w:val="32"/>
          <w:szCs w:val="32"/>
          <w:shd w:val="clear" w:color="auto" w:fill="FFFFFF"/>
          <w:lang w:eastAsia="zh-CN"/>
        </w:rPr>
        <w:t>收入</w:t>
      </w:r>
      <w:r>
        <w:rPr>
          <w:rFonts w:hint="default" w:ascii="Times New Roman" w:hAnsi="Times New Roman" w:eastAsia="方正仿宋_GBK" w:cs="Times New Roman"/>
          <w:sz w:val="32"/>
          <w:szCs w:val="32"/>
          <w:shd w:val="clear" w:color="auto" w:fill="FFFFFF"/>
        </w:rPr>
        <w:t>。</w:t>
      </w:r>
    </w:p>
    <w:p w14:paraId="622BC08D">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（三）经营收入</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指事业单位在专业业务活动及其辅助活动之外开展非独立核算经营活动取得的</w:t>
      </w:r>
      <w:r>
        <w:rPr>
          <w:rFonts w:hint="default" w:ascii="Times New Roman" w:hAnsi="Times New Roman" w:eastAsia="方正仿宋_GBK" w:cs="Times New Roman"/>
          <w:sz w:val="32"/>
          <w:szCs w:val="32"/>
          <w:shd w:val="clear" w:color="auto" w:fill="FFFFFF"/>
          <w:lang w:eastAsia="zh-CN"/>
        </w:rPr>
        <w:t>收入</w:t>
      </w:r>
      <w:r>
        <w:rPr>
          <w:rFonts w:hint="default" w:ascii="Times New Roman" w:hAnsi="Times New Roman" w:eastAsia="方正仿宋_GBK" w:cs="Times New Roman"/>
          <w:sz w:val="32"/>
          <w:szCs w:val="32"/>
          <w:shd w:val="clear" w:color="auto" w:fill="FFFFFF"/>
        </w:rPr>
        <w:t>。</w:t>
      </w:r>
    </w:p>
    <w:p w14:paraId="7007538E">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（四）其他收入</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14:paraId="1D966129">
      <w:pPr>
        <w:pStyle w:val="6"/>
        <w:keepNext w:val="0"/>
        <w:keepLines w:val="0"/>
        <w:pageBreakBefore w:val="0"/>
        <w:widowControl/>
        <w:kinsoku/>
        <w:wordWrap/>
        <w:overflowPunct/>
        <w:topLinePunct w:val="0"/>
        <w:autoSpaceDE/>
        <w:autoSpaceDN/>
        <w:bidi w:val="0"/>
        <w:adjustRightInd/>
        <w:snapToGrid w:val="0"/>
        <w:spacing w:before="0" w:beforeAutospacing="0" w:after="0" w:afterAutospacing="0" w:line="596" w:lineRule="exact"/>
        <w:ind w:firstLine="643" w:firstLineChars="200"/>
        <w:jc w:val="both"/>
        <w:textAlignment w:val="auto"/>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（五）使用非财政拨款结余</w:t>
      </w:r>
      <w:r>
        <w:rPr>
          <w:rStyle w:val="10"/>
          <w:rFonts w:hint="default" w:ascii="Times New Roman" w:hAnsi="Times New Roman" w:eastAsia="楷体" w:cs="Times New Roman"/>
          <w:sz w:val="32"/>
          <w:szCs w:val="32"/>
          <w:shd w:val="clear" w:color="auto" w:fill="FFFFFF"/>
          <w:lang w:eastAsia="zh-CN"/>
        </w:rPr>
        <w:t>（含专用结余）</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指</w:t>
      </w:r>
      <w:r>
        <w:rPr>
          <w:rFonts w:hint="default" w:ascii="Times New Roman" w:hAnsi="Times New Roman" w:eastAsia="方正仿宋_GBK" w:cs="Times New Roman"/>
          <w:sz w:val="32"/>
          <w:szCs w:val="32"/>
          <w:shd w:val="clear" w:color="auto" w:fill="FFFFFF"/>
          <w:lang w:eastAsia="zh-CN"/>
        </w:rPr>
        <w:t>事业单位按照预算管理要求使用非财政拨款结余弥补收支差额的金额，以及使用专用结余安排支出的金额。</w:t>
      </w:r>
    </w:p>
    <w:p w14:paraId="7ACAF9E2">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（六）年初结转和结余</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指单位上年结转本年使用的基本支出结转、项目支出结转和结余、经营结余。</w:t>
      </w:r>
    </w:p>
    <w:p w14:paraId="7AB76DBA">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（七）结余分配</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指单位按照国家有关规定，缴纳所得税、提取专用基金、转入非财政拨款结余等当年结余的分配情况。</w:t>
      </w:r>
    </w:p>
    <w:p w14:paraId="581C2825">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（八）年末结转和结余</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指单位结转下年的基本支出结转、项目支出结转和结余、经营结余。</w:t>
      </w:r>
    </w:p>
    <w:p w14:paraId="62E8467B">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（九）基本支出</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14:paraId="081BA227">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（十）项目支出</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指在基本支出之外为完成特定行政任务和事业发展目标所发生的支出。</w:t>
      </w:r>
    </w:p>
    <w:p w14:paraId="0576D0B0">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（十一）经营支出</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指事业单位在专业业务活动及其辅助活动之外开展非独立核算经营活动发生的支出。</w:t>
      </w:r>
    </w:p>
    <w:p w14:paraId="38894F20">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（十二）“三公”经费</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指用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3C0661AE">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（十三）机关运行经费</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76F2A4B3">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（十四）工资福利支出（支出经济分类科目类级）</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反映单位开支的在职职工和编制外长期聘用人员的各类劳动报酬，以及为上述人员缴纳的各项社会保险费等。</w:t>
      </w:r>
    </w:p>
    <w:p w14:paraId="0BF2F8A5">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（十五）商品和服务支出（支出经济分类科目类级）</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反映单位购买商品和服务的支出（不包括用于购置固定资产的支出、战略性和应急储备支出）。</w:t>
      </w:r>
    </w:p>
    <w:p w14:paraId="3FB3A4FC">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rPr>
      </w:pPr>
      <w:r>
        <w:rPr>
          <w:rStyle w:val="10"/>
          <w:rFonts w:hint="default" w:ascii="Times New Roman" w:hAnsi="Times New Roman" w:eastAsia="楷体" w:cs="Times New Roman"/>
          <w:sz w:val="32"/>
          <w:szCs w:val="32"/>
          <w:shd w:val="clear" w:color="auto" w:fill="FFFFFF"/>
        </w:rPr>
        <w:t>（十六）对个人和家庭的补助（支出经济分类科目类级）</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反映用于对个人和家庭的补助支出。</w:t>
      </w:r>
    </w:p>
    <w:p w14:paraId="46F4B651">
      <w:pPr>
        <w:pStyle w:val="6"/>
        <w:snapToGrid w:val="0"/>
        <w:spacing w:before="0" w:beforeAutospacing="0" w:after="0" w:afterAutospacing="0" w:line="596" w:lineRule="exact"/>
        <w:ind w:firstLine="643" w:firstLineChars="200"/>
        <w:jc w:val="both"/>
        <w:rPr>
          <w:rFonts w:hint="default" w:ascii="Times New Roman" w:hAnsi="Times New Roman" w:eastAsia="方正仿宋_GBK" w:cs="Times New Roman"/>
          <w:sz w:val="32"/>
          <w:szCs w:val="32"/>
          <w:shd w:val="clear" w:color="auto" w:fill="FFFFFF"/>
        </w:rPr>
      </w:pPr>
      <w:r>
        <w:rPr>
          <w:rStyle w:val="10"/>
          <w:rFonts w:hint="default" w:ascii="Times New Roman" w:hAnsi="Times New Roman" w:eastAsia="楷体" w:cs="Times New Roman"/>
          <w:sz w:val="32"/>
          <w:szCs w:val="32"/>
          <w:shd w:val="clear" w:color="auto" w:fill="FFFFFF"/>
        </w:rPr>
        <w:t>（十七）其他资本性支出（支出经济分类科目类级）</w:t>
      </w:r>
      <w:r>
        <w:rPr>
          <w:rFonts w:hint="default" w:ascii="Times New Roman" w:hAnsi="Times New Roman" w:eastAsia="楷体" w:cs="Times New Roman"/>
          <w:sz w:val="32"/>
          <w:szCs w:val="32"/>
          <w:shd w:val="clear" w:color="auto" w:fill="FFFFFF"/>
        </w:rPr>
        <w:t>：</w:t>
      </w:r>
      <w:r>
        <w:rPr>
          <w:rFonts w:hint="default" w:ascii="Times New Roman" w:hAnsi="Times New Roman" w:eastAsia="方正仿宋_GBK" w:cs="Times New Roman"/>
          <w:sz w:val="32"/>
          <w:szCs w:val="32"/>
          <w:shd w:val="clear" w:color="auto" w:fill="FFFFFF"/>
        </w:rPr>
        <w:t>反映非各级发展与改革部门集中安排的用于购置固定资产、战略性和应急性储备、土地和无形资产，以及构建基础设施、大型修缮和财政支持企业更新改造所发生的支出。</w:t>
      </w:r>
    </w:p>
    <w:p w14:paraId="5AB0C67F">
      <w:pPr>
        <w:pStyle w:val="6"/>
        <w:keepNext w:val="0"/>
        <w:keepLines w:val="0"/>
        <w:pageBreakBefore w:val="0"/>
        <w:widowControl/>
        <w:kinsoku/>
        <w:wordWrap/>
        <w:overflowPunct/>
        <w:topLinePunct w:val="0"/>
        <w:autoSpaceDE/>
        <w:autoSpaceDN/>
        <w:bidi w:val="0"/>
        <w:adjustRightInd/>
        <w:snapToGrid w:val="0"/>
        <w:spacing w:before="0" w:beforeAutospacing="0" w:after="0" w:afterAutospacing="0" w:line="596" w:lineRule="exact"/>
        <w:ind w:firstLine="643" w:firstLineChars="200"/>
        <w:textAlignment w:val="auto"/>
        <w:rPr>
          <w:rStyle w:val="10"/>
          <w:rFonts w:hint="default" w:ascii="Times New Roman" w:hAnsi="Times New Roman" w:eastAsia="黑体" w:cs="Times New Roman"/>
          <w:sz w:val="32"/>
          <w:szCs w:val="32"/>
          <w:shd w:val="clear" w:color="auto" w:fill="FFFFFF"/>
        </w:rPr>
      </w:pPr>
      <w:r>
        <w:rPr>
          <w:rStyle w:val="10"/>
          <w:rFonts w:hint="default" w:ascii="Times New Roman" w:hAnsi="Times New Roman" w:eastAsia="黑体" w:cs="Times New Roman"/>
          <w:sz w:val="32"/>
          <w:szCs w:val="32"/>
          <w:shd w:val="clear" w:color="auto" w:fill="FFFFFF"/>
          <w:lang w:eastAsia="zh-CN"/>
        </w:rPr>
        <w:t>七</w:t>
      </w:r>
      <w:r>
        <w:rPr>
          <w:rStyle w:val="10"/>
          <w:rFonts w:hint="default" w:ascii="Times New Roman" w:hAnsi="Times New Roman" w:eastAsia="黑体" w:cs="Times New Roman"/>
          <w:sz w:val="32"/>
          <w:szCs w:val="32"/>
          <w:shd w:val="clear" w:color="auto" w:fill="FFFFFF"/>
        </w:rPr>
        <w:t>、决算公开联系方式及信息反馈渠道</w:t>
      </w:r>
    </w:p>
    <w:p w14:paraId="6E6EC83F">
      <w:pPr>
        <w:pStyle w:val="6"/>
        <w:snapToGrid w:val="0"/>
        <w:spacing w:before="0" w:beforeAutospacing="0" w:after="0" w:afterAutospacing="0" w:line="596" w:lineRule="exact"/>
        <w:ind w:firstLine="640" w:firstLineChars="200"/>
        <w:jc w:val="both"/>
        <w:rPr>
          <w:rStyle w:val="10"/>
          <w:rFonts w:hint="default" w:ascii="Times New Roman" w:hAnsi="Times New Roman" w:eastAsia="方正仿宋_GBK" w:cs="Times New Roman"/>
          <w:sz w:val="32"/>
          <w:szCs w:val="32"/>
          <w:shd w:val="clear" w:color="auto" w:fill="FFFF00"/>
        </w:rPr>
        <w:sectPr>
          <w:footerReference r:id="rId3" w:type="default"/>
          <w:pgSz w:w="11915" w:h="16840"/>
          <w:pgMar w:top="1440" w:right="1800" w:bottom="1440" w:left="1800" w:header="851" w:footer="992" w:gutter="0"/>
          <w:pgNumType w:fmt="numberInDash"/>
          <w:cols w:space="720" w:num="1"/>
          <w:docGrid w:type="lines" w:linePitch="312" w:charSpace="0"/>
        </w:sectPr>
      </w:pPr>
      <w:r>
        <w:rPr>
          <w:rFonts w:hint="default" w:ascii="Times New Roman" w:hAnsi="Times New Roman" w:eastAsia="方正仿宋_GBK" w:cs="Times New Roman"/>
          <w:sz w:val="32"/>
          <w:szCs w:val="32"/>
          <w:shd w:val="clear" w:color="auto" w:fill="FFFFFF"/>
        </w:rPr>
        <w:t>本</w:t>
      </w:r>
      <w:r>
        <w:rPr>
          <w:rFonts w:hint="default" w:ascii="Times New Roman" w:hAnsi="Times New Roman" w:eastAsia="方正仿宋_GBK" w:cs="Times New Roman"/>
          <w:sz w:val="32"/>
          <w:szCs w:val="32"/>
          <w:shd w:val="clear" w:color="auto" w:fill="FFFFFF"/>
          <w:lang w:eastAsia="zh-CN"/>
        </w:rPr>
        <w:t>单位</w:t>
      </w:r>
      <w:r>
        <w:rPr>
          <w:rFonts w:hint="default" w:ascii="Times New Roman" w:hAnsi="Times New Roman" w:eastAsia="方正仿宋_GBK" w:cs="Times New Roman"/>
          <w:sz w:val="32"/>
          <w:szCs w:val="32"/>
          <w:shd w:val="clear" w:color="auto" w:fill="FFFFFF"/>
        </w:rPr>
        <w:t>决算公开信息反馈和联系方式：</w:t>
      </w:r>
      <w:r>
        <w:rPr>
          <w:rFonts w:hint="default" w:ascii="Times New Roman" w:hAnsi="Times New Roman" w:eastAsia="方正仿宋_GBK" w:cs="Times New Roman"/>
          <w:sz w:val="32"/>
          <w:szCs w:val="32"/>
          <w:shd w:val="clear" w:color="auto" w:fill="FFFFFF"/>
          <w:lang w:val="en-US" w:eastAsia="zh-CN"/>
        </w:rPr>
        <w:t>023-44340000</w:t>
      </w:r>
    </w:p>
    <w:tbl>
      <w:tblPr>
        <w:tblStyle w:val="7"/>
        <w:tblpPr w:leftFromText="180" w:rightFromText="180" w:vertAnchor="text" w:horzAnchor="page" w:tblpX="1058" w:tblpY="22"/>
        <w:tblOverlap w:val="never"/>
        <w:tblW w:w="4809" w:type="pct"/>
        <w:tblInd w:w="0" w:type="dxa"/>
        <w:tblLayout w:type="autofit"/>
        <w:tblCellMar>
          <w:top w:w="0" w:type="dxa"/>
          <w:left w:w="0" w:type="dxa"/>
          <w:bottom w:w="0" w:type="dxa"/>
          <w:right w:w="0" w:type="dxa"/>
        </w:tblCellMar>
      </w:tblPr>
      <w:tblGrid>
        <w:gridCol w:w="4294"/>
        <w:gridCol w:w="3558"/>
        <w:gridCol w:w="4044"/>
        <w:gridCol w:w="2841"/>
      </w:tblGrid>
      <w:tr w14:paraId="3067188A">
        <w:tblPrEx>
          <w:tblCellMar>
            <w:top w:w="0" w:type="dxa"/>
            <w:left w:w="0" w:type="dxa"/>
            <w:bottom w:w="0" w:type="dxa"/>
            <w:right w:w="0" w:type="dxa"/>
          </w:tblCellMar>
        </w:tblPrEx>
        <w:trPr>
          <w:trHeight w:val="232" w:hRule="atLeast"/>
        </w:trPr>
        <w:tc>
          <w:tcPr>
            <w:tcW w:w="5000" w:type="pct"/>
            <w:gridSpan w:val="4"/>
            <w:tcBorders>
              <w:top w:val="nil"/>
              <w:left w:val="nil"/>
              <w:bottom w:val="nil"/>
              <w:right w:val="nil"/>
            </w:tcBorders>
            <w:shd w:val="clear" w:color="auto" w:fill="auto"/>
            <w:noWrap/>
            <w:tcMar>
              <w:top w:w="15" w:type="dxa"/>
              <w:left w:w="15" w:type="dxa"/>
              <w:right w:w="15" w:type="dxa"/>
            </w:tcMar>
            <w:vAlign w:val="bottom"/>
          </w:tcPr>
          <w:p w14:paraId="7116C78B">
            <w:pPr>
              <w:spacing w:line="400" w:lineRule="exact"/>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收入支出决算总表</w:t>
            </w:r>
          </w:p>
        </w:tc>
      </w:tr>
      <w:tr w14:paraId="1E312D2B">
        <w:tblPrEx>
          <w:tblCellMar>
            <w:top w:w="0" w:type="dxa"/>
            <w:left w:w="0" w:type="dxa"/>
            <w:bottom w:w="0" w:type="dxa"/>
            <w:right w:w="0" w:type="dxa"/>
          </w:tblCellMar>
        </w:tblPrEx>
        <w:trPr>
          <w:trHeight w:val="232" w:hRule="atLeast"/>
        </w:trPr>
        <w:tc>
          <w:tcPr>
            <w:tcW w:w="1457" w:type="pct"/>
            <w:tcBorders>
              <w:top w:val="nil"/>
              <w:left w:val="nil"/>
              <w:bottom w:val="nil"/>
              <w:right w:val="nil"/>
            </w:tcBorders>
            <w:shd w:val="clear" w:color="auto" w:fill="auto"/>
            <w:noWrap/>
            <w:tcMar>
              <w:top w:w="15" w:type="dxa"/>
              <w:left w:w="15" w:type="dxa"/>
              <w:right w:w="15" w:type="dxa"/>
            </w:tcMar>
            <w:vAlign w:val="bottom"/>
          </w:tcPr>
          <w:p w14:paraId="5C5AAECE">
            <w:pPr>
              <w:spacing w:line="200" w:lineRule="exact"/>
              <w:rPr>
                <w:rFonts w:hint="default" w:ascii="Times New Roman" w:hAnsi="Times New Roman" w:cs="Times New Roman"/>
                <w:color w:val="000000"/>
                <w:sz w:val="20"/>
                <w:szCs w:val="20"/>
              </w:rPr>
            </w:pPr>
          </w:p>
        </w:tc>
        <w:tc>
          <w:tcPr>
            <w:tcW w:w="1206" w:type="pct"/>
            <w:tcBorders>
              <w:top w:val="nil"/>
              <w:left w:val="nil"/>
              <w:bottom w:val="nil"/>
              <w:right w:val="nil"/>
            </w:tcBorders>
            <w:shd w:val="clear" w:color="auto" w:fill="auto"/>
            <w:noWrap/>
            <w:tcMar>
              <w:top w:w="15" w:type="dxa"/>
              <w:left w:w="15" w:type="dxa"/>
              <w:right w:w="15" w:type="dxa"/>
            </w:tcMar>
            <w:vAlign w:val="bottom"/>
          </w:tcPr>
          <w:p w14:paraId="7EAE4CAF">
            <w:pPr>
              <w:spacing w:line="200" w:lineRule="exact"/>
              <w:jc w:val="right"/>
              <w:rPr>
                <w:rFonts w:hint="default" w:ascii="Times New Roman" w:hAnsi="Times New Roman" w:cs="Times New Roman"/>
                <w:color w:val="000000"/>
                <w:sz w:val="20"/>
                <w:szCs w:val="20"/>
              </w:rPr>
            </w:pPr>
          </w:p>
        </w:tc>
        <w:tc>
          <w:tcPr>
            <w:tcW w:w="1372" w:type="pct"/>
            <w:tcBorders>
              <w:top w:val="nil"/>
              <w:left w:val="nil"/>
              <w:bottom w:val="nil"/>
              <w:right w:val="nil"/>
            </w:tcBorders>
            <w:shd w:val="clear" w:color="auto" w:fill="auto"/>
            <w:noWrap/>
            <w:tcMar>
              <w:top w:w="15" w:type="dxa"/>
              <w:left w:w="15" w:type="dxa"/>
              <w:right w:w="15" w:type="dxa"/>
            </w:tcMar>
            <w:vAlign w:val="bottom"/>
          </w:tcPr>
          <w:p w14:paraId="0B018EBC">
            <w:pPr>
              <w:spacing w:line="200" w:lineRule="exact"/>
              <w:rPr>
                <w:rFonts w:hint="default" w:ascii="Times New Roman" w:hAnsi="Times New Roman" w:cs="Times New Roman"/>
                <w:color w:val="000000"/>
                <w:sz w:val="20"/>
                <w:szCs w:val="20"/>
              </w:rPr>
            </w:pPr>
          </w:p>
        </w:tc>
        <w:tc>
          <w:tcPr>
            <w:tcW w:w="963" w:type="pct"/>
            <w:tcBorders>
              <w:top w:val="nil"/>
              <w:left w:val="nil"/>
              <w:bottom w:val="nil"/>
              <w:right w:val="nil"/>
            </w:tcBorders>
            <w:shd w:val="clear" w:color="auto" w:fill="auto"/>
            <w:noWrap/>
            <w:tcMar>
              <w:top w:w="15" w:type="dxa"/>
              <w:left w:w="15" w:type="dxa"/>
              <w:right w:w="15" w:type="dxa"/>
            </w:tcMar>
            <w:vAlign w:val="bottom"/>
          </w:tcPr>
          <w:p w14:paraId="41982AB6">
            <w:pPr>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公开01表</w:t>
            </w:r>
          </w:p>
        </w:tc>
      </w:tr>
      <w:tr w14:paraId="264C09A9">
        <w:tblPrEx>
          <w:tblCellMar>
            <w:top w:w="0" w:type="dxa"/>
            <w:left w:w="0" w:type="dxa"/>
            <w:bottom w:w="0" w:type="dxa"/>
            <w:right w:w="0" w:type="dxa"/>
          </w:tblCellMar>
        </w:tblPrEx>
        <w:trPr>
          <w:trHeight w:val="232" w:hRule="atLeast"/>
        </w:trPr>
        <w:tc>
          <w:tcPr>
            <w:tcW w:w="2664" w:type="pct"/>
            <w:gridSpan w:val="2"/>
            <w:tcBorders>
              <w:top w:val="nil"/>
              <w:left w:val="nil"/>
              <w:bottom w:val="nil"/>
              <w:right w:val="nil"/>
            </w:tcBorders>
            <w:shd w:val="clear" w:color="auto" w:fill="auto"/>
            <w:noWrap/>
            <w:tcMar>
              <w:top w:w="15" w:type="dxa"/>
              <w:left w:w="15" w:type="dxa"/>
              <w:right w:w="15" w:type="dxa"/>
            </w:tcMar>
            <w:vAlign w:val="bottom"/>
          </w:tcPr>
          <w:p w14:paraId="0D5EF028">
            <w:pPr>
              <w:spacing w:line="200" w:lineRule="exact"/>
              <w:rPr>
                <w:rFonts w:hint="default" w:ascii="Times New Roman" w:hAnsi="Times New Roman" w:cs="Times New Roman"/>
                <w:color w:val="000000"/>
                <w:sz w:val="22"/>
                <w:szCs w:val="22"/>
              </w:rPr>
            </w:pPr>
            <w:r>
              <w:rPr>
                <w:rFonts w:hint="default" w:ascii="Times New Roman" w:hAnsi="Times New Roman" w:cs="Times New Roman"/>
                <w:sz w:val="20"/>
                <w:szCs w:val="20"/>
              </w:rPr>
              <w:t>部门：</w:t>
            </w:r>
            <w:r>
              <w:rPr>
                <w:rFonts w:hint="default" w:ascii="Times New Roman" w:hAnsi="Times New Roman" w:cs="Times New Roman"/>
                <w:sz w:val="20"/>
                <w:u w:color="auto"/>
              </w:rPr>
              <w:t>潼南区塘坝镇</w:t>
            </w:r>
          </w:p>
        </w:tc>
        <w:tc>
          <w:tcPr>
            <w:tcW w:w="1372" w:type="pct"/>
            <w:tcBorders>
              <w:top w:val="nil"/>
              <w:left w:val="nil"/>
              <w:bottom w:val="nil"/>
              <w:right w:val="nil"/>
            </w:tcBorders>
            <w:shd w:val="clear" w:color="auto" w:fill="auto"/>
            <w:noWrap/>
            <w:tcMar>
              <w:top w:w="15" w:type="dxa"/>
              <w:left w:w="15" w:type="dxa"/>
              <w:right w:w="15" w:type="dxa"/>
            </w:tcMar>
            <w:vAlign w:val="bottom"/>
          </w:tcPr>
          <w:p w14:paraId="2BDA1D57">
            <w:pPr>
              <w:spacing w:line="200" w:lineRule="exact"/>
              <w:rPr>
                <w:rFonts w:hint="default" w:ascii="Times New Roman" w:hAnsi="Times New Roman" w:cs="Times New Roman"/>
                <w:color w:val="000000"/>
                <w:sz w:val="22"/>
                <w:szCs w:val="22"/>
              </w:rPr>
            </w:pPr>
          </w:p>
        </w:tc>
        <w:tc>
          <w:tcPr>
            <w:tcW w:w="963" w:type="pct"/>
            <w:tcBorders>
              <w:top w:val="nil"/>
              <w:left w:val="nil"/>
              <w:bottom w:val="nil"/>
              <w:right w:val="nil"/>
            </w:tcBorders>
            <w:shd w:val="clear" w:color="auto" w:fill="auto"/>
            <w:noWrap/>
            <w:tcMar>
              <w:top w:w="15" w:type="dxa"/>
              <w:left w:w="15" w:type="dxa"/>
              <w:right w:w="15" w:type="dxa"/>
            </w:tcMar>
            <w:vAlign w:val="bottom"/>
          </w:tcPr>
          <w:p w14:paraId="0E89373A">
            <w:pPr>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5BC5B894">
        <w:tblPrEx>
          <w:tblCellMar>
            <w:top w:w="0" w:type="dxa"/>
            <w:left w:w="0" w:type="dxa"/>
            <w:bottom w:w="0" w:type="dxa"/>
            <w:right w:w="0" w:type="dxa"/>
          </w:tblCellMar>
        </w:tblPrEx>
        <w:trPr>
          <w:trHeight w:val="243" w:hRule="atLeast"/>
        </w:trPr>
        <w:tc>
          <w:tcPr>
            <w:tcW w:w="2664"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49B6F4">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收入</w:t>
            </w:r>
          </w:p>
        </w:tc>
        <w:tc>
          <w:tcPr>
            <w:tcW w:w="2335"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F69C6EB">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支出</w:t>
            </w:r>
          </w:p>
        </w:tc>
      </w:tr>
      <w:tr w14:paraId="4F50738C">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7B5A1">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7947CF">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决算数</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D37CBB">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F71F7A">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决算数</w:t>
            </w:r>
          </w:p>
        </w:tc>
      </w:tr>
      <w:tr w14:paraId="7C553EC6">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A7F977">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一、一般公共预算财政拨款收入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B92B1D">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4,682.58</w:t>
            </w: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CB1808">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一、一般公共服务支出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8455FD">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1,731.45</w:t>
            </w:r>
            <w:r>
              <w:rPr>
                <w:rFonts w:hint="default" w:ascii="Times New Roman" w:hAnsi="Times New Roman" w:cs="Times New Roman"/>
                <w:color w:val="000000"/>
                <w:sz w:val="20"/>
                <w:u w:color="auto"/>
              </w:rPr>
              <w:t xml:space="preserve"> </w:t>
            </w:r>
          </w:p>
        </w:tc>
      </w:tr>
      <w:tr w14:paraId="1830664C">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54F5F9">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二、政府性基金预算财政拨款收入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6BFCA8">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25.71</w:t>
            </w: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849D7C">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二、外交支出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3BBE7C">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E3C34E4">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9085AF">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三、国有资本经营预算财政拨款收入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582045">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26E51A">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三、国防支出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DDA29">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02F52DE">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46914">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四、上级补助收入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DCB45C">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644533">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四、公共安全支出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DA2529">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6.44</w:t>
            </w:r>
            <w:r>
              <w:rPr>
                <w:rFonts w:hint="default" w:ascii="Times New Roman" w:hAnsi="Times New Roman" w:cs="Times New Roman"/>
                <w:color w:val="000000"/>
                <w:sz w:val="20"/>
                <w:u w:color="auto"/>
              </w:rPr>
              <w:t xml:space="preserve"> </w:t>
            </w:r>
          </w:p>
        </w:tc>
      </w:tr>
      <w:tr w14:paraId="4C12CADA">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95A48F">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五、事业收入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ABB802">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9F8975">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五、教育支出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10E5F">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3FF861D">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0607C">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六、经营收入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DFB56D">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43B386">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六、科学技术支出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ACBD21">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6575DCD">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DD8DE8">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七、附属单位上缴收入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E9A820">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49BBAA">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七、文化旅游体育与传媒支出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6F91C3">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41.97</w:t>
            </w:r>
            <w:r>
              <w:rPr>
                <w:rFonts w:hint="default" w:ascii="Times New Roman" w:hAnsi="Times New Roman" w:cs="Times New Roman"/>
                <w:color w:val="000000"/>
                <w:sz w:val="20"/>
                <w:u w:color="auto"/>
              </w:rPr>
              <w:t xml:space="preserve"> </w:t>
            </w:r>
          </w:p>
        </w:tc>
      </w:tr>
      <w:tr w14:paraId="0D129D69">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1EFDE2">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八、其他收入</w:t>
            </w:r>
          </w:p>
        </w:tc>
        <w:tc>
          <w:tcPr>
            <w:tcW w:w="1206" w:type="pct"/>
            <w:tcBorders>
              <w:top w:val="nil"/>
              <w:left w:val="nil"/>
              <w:bottom w:val="nil"/>
              <w:right w:val="single" w:color="000000" w:sz="4" w:space="0"/>
            </w:tcBorders>
            <w:shd w:val="clear" w:color="auto" w:fill="auto"/>
            <w:noWrap/>
            <w:tcMar>
              <w:top w:w="15" w:type="dxa"/>
              <w:left w:w="15" w:type="dxa"/>
              <w:right w:w="15" w:type="dxa"/>
            </w:tcMar>
            <w:vAlign w:val="center"/>
          </w:tcPr>
          <w:p w14:paraId="03922415">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F4544">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八、社会保障和就业支出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55774D">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724.52</w:t>
            </w:r>
            <w:r>
              <w:rPr>
                <w:rFonts w:hint="default" w:ascii="Times New Roman" w:hAnsi="Times New Roman" w:cs="Times New Roman"/>
                <w:color w:val="000000"/>
                <w:sz w:val="20"/>
                <w:u w:color="auto"/>
              </w:rPr>
              <w:t xml:space="preserve"> </w:t>
            </w:r>
          </w:p>
        </w:tc>
      </w:tr>
      <w:tr w14:paraId="497B645E">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2FA419">
            <w:pPr>
              <w:spacing w:line="240" w:lineRule="exact"/>
              <w:rPr>
                <w:rFonts w:hint="default" w:ascii="Times New Roman" w:hAnsi="Times New Roman" w:cs="Times New Roman"/>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5D70063">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1764A2">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九、卫生健康支出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6B6814">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145.85</w:t>
            </w:r>
            <w:r>
              <w:rPr>
                <w:rFonts w:hint="default" w:ascii="Times New Roman" w:hAnsi="Times New Roman" w:cs="Times New Roman"/>
                <w:color w:val="000000"/>
                <w:sz w:val="20"/>
                <w:u w:color="auto"/>
              </w:rPr>
              <w:t xml:space="preserve"> </w:t>
            </w:r>
          </w:p>
        </w:tc>
      </w:tr>
      <w:tr w14:paraId="444B45E8">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C8278">
            <w:pPr>
              <w:spacing w:line="240" w:lineRule="exact"/>
              <w:rPr>
                <w:rFonts w:hint="default" w:ascii="Times New Roman" w:hAnsi="Times New Roman" w:cs="Times New Roman"/>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DE9359C">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BC9575">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十、节能环保支出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5E4167">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408DEF12">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F70D72">
            <w:pPr>
              <w:spacing w:line="240" w:lineRule="exact"/>
              <w:rPr>
                <w:rFonts w:hint="default" w:ascii="Times New Roman" w:hAnsi="Times New Roman" w:cs="Times New Roman"/>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71E24A9">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71BB38">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十一、城乡社区支出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AFF0F7">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148.15</w:t>
            </w:r>
            <w:r>
              <w:rPr>
                <w:rFonts w:hint="default" w:ascii="Times New Roman" w:hAnsi="Times New Roman" w:cs="Times New Roman"/>
                <w:color w:val="000000"/>
                <w:sz w:val="20"/>
                <w:u w:color="auto"/>
              </w:rPr>
              <w:t xml:space="preserve"> </w:t>
            </w:r>
          </w:p>
        </w:tc>
      </w:tr>
      <w:tr w14:paraId="48B20AAB">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6E160F">
            <w:pPr>
              <w:spacing w:line="240" w:lineRule="exact"/>
              <w:rPr>
                <w:rFonts w:hint="default" w:ascii="Times New Roman" w:hAnsi="Times New Roman" w:cs="Times New Roman"/>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2B7BD2E">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0B1BA2">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十二、农林水支出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2BB12E">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1,687.63</w:t>
            </w:r>
            <w:r>
              <w:rPr>
                <w:rFonts w:hint="default" w:ascii="Times New Roman" w:hAnsi="Times New Roman" w:cs="Times New Roman"/>
                <w:color w:val="000000"/>
                <w:sz w:val="20"/>
                <w:u w:color="auto"/>
              </w:rPr>
              <w:t xml:space="preserve"> </w:t>
            </w:r>
          </w:p>
        </w:tc>
      </w:tr>
      <w:tr w14:paraId="00B5A0CF">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F33F58">
            <w:pPr>
              <w:spacing w:line="240" w:lineRule="exact"/>
              <w:rPr>
                <w:rFonts w:hint="default" w:ascii="Times New Roman" w:hAnsi="Times New Roman" w:cs="Times New Roman"/>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C33AB7">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E59173">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十三、交通运输支出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36A7A">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DF43EDA">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E1D03A">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53C76E">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AAAB5">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十四、资源勘探工业信息等支出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00913">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08B63A51">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C4075">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1FA9C3">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AF26DE">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十五、商业服务业等支出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CB6C8C">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6E8D5ECF">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BEDC67">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6D3FFD">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119D3E">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十六、金融支出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4056AC">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7B2197E4">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0B9FBD">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9F0E5">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415B64">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十七、援助其他地区支出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4F19B7">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F981B44">
        <w:tblPrEx>
          <w:tblCellMar>
            <w:top w:w="0" w:type="dxa"/>
            <w:left w:w="0" w:type="dxa"/>
            <w:bottom w:w="0" w:type="dxa"/>
            <w:right w:w="0" w:type="dxa"/>
          </w:tblCellMar>
        </w:tblPrEx>
        <w:trPr>
          <w:trHeight w:val="90"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071E1">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14F79E">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EDE081">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十八、自然资源海洋气象等支出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B3B634">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0A3F11DB">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B526C5">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9FCAAC">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E2ABB9">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十九、住房保障支出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108043">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150.28</w:t>
            </w:r>
            <w:r>
              <w:rPr>
                <w:rFonts w:hint="default" w:ascii="Times New Roman" w:hAnsi="Times New Roman" w:cs="Times New Roman"/>
                <w:color w:val="000000"/>
                <w:sz w:val="20"/>
                <w:u w:color="auto"/>
              </w:rPr>
              <w:t xml:space="preserve"> </w:t>
            </w:r>
          </w:p>
        </w:tc>
      </w:tr>
      <w:tr w14:paraId="5637AF09">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45C816">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204C1A">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279D7E">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二十、粮油物资储备支出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80BB1">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AD2BA83">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2B8F8">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B64DD2">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4CF377">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二十一、国有资本经营预算支出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07C0C7">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2D875A31">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32F8D7">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B1CD5E">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17DCE">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二十二、灾害防治及应急管理支出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56EAA8">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46.27</w:t>
            </w:r>
            <w:r>
              <w:rPr>
                <w:rFonts w:hint="default" w:ascii="Times New Roman" w:hAnsi="Times New Roman" w:cs="Times New Roman"/>
                <w:color w:val="000000"/>
                <w:sz w:val="20"/>
                <w:u w:color="auto"/>
              </w:rPr>
              <w:t xml:space="preserve"> </w:t>
            </w:r>
          </w:p>
        </w:tc>
      </w:tr>
      <w:tr w14:paraId="3BFBF9D0">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7841A">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24CBCB">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415994">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二十三、其他支出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2175DB">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25.71</w:t>
            </w:r>
            <w:r>
              <w:rPr>
                <w:rFonts w:hint="default" w:ascii="Times New Roman" w:hAnsi="Times New Roman" w:cs="Times New Roman"/>
                <w:color w:val="000000"/>
                <w:sz w:val="20"/>
                <w:u w:color="auto"/>
              </w:rPr>
              <w:t xml:space="preserve"> </w:t>
            </w:r>
          </w:p>
        </w:tc>
      </w:tr>
      <w:tr w14:paraId="24B84781">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D5CF59">
            <w:pPr>
              <w:spacing w:line="240" w:lineRule="exact"/>
              <w:jc w:val="center"/>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720BCA">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4EC7A0">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二十四、债务还本支出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AC5EA">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07968F85">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54476">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ECE030">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8BF8A">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二十五、债务付息支出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088626">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2AF4377">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978B5D">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AF918A">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29EA1C">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二十六、抗疫特别国债安排的支出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930502">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290E1111">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55166A">
            <w:pPr>
              <w:spacing w:line="240" w:lineRule="exact"/>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本年收入合计</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6C5F60">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4,708.29</w:t>
            </w: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A6CF9">
            <w:pPr>
              <w:spacing w:line="240" w:lineRule="exact"/>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本年支出合计</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89C824">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4,708.29</w:t>
            </w:r>
            <w:r>
              <w:rPr>
                <w:rFonts w:hint="default" w:ascii="Times New Roman" w:hAnsi="Times New Roman" w:cs="Times New Roman"/>
                <w:color w:val="000000"/>
                <w:sz w:val="20"/>
                <w:u w:color="auto"/>
              </w:rPr>
              <w:t xml:space="preserve"> </w:t>
            </w:r>
          </w:p>
        </w:tc>
      </w:tr>
      <w:tr w14:paraId="40A94269">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41747D">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使用非财政拨款结余和专用结余</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E7641B">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85B4B">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结余分配</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493CBA">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6EA70BFD">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6CDA4A">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年初结转和结余</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543EE">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BD6CA5">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年末结转和结余</w:t>
            </w:r>
          </w:p>
        </w:tc>
        <w:tc>
          <w:tcPr>
            <w:tcW w:w="963" w:type="pct"/>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0C2937EC">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07719226">
        <w:tblPrEx>
          <w:tblCellMar>
            <w:top w:w="0" w:type="dxa"/>
            <w:left w:w="0" w:type="dxa"/>
            <w:bottom w:w="0" w:type="dxa"/>
            <w:right w:w="0" w:type="dxa"/>
          </w:tblCellMar>
        </w:tblPrEx>
        <w:trPr>
          <w:trHeight w:val="25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3D35BB">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总计</w:t>
            </w: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17E4CD">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4,708.29</w:t>
            </w: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4A07F3F0">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总计</w:t>
            </w:r>
          </w:p>
        </w:tc>
        <w:tc>
          <w:tcPr>
            <w:tcW w:w="96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16547B0">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4,708.29</w:t>
            </w:r>
            <w:r>
              <w:rPr>
                <w:rFonts w:hint="default" w:ascii="Times New Roman" w:hAnsi="Times New Roman" w:cs="Times New Roman"/>
                <w:color w:val="000000"/>
                <w:sz w:val="20"/>
                <w:u w:color="auto"/>
              </w:rPr>
              <w:t xml:space="preserve"> </w:t>
            </w:r>
          </w:p>
        </w:tc>
      </w:tr>
    </w:tbl>
    <w:p w14:paraId="656157B0">
      <w:pPr>
        <w:rPr>
          <w:rFonts w:hint="default" w:ascii="Times New Roman" w:hAnsi="Times New Roman" w:cs="Times New Roman"/>
          <w:sz w:val="21"/>
          <w:szCs w:val="21"/>
        </w:rPr>
      </w:pPr>
    </w:p>
    <w:p w14:paraId="3C9D29E8">
      <w:pPr>
        <w:spacing w:line="240" w:lineRule="exact"/>
        <w:rPr>
          <w:rFonts w:hint="default" w:ascii="Times New Roman" w:hAnsi="Times New Roman" w:cs="Times New Roman"/>
          <w:sz w:val="20"/>
          <w:szCs w:val="20"/>
        </w:rPr>
      </w:pPr>
      <w:r>
        <w:rPr>
          <w:rFonts w:hint="default" w:ascii="Times New Roman" w:hAnsi="Times New Roman" w:cs="Times New Roman"/>
          <w:sz w:val="20"/>
          <w:szCs w:val="20"/>
        </w:rPr>
        <w:t>备注：1.本表反映部门本年度的总收支和年末结转结余情况。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 xml:space="preserve">      2.本套报表金额单位转换时可能存在尾数误差。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p>
    <w:tbl>
      <w:tblPr>
        <w:tblStyle w:val="7"/>
        <w:tblW w:w="5059" w:type="pct"/>
        <w:tblInd w:w="0" w:type="dxa"/>
        <w:tblLayout w:type="fixed"/>
        <w:tblCellMar>
          <w:top w:w="0" w:type="dxa"/>
          <w:left w:w="0" w:type="dxa"/>
          <w:bottom w:w="0" w:type="dxa"/>
          <w:right w:w="0" w:type="dxa"/>
        </w:tblCellMar>
      </w:tblPr>
      <w:tblGrid>
        <w:gridCol w:w="1436"/>
        <w:gridCol w:w="3116"/>
        <w:gridCol w:w="1349"/>
        <w:gridCol w:w="1408"/>
        <w:gridCol w:w="1228"/>
        <w:gridCol w:w="1228"/>
        <w:gridCol w:w="1361"/>
        <w:gridCol w:w="1299"/>
        <w:gridCol w:w="1432"/>
        <w:gridCol w:w="1646"/>
      </w:tblGrid>
      <w:tr w14:paraId="0B0D0FAA">
        <w:tblPrEx>
          <w:tblCellMar>
            <w:top w:w="0" w:type="dxa"/>
            <w:left w:w="0" w:type="dxa"/>
            <w:bottom w:w="0" w:type="dxa"/>
            <w:right w:w="0" w:type="dxa"/>
          </w:tblCellMar>
        </w:tblPrEx>
        <w:trPr>
          <w:trHeight w:val="641" w:hRule="atLeast"/>
        </w:trPr>
        <w:tc>
          <w:tcPr>
            <w:tcW w:w="5000" w:type="pct"/>
            <w:gridSpan w:val="10"/>
            <w:tcBorders>
              <w:top w:val="nil"/>
              <w:left w:val="nil"/>
              <w:bottom w:val="nil"/>
              <w:right w:val="nil"/>
            </w:tcBorders>
            <w:shd w:val="clear" w:color="auto" w:fill="auto"/>
            <w:noWrap/>
            <w:tcMar>
              <w:top w:w="15" w:type="dxa"/>
              <w:left w:w="15" w:type="dxa"/>
              <w:right w:w="15" w:type="dxa"/>
            </w:tcMar>
            <w:vAlign w:val="bottom"/>
          </w:tcPr>
          <w:p w14:paraId="3E10BA92">
            <w:pPr>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收入决算表</w:t>
            </w:r>
          </w:p>
        </w:tc>
      </w:tr>
      <w:tr w14:paraId="61498B02">
        <w:tblPrEx>
          <w:tblCellMar>
            <w:top w:w="0" w:type="dxa"/>
            <w:left w:w="0" w:type="dxa"/>
            <w:bottom w:w="0" w:type="dxa"/>
            <w:right w:w="0" w:type="dxa"/>
          </w:tblCellMar>
        </w:tblPrEx>
        <w:trPr>
          <w:trHeight w:val="328" w:hRule="atLeast"/>
        </w:trPr>
        <w:tc>
          <w:tcPr>
            <w:tcW w:w="1903" w:type="pct"/>
            <w:gridSpan w:val="3"/>
            <w:vMerge w:val="restart"/>
            <w:tcBorders>
              <w:top w:val="nil"/>
              <w:left w:val="nil"/>
              <w:right w:val="nil"/>
            </w:tcBorders>
            <w:shd w:val="clear" w:color="auto" w:fill="auto"/>
            <w:noWrap/>
            <w:tcMar>
              <w:top w:w="15" w:type="dxa"/>
              <w:left w:w="15" w:type="dxa"/>
              <w:right w:w="15" w:type="dxa"/>
            </w:tcMar>
            <w:vAlign w:val="bottom"/>
          </w:tcPr>
          <w:p w14:paraId="7BADA463">
            <w:pPr>
              <w:rPr>
                <w:rFonts w:hint="default" w:ascii="Times New Roman" w:hAnsi="Times New Roman" w:cs="Times New Roman"/>
                <w:color w:val="000000"/>
                <w:sz w:val="20"/>
                <w:szCs w:val="20"/>
              </w:rPr>
            </w:pPr>
            <w:r>
              <w:rPr>
                <w:rFonts w:hint="default" w:ascii="Times New Roman" w:hAnsi="Times New Roman" w:cs="Times New Roman"/>
                <w:sz w:val="20"/>
                <w:szCs w:val="20"/>
              </w:rPr>
              <w:t>部门：</w:t>
            </w:r>
            <w:r>
              <w:rPr>
                <w:rFonts w:hint="default" w:ascii="Times New Roman" w:hAnsi="Times New Roman" w:cs="Times New Roman"/>
                <w:sz w:val="20"/>
                <w:u w:color="auto"/>
              </w:rPr>
              <w:t>潼南区塘坝镇</w:t>
            </w:r>
          </w:p>
        </w:tc>
        <w:tc>
          <w:tcPr>
            <w:tcW w:w="454" w:type="pct"/>
            <w:tcBorders>
              <w:top w:val="nil"/>
              <w:left w:val="nil"/>
              <w:bottom w:val="nil"/>
              <w:right w:val="nil"/>
            </w:tcBorders>
            <w:shd w:val="clear" w:color="auto" w:fill="auto"/>
            <w:noWrap/>
            <w:tcMar>
              <w:top w:w="15" w:type="dxa"/>
              <w:left w:w="15" w:type="dxa"/>
              <w:right w:w="15" w:type="dxa"/>
            </w:tcMar>
            <w:vAlign w:val="bottom"/>
          </w:tcPr>
          <w:p w14:paraId="786E97A1">
            <w:pPr>
              <w:rPr>
                <w:rFonts w:hint="default" w:ascii="Times New Roman" w:hAnsi="Times New Roman" w:cs="Times New Roman"/>
                <w:color w:val="000000"/>
                <w:sz w:val="20"/>
                <w:szCs w:val="20"/>
              </w:rPr>
            </w:pPr>
          </w:p>
        </w:tc>
        <w:tc>
          <w:tcPr>
            <w:tcW w:w="396" w:type="pct"/>
            <w:tcBorders>
              <w:top w:val="nil"/>
              <w:left w:val="nil"/>
              <w:bottom w:val="nil"/>
              <w:right w:val="nil"/>
            </w:tcBorders>
            <w:shd w:val="clear" w:color="auto" w:fill="auto"/>
            <w:noWrap/>
            <w:tcMar>
              <w:top w:w="15" w:type="dxa"/>
              <w:left w:w="15" w:type="dxa"/>
              <w:right w:w="15" w:type="dxa"/>
            </w:tcMar>
            <w:vAlign w:val="bottom"/>
          </w:tcPr>
          <w:p w14:paraId="4A77DEF2">
            <w:pPr>
              <w:rPr>
                <w:rFonts w:hint="default" w:ascii="Times New Roman" w:hAnsi="Times New Roman" w:cs="Times New Roman"/>
                <w:color w:val="000000"/>
                <w:sz w:val="20"/>
                <w:szCs w:val="20"/>
              </w:rPr>
            </w:pPr>
          </w:p>
        </w:tc>
        <w:tc>
          <w:tcPr>
            <w:tcW w:w="396" w:type="pct"/>
            <w:tcBorders>
              <w:top w:val="nil"/>
              <w:left w:val="nil"/>
              <w:bottom w:val="nil"/>
              <w:right w:val="nil"/>
            </w:tcBorders>
            <w:shd w:val="clear" w:color="auto" w:fill="auto"/>
            <w:noWrap/>
            <w:tcMar>
              <w:top w:w="15" w:type="dxa"/>
              <w:left w:w="15" w:type="dxa"/>
              <w:right w:w="15" w:type="dxa"/>
            </w:tcMar>
            <w:vAlign w:val="bottom"/>
          </w:tcPr>
          <w:p w14:paraId="3F5FC78B">
            <w:pPr>
              <w:rPr>
                <w:rFonts w:hint="default" w:ascii="Times New Roman" w:hAnsi="Times New Roman" w:cs="Times New Roman"/>
                <w:color w:val="000000"/>
                <w:sz w:val="20"/>
                <w:szCs w:val="20"/>
              </w:rPr>
            </w:pPr>
          </w:p>
        </w:tc>
        <w:tc>
          <w:tcPr>
            <w:tcW w:w="438" w:type="pct"/>
            <w:tcBorders>
              <w:top w:val="nil"/>
              <w:left w:val="nil"/>
              <w:bottom w:val="nil"/>
              <w:right w:val="nil"/>
            </w:tcBorders>
            <w:shd w:val="clear" w:color="auto" w:fill="auto"/>
            <w:noWrap/>
            <w:tcMar>
              <w:top w:w="15" w:type="dxa"/>
              <w:left w:w="15" w:type="dxa"/>
              <w:right w:w="15" w:type="dxa"/>
            </w:tcMar>
            <w:vAlign w:val="bottom"/>
          </w:tcPr>
          <w:p w14:paraId="3B9ACDAF">
            <w:pPr>
              <w:rPr>
                <w:rFonts w:hint="default" w:ascii="Times New Roman" w:hAnsi="Times New Roman" w:cs="Times New Roman"/>
                <w:color w:val="000000"/>
                <w:sz w:val="20"/>
                <w:szCs w:val="20"/>
              </w:rPr>
            </w:pPr>
          </w:p>
        </w:tc>
        <w:tc>
          <w:tcPr>
            <w:tcW w:w="419" w:type="pct"/>
            <w:tcBorders>
              <w:top w:val="nil"/>
              <w:left w:val="nil"/>
              <w:bottom w:val="nil"/>
              <w:right w:val="nil"/>
            </w:tcBorders>
            <w:shd w:val="clear" w:color="auto" w:fill="auto"/>
            <w:noWrap/>
            <w:tcMar>
              <w:top w:w="15" w:type="dxa"/>
              <w:left w:w="15" w:type="dxa"/>
              <w:right w:w="15" w:type="dxa"/>
            </w:tcMar>
            <w:vAlign w:val="bottom"/>
          </w:tcPr>
          <w:p w14:paraId="0DCFFDB7">
            <w:pPr>
              <w:rPr>
                <w:rFonts w:hint="default" w:ascii="Times New Roman" w:hAnsi="Times New Roman" w:cs="Times New Roman"/>
                <w:color w:val="000000"/>
                <w:sz w:val="20"/>
                <w:szCs w:val="20"/>
              </w:rPr>
            </w:pPr>
          </w:p>
        </w:tc>
        <w:tc>
          <w:tcPr>
            <w:tcW w:w="462" w:type="pct"/>
            <w:tcBorders>
              <w:top w:val="nil"/>
              <w:left w:val="nil"/>
              <w:bottom w:val="nil"/>
              <w:right w:val="nil"/>
            </w:tcBorders>
            <w:shd w:val="clear" w:color="auto" w:fill="auto"/>
            <w:noWrap/>
            <w:tcMar>
              <w:top w:w="15" w:type="dxa"/>
              <w:left w:w="15" w:type="dxa"/>
              <w:right w:w="15" w:type="dxa"/>
            </w:tcMar>
            <w:vAlign w:val="bottom"/>
          </w:tcPr>
          <w:p w14:paraId="22A7BCA9">
            <w:pPr>
              <w:rPr>
                <w:rFonts w:hint="default" w:ascii="Times New Roman" w:hAnsi="Times New Roman" w:cs="Times New Roman"/>
                <w:color w:val="000000"/>
                <w:sz w:val="20"/>
                <w:szCs w:val="20"/>
              </w:rPr>
            </w:pPr>
          </w:p>
        </w:tc>
        <w:tc>
          <w:tcPr>
            <w:tcW w:w="527" w:type="pct"/>
            <w:tcBorders>
              <w:top w:val="nil"/>
              <w:left w:val="nil"/>
              <w:bottom w:val="nil"/>
              <w:right w:val="nil"/>
            </w:tcBorders>
            <w:shd w:val="clear" w:color="auto" w:fill="auto"/>
            <w:noWrap/>
            <w:tcMar>
              <w:top w:w="15" w:type="dxa"/>
              <w:left w:w="15" w:type="dxa"/>
              <w:right w:w="15" w:type="dxa"/>
            </w:tcMar>
            <w:vAlign w:val="bottom"/>
          </w:tcPr>
          <w:p w14:paraId="10704BEC">
            <w:pPr>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公开02表</w:t>
            </w:r>
          </w:p>
        </w:tc>
      </w:tr>
      <w:tr w14:paraId="66386E3A">
        <w:tblPrEx>
          <w:tblCellMar>
            <w:top w:w="0" w:type="dxa"/>
            <w:left w:w="0" w:type="dxa"/>
            <w:bottom w:w="0" w:type="dxa"/>
            <w:right w:w="0" w:type="dxa"/>
          </w:tblCellMar>
        </w:tblPrEx>
        <w:trPr>
          <w:trHeight w:val="328" w:hRule="atLeast"/>
        </w:trPr>
        <w:tc>
          <w:tcPr>
            <w:tcW w:w="1903" w:type="pct"/>
            <w:gridSpan w:val="3"/>
            <w:vMerge w:val="continue"/>
            <w:tcBorders>
              <w:left w:val="nil"/>
              <w:bottom w:val="nil"/>
              <w:right w:val="nil"/>
            </w:tcBorders>
            <w:shd w:val="clear" w:color="auto" w:fill="auto"/>
            <w:noWrap/>
            <w:tcMar>
              <w:top w:w="15" w:type="dxa"/>
              <w:left w:w="15" w:type="dxa"/>
              <w:right w:w="15" w:type="dxa"/>
            </w:tcMar>
            <w:vAlign w:val="bottom"/>
          </w:tcPr>
          <w:p w14:paraId="08024DD4">
            <w:pPr>
              <w:rPr>
                <w:rFonts w:hint="default" w:ascii="Times New Roman" w:hAnsi="Times New Roman" w:cs="Times New Roman"/>
                <w:color w:val="000000"/>
                <w:sz w:val="20"/>
                <w:szCs w:val="20"/>
              </w:rPr>
            </w:pPr>
          </w:p>
        </w:tc>
        <w:tc>
          <w:tcPr>
            <w:tcW w:w="454" w:type="pct"/>
            <w:tcBorders>
              <w:top w:val="nil"/>
              <w:left w:val="nil"/>
              <w:bottom w:val="nil"/>
              <w:right w:val="nil"/>
            </w:tcBorders>
            <w:shd w:val="clear" w:color="auto" w:fill="auto"/>
            <w:noWrap/>
            <w:tcMar>
              <w:top w:w="15" w:type="dxa"/>
              <w:left w:w="15" w:type="dxa"/>
              <w:right w:w="15" w:type="dxa"/>
            </w:tcMar>
            <w:vAlign w:val="bottom"/>
          </w:tcPr>
          <w:p w14:paraId="6187D87C">
            <w:pPr>
              <w:rPr>
                <w:rFonts w:hint="default" w:ascii="Times New Roman" w:hAnsi="Times New Roman" w:cs="Times New Roman"/>
                <w:color w:val="000000"/>
                <w:sz w:val="20"/>
                <w:szCs w:val="20"/>
              </w:rPr>
            </w:pPr>
          </w:p>
        </w:tc>
        <w:tc>
          <w:tcPr>
            <w:tcW w:w="396" w:type="pct"/>
            <w:tcBorders>
              <w:top w:val="nil"/>
              <w:left w:val="nil"/>
              <w:bottom w:val="nil"/>
              <w:right w:val="nil"/>
            </w:tcBorders>
            <w:shd w:val="clear" w:color="auto" w:fill="auto"/>
            <w:noWrap/>
            <w:tcMar>
              <w:top w:w="15" w:type="dxa"/>
              <w:left w:w="15" w:type="dxa"/>
              <w:right w:w="15" w:type="dxa"/>
            </w:tcMar>
            <w:vAlign w:val="bottom"/>
          </w:tcPr>
          <w:p w14:paraId="466241DC">
            <w:pPr>
              <w:rPr>
                <w:rFonts w:hint="default" w:ascii="Times New Roman" w:hAnsi="Times New Roman" w:cs="Times New Roman"/>
                <w:color w:val="000000"/>
                <w:sz w:val="20"/>
                <w:szCs w:val="20"/>
              </w:rPr>
            </w:pPr>
          </w:p>
        </w:tc>
        <w:tc>
          <w:tcPr>
            <w:tcW w:w="396" w:type="pct"/>
            <w:tcBorders>
              <w:top w:val="nil"/>
              <w:left w:val="nil"/>
              <w:bottom w:val="nil"/>
              <w:right w:val="nil"/>
            </w:tcBorders>
            <w:shd w:val="clear" w:color="auto" w:fill="auto"/>
            <w:noWrap/>
            <w:tcMar>
              <w:top w:w="15" w:type="dxa"/>
              <w:left w:w="15" w:type="dxa"/>
              <w:right w:w="15" w:type="dxa"/>
            </w:tcMar>
            <w:vAlign w:val="bottom"/>
          </w:tcPr>
          <w:p w14:paraId="3D38852B">
            <w:pPr>
              <w:rPr>
                <w:rFonts w:hint="default" w:ascii="Times New Roman" w:hAnsi="Times New Roman" w:cs="Times New Roman"/>
                <w:color w:val="000000"/>
                <w:sz w:val="20"/>
                <w:szCs w:val="20"/>
              </w:rPr>
            </w:pPr>
          </w:p>
        </w:tc>
        <w:tc>
          <w:tcPr>
            <w:tcW w:w="438" w:type="pct"/>
            <w:tcBorders>
              <w:top w:val="nil"/>
              <w:left w:val="nil"/>
              <w:bottom w:val="nil"/>
              <w:right w:val="nil"/>
            </w:tcBorders>
            <w:shd w:val="clear" w:color="auto" w:fill="auto"/>
            <w:noWrap/>
            <w:tcMar>
              <w:top w:w="15" w:type="dxa"/>
              <w:left w:w="15" w:type="dxa"/>
              <w:right w:w="15" w:type="dxa"/>
            </w:tcMar>
            <w:vAlign w:val="bottom"/>
          </w:tcPr>
          <w:p w14:paraId="139F4730">
            <w:pPr>
              <w:rPr>
                <w:rFonts w:hint="default" w:ascii="Times New Roman" w:hAnsi="Times New Roman" w:cs="Times New Roman"/>
                <w:color w:val="000000"/>
                <w:sz w:val="20"/>
                <w:szCs w:val="20"/>
              </w:rPr>
            </w:pPr>
          </w:p>
        </w:tc>
        <w:tc>
          <w:tcPr>
            <w:tcW w:w="419" w:type="pct"/>
            <w:tcBorders>
              <w:top w:val="nil"/>
              <w:left w:val="nil"/>
              <w:bottom w:val="nil"/>
              <w:right w:val="nil"/>
            </w:tcBorders>
            <w:shd w:val="clear" w:color="auto" w:fill="auto"/>
            <w:noWrap/>
            <w:tcMar>
              <w:top w:w="15" w:type="dxa"/>
              <w:left w:w="15" w:type="dxa"/>
              <w:right w:w="15" w:type="dxa"/>
            </w:tcMar>
            <w:vAlign w:val="bottom"/>
          </w:tcPr>
          <w:p w14:paraId="63F9A4FB">
            <w:pPr>
              <w:rPr>
                <w:rFonts w:hint="default" w:ascii="Times New Roman" w:hAnsi="Times New Roman" w:cs="Times New Roman"/>
                <w:color w:val="000000"/>
                <w:sz w:val="20"/>
                <w:szCs w:val="20"/>
              </w:rPr>
            </w:pPr>
          </w:p>
        </w:tc>
        <w:tc>
          <w:tcPr>
            <w:tcW w:w="462" w:type="pct"/>
            <w:tcBorders>
              <w:top w:val="nil"/>
              <w:left w:val="nil"/>
              <w:bottom w:val="nil"/>
              <w:right w:val="nil"/>
            </w:tcBorders>
            <w:shd w:val="clear" w:color="auto" w:fill="auto"/>
            <w:noWrap/>
            <w:tcMar>
              <w:top w:w="15" w:type="dxa"/>
              <w:left w:w="15" w:type="dxa"/>
              <w:right w:w="15" w:type="dxa"/>
            </w:tcMar>
            <w:vAlign w:val="bottom"/>
          </w:tcPr>
          <w:p w14:paraId="0630FF6E">
            <w:pPr>
              <w:rPr>
                <w:rFonts w:hint="default" w:ascii="Times New Roman" w:hAnsi="Times New Roman" w:cs="Times New Roman"/>
                <w:color w:val="000000"/>
                <w:sz w:val="20"/>
                <w:szCs w:val="20"/>
              </w:rPr>
            </w:pPr>
          </w:p>
        </w:tc>
        <w:tc>
          <w:tcPr>
            <w:tcW w:w="527" w:type="pct"/>
            <w:tcBorders>
              <w:top w:val="nil"/>
              <w:left w:val="nil"/>
              <w:bottom w:val="nil"/>
              <w:right w:val="nil"/>
            </w:tcBorders>
            <w:shd w:val="clear" w:color="auto" w:fill="auto"/>
            <w:noWrap/>
            <w:tcMar>
              <w:top w:w="15" w:type="dxa"/>
              <w:left w:w="15" w:type="dxa"/>
              <w:right w:w="15" w:type="dxa"/>
            </w:tcMar>
            <w:vAlign w:val="bottom"/>
          </w:tcPr>
          <w:p w14:paraId="7AFB5043">
            <w:pPr>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6B253C3A">
        <w:tblPrEx>
          <w:tblCellMar>
            <w:top w:w="0" w:type="dxa"/>
            <w:left w:w="0" w:type="dxa"/>
            <w:bottom w:w="0" w:type="dxa"/>
            <w:right w:w="0" w:type="dxa"/>
          </w:tblCellMar>
        </w:tblPrEx>
        <w:trPr>
          <w:trHeight w:val="431" w:hRule="atLeast"/>
        </w:trPr>
        <w:tc>
          <w:tcPr>
            <w:tcW w:w="1468"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bottom"/>
          </w:tcPr>
          <w:p w14:paraId="1CE20086">
            <w:pPr>
              <w:jc w:val="center"/>
              <w:textAlignment w:val="bottom"/>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4878C">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本年收入合计</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DF3DF">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财政拨款收入</w:t>
            </w: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B76E4">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上级补助收入</w:t>
            </w:r>
          </w:p>
        </w:tc>
        <w:tc>
          <w:tcPr>
            <w:tcW w:w="835"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4089167">
            <w:pPr>
              <w:jc w:val="center"/>
              <w:textAlignment w:val="bottom"/>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事业收入</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48B3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经营收入</w:t>
            </w:r>
          </w:p>
        </w:tc>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4D700">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附属单位上缴收入</w:t>
            </w:r>
          </w:p>
        </w:tc>
        <w:tc>
          <w:tcPr>
            <w:tcW w:w="52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3182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其他收入</w:t>
            </w:r>
          </w:p>
        </w:tc>
      </w:tr>
      <w:tr w14:paraId="6FACCE53">
        <w:tblPrEx>
          <w:tblCellMar>
            <w:top w:w="0" w:type="dxa"/>
            <w:left w:w="0" w:type="dxa"/>
            <w:bottom w:w="0" w:type="dxa"/>
            <w:right w:w="0" w:type="dxa"/>
          </w:tblCellMar>
        </w:tblPrEx>
        <w:trPr>
          <w:trHeight w:val="334" w:hRule="atLeast"/>
        </w:trPr>
        <w:tc>
          <w:tcPr>
            <w:tcW w:w="463" w:type="pct"/>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E63B2">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功能分类科目编码</w:t>
            </w:r>
          </w:p>
        </w:tc>
        <w:tc>
          <w:tcPr>
            <w:tcW w:w="1004" w:type="pct"/>
            <w:vMerge w:val="restart"/>
            <w:tcBorders>
              <w:top w:val="nil"/>
              <w:left w:val="nil"/>
              <w:bottom w:val="single" w:color="000000" w:sz="4" w:space="0"/>
              <w:right w:val="nil"/>
            </w:tcBorders>
            <w:shd w:val="clear" w:color="auto" w:fill="auto"/>
            <w:noWrap/>
            <w:tcMar>
              <w:top w:w="15" w:type="dxa"/>
              <w:left w:w="15" w:type="dxa"/>
              <w:right w:w="15" w:type="dxa"/>
            </w:tcMar>
            <w:vAlign w:val="center"/>
          </w:tcPr>
          <w:p w14:paraId="6D7610CD">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项目（按“项”级功能分类科目）</w:t>
            </w: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FB286">
            <w:pPr>
              <w:jc w:val="center"/>
              <w:rPr>
                <w:rFonts w:hint="default" w:ascii="Times New Roman" w:hAnsi="Times New Roman" w:cs="Times New Roman"/>
                <w:b/>
                <w:color w:val="000000"/>
                <w:sz w:val="20"/>
                <w:szCs w:val="20"/>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804DC">
            <w:pPr>
              <w:jc w:val="center"/>
              <w:rPr>
                <w:rFonts w:hint="default" w:ascii="Times New Roman" w:hAnsi="Times New Roman" w:cs="Times New Roman"/>
                <w:b/>
                <w:color w:val="000000"/>
                <w:sz w:val="20"/>
                <w:szCs w:val="20"/>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30BA03">
            <w:pPr>
              <w:jc w:val="center"/>
              <w:rPr>
                <w:rFonts w:hint="default" w:ascii="Times New Roman" w:hAnsi="Times New Roman" w:cs="Times New Roman"/>
                <w:b/>
                <w:color w:val="000000"/>
                <w:sz w:val="20"/>
                <w:szCs w:val="20"/>
              </w:rPr>
            </w:pPr>
          </w:p>
        </w:tc>
        <w:tc>
          <w:tcPr>
            <w:tcW w:w="3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66C78">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小计</w:t>
            </w:r>
          </w:p>
        </w:tc>
        <w:tc>
          <w:tcPr>
            <w:tcW w:w="43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70803">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其中：教育收费</w:t>
            </w: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F26DA7">
            <w:pPr>
              <w:jc w:val="center"/>
              <w:rPr>
                <w:rFonts w:hint="default" w:ascii="Times New Roman" w:hAnsi="Times New Roman" w:cs="Times New Roman"/>
                <w:b/>
                <w:color w:val="000000"/>
                <w:sz w:val="20"/>
                <w:szCs w:val="20"/>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2FBF7">
            <w:pPr>
              <w:jc w:val="center"/>
              <w:rPr>
                <w:rFonts w:hint="default" w:ascii="Times New Roman" w:hAnsi="Times New Roman" w:cs="Times New Roman"/>
                <w:b/>
                <w:color w:val="000000"/>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62C0A">
            <w:pPr>
              <w:jc w:val="center"/>
              <w:rPr>
                <w:rFonts w:hint="default" w:ascii="Times New Roman" w:hAnsi="Times New Roman" w:cs="Times New Roman"/>
                <w:b/>
                <w:color w:val="000000"/>
                <w:sz w:val="20"/>
                <w:szCs w:val="20"/>
              </w:rPr>
            </w:pPr>
          </w:p>
        </w:tc>
      </w:tr>
      <w:tr w14:paraId="23A40567">
        <w:tblPrEx>
          <w:tblCellMar>
            <w:top w:w="0" w:type="dxa"/>
            <w:left w:w="0" w:type="dxa"/>
            <w:bottom w:w="0" w:type="dxa"/>
            <w:right w:w="0" w:type="dxa"/>
          </w:tblCellMar>
        </w:tblPrEx>
        <w:trPr>
          <w:trHeight w:val="334" w:hRule="atLeast"/>
        </w:trPr>
        <w:tc>
          <w:tcPr>
            <w:tcW w:w="463"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527B0">
            <w:pPr>
              <w:jc w:val="center"/>
              <w:rPr>
                <w:rFonts w:hint="default" w:ascii="Times New Roman" w:hAnsi="Times New Roman" w:cs="Times New Roman"/>
                <w:b/>
                <w:color w:val="000000"/>
                <w:sz w:val="20"/>
                <w:szCs w:val="20"/>
              </w:rPr>
            </w:pPr>
          </w:p>
        </w:tc>
        <w:tc>
          <w:tcPr>
            <w:tcW w:w="1004"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41D6BB43">
            <w:pPr>
              <w:jc w:val="center"/>
              <w:rPr>
                <w:rFonts w:hint="default" w:ascii="Times New Roman" w:hAnsi="Times New Roman" w:cs="Times New Roman"/>
                <w:b/>
                <w:color w:val="000000"/>
                <w:sz w:val="20"/>
                <w:szCs w:val="20"/>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5859">
            <w:pPr>
              <w:jc w:val="center"/>
              <w:rPr>
                <w:rFonts w:hint="default" w:ascii="Times New Roman" w:hAnsi="Times New Roman" w:cs="Times New Roman"/>
                <w:b/>
                <w:color w:val="000000"/>
                <w:sz w:val="20"/>
                <w:szCs w:val="20"/>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34E1B">
            <w:pPr>
              <w:jc w:val="center"/>
              <w:rPr>
                <w:rFonts w:hint="default" w:ascii="Times New Roman" w:hAnsi="Times New Roman" w:cs="Times New Roman"/>
                <w:b/>
                <w:color w:val="000000"/>
                <w:sz w:val="20"/>
                <w:szCs w:val="20"/>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1C47B">
            <w:pPr>
              <w:jc w:val="center"/>
              <w:rPr>
                <w:rFonts w:hint="default" w:ascii="Times New Roman" w:hAnsi="Times New Roman" w:cs="Times New Roman"/>
                <w:b/>
                <w:color w:val="000000"/>
                <w:sz w:val="20"/>
                <w:szCs w:val="20"/>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2ADD0">
            <w:pPr>
              <w:jc w:val="center"/>
              <w:rPr>
                <w:rFonts w:hint="default" w:ascii="Times New Roman" w:hAnsi="Times New Roman" w:cs="Times New Roman"/>
                <w:b/>
                <w:color w:val="000000"/>
                <w:sz w:val="20"/>
                <w:szCs w:val="20"/>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0310C">
            <w:pPr>
              <w:jc w:val="center"/>
              <w:rPr>
                <w:rFonts w:hint="default" w:ascii="Times New Roman" w:hAnsi="Times New Roman" w:cs="Times New Roman"/>
                <w:b/>
                <w:color w:val="000000"/>
                <w:sz w:val="20"/>
                <w:szCs w:val="20"/>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86779">
            <w:pPr>
              <w:jc w:val="center"/>
              <w:rPr>
                <w:rFonts w:hint="default" w:ascii="Times New Roman" w:hAnsi="Times New Roman" w:cs="Times New Roman"/>
                <w:b/>
                <w:color w:val="000000"/>
                <w:sz w:val="20"/>
                <w:szCs w:val="20"/>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71FC6">
            <w:pPr>
              <w:jc w:val="center"/>
              <w:rPr>
                <w:rFonts w:hint="default" w:ascii="Times New Roman" w:hAnsi="Times New Roman" w:cs="Times New Roman"/>
                <w:b/>
                <w:color w:val="000000"/>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914FD">
            <w:pPr>
              <w:jc w:val="center"/>
              <w:rPr>
                <w:rFonts w:hint="default" w:ascii="Times New Roman" w:hAnsi="Times New Roman" w:cs="Times New Roman"/>
                <w:b/>
                <w:color w:val="000000"/>
                <w:sz w:val="20"/>
                <w:szCs w:val="20"/>
              </w:rPr>
            </w:pPr>
          </w:p>
        </w:tc>
      </w:tr>
      <w:tr w14:paraId="70CC16AC">
        <w:trPr>
          <w:trHeight w:val="334" w:hRule="atLeast"/>
        </w:trPr>
        <w:tc>
          <w:tcPr>
            <w:tcW w:w="463"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4AF051">
            <w:pPr>
              <w:jc w:val="center"/>
              <w:rPr>
                <w:rFonts w:hint="default" w:ascii="Times New Roman" w:hAnsi="Times New Roman" w:cs="Times New Roman"/>
                <w:b/>
                <w:color w:val="000000"/>
                <w:sz w:val="20"/>
                <w:szCs w:val="20"/>
              </w:rPr>
            </w:pPr>
          </w:p>
        </w:tc>
        <w:tc>
          <w:tcPr>
            <w:tcW w:w="1004"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6BF90E0E">
            <w:pPr>
              <w:jc w:val="center"/>
              <w:rPr>
                <w:rFonts w:hint="default" w:ascii="Times New Roman" w:hAnsi="Times New Roman" w:cs="Times New Roman"/>
                <w:b/>
                <w:color w:val="000000"/>
                <w:sz w:val="20"/>
                <w:szCs w:val="20"/>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5F13F">
            <w:pPr>
              <w:jc w:val="center"/>
              <w:rPr>
                <w:rFonts w:hint="default" w:ascii="Times New Roman" w:hAnsi="Times New Roman" w:cs="Times New Roman"/>
                <w:b/>
                <w:color w:val="000000"/>
                <w:sz w:val="20"/>
                <w:szCs w:val="20"/>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D6E63">
            <w:pPr>
              <w:jc w:val="center"/>
              <w:rPr>
                <w:rFonts w:hint="default" w:ascii="Times New Roman" w:hAnsi="Times New Roman" w:cs="Times New Roman"/>
                <w:b/>
                <w:color w:val="000000"/>
                <w:sz w:val="20"/>
                <w:szCs w:val="20"/>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53FBC">
            <w:pPr>
              <w:jc w:val="center"/>
              <w:rPr>
                <w:rFonts w:hint="default" w:ascii="Times New Roman" w:hAnsi="Times New Roman" w:cs="Times New Roman"/>
                <w:b/>
                <w:color w:val="000000"/>
                <w:sz w:val="20"/>
                <w:szCs w:val="20"/>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73DBE">
            <w:pPr>
              <w:jc w:val="center"/>
              <w:rPr>
                <w:rFonts w:hint="default" w:ascii="Times New Roman" w:hAnsi="Times New Roman" w:cs="Times New Roman"/>
                <w:b/>
                <w:color w:val="000000"/>
                <w:sz w:val="20"/>
                <w:szCs w:val="20"/>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F7EAE">
            <w:pPr>
              <w:jc w:val="center"/>
              <w:rPr>
                <w:rFonts w:hint="default" w:ascii="Times New Roman" w:hAnsi="Times New Roman" w:cs="Times New Roman"/>
                <w:b/>
                <w:color w:val="000000"/>
                <w:sz w:val="20"/>
                <w:szCs w:val="20"/>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D522C">
            <w:pPr>
              <w:jc w:val="center"/>
              <w:rPr>
                <w:rFonts w:hint="default" w:ascii="Times New Roman" w:hAnsi="Times New Roman" w:cs="Times New Roman"/>
                <w:b/>
                <w:color w:val="000000"/>
                <w:sz w:val="20"/>
                <w:szCs w:val="20"/>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875CAB">
            <w:pPr>
              <w:jc w:val="center"/>
              <w:rPr>
                <w:rFonts w:hint="default" w:ascii="Times New Roman" w:hAnsi="Times New Roman" w:cs="Times New Roman"/>
                <w:b/>
                <w:color w:val="000000"/>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05426">
            <w:pPr>
              <w:jc w:val="center"/>
              <w:rPr>
                <w:rFonts w:hint="default" w:ascii="Times New Roman" w:hAnsi="Times New Roman" w:cs="Times New Roman"/>
                <w:b/>
                <w:color w:val="000000"/>
                <w:sz w:val="20"/>
                <w:szCs w:val="20"/>
              </w:rPr>
            </w:pPr>
          </w:p>
        </w:tc>
      </w:tr>
      <w:tr w14:paraId="25BB46A7">
        <w:tblPrEx>
          <w:tblCellMar>
            <w:top w:w="0" w:type="dxa"/>
            <w:left w:w="0" w:type="dxa"/>
            <w:bottom w:w="0" w:type="dxa"/>
            <w:right w:w="0" w:type="dxa"/>
          </w:tblCellMar>
        </w:tblPrEx>
        <w:trPr>
          <w:trHeight w:val="334" w:hRule="atLeast"/>
        </w:trPr>
        <w:tc>
          <w:tcPr>
            <w:tcW w:w="463"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5D6447">
            <w:pPr>
              <w:jc w:val="center"/>
              <w:rPr>
                <w:rFonts w:hint="default" w:ascii="Times New Roman" w:hAnsi="Times New Roman" w:cs="Times New Roman"/>
                <w:b/>
                <w:color w:val="000000"/>
                <w:sz w:val="20"/>
                <w:szCs w:val="20"/>
              </w:rPr>
            </w:pPr>
          </w:p>
        </w:tc>
        <w:tc>
          <w:tcPr>
            <w:tcW w:w="1004"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68CD3CCF">
            <w:pPr>
              <w:jc w:val="center"/>
              <w:rPr>
                <w:rFonts w:hint="default" w:ascii="Times New Roman" w:hAnsi="Times New Roman" w:cs="Times New Roman"/>
                <w:b/>
                <w:color w:val="000000"/>
                <w:sz w:val="20"/>
                <w:szCs w:val="20"/>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84DD7">
            <w:pPr>
              <w:jc w:val="center"/>
              <w:rPr>
                <w:rFonts w:hint="default" w:ascii="Times New Roman" w:hAnsi="Times New Roman" w:cs="Times New Roman"/>
                <w:b/>
                <w:color w:val="000000"/>
                <w:sz w:val="20"/>
                <w:szCs w:val="20"/>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AA54C">
            <w:pPr>
              <w:jc w:val="center"/>
              <w:rPr>
                <w:rFonts w:hint="default" w:ascii="Times New Roman" w:hAnsi="Times New Roman" w:cs="Times New Roman"/>
                <w:b/>
                <w:color w:val="000000"/>
                <w:sz w:val="20"/>
                <w:szCs w:val="20"/>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6CE69">
            <w:pPr>
              <w:jc w:val="center"/>
              <w:rPr>
                <w:rFonts w:hint="default" w:ascii="Times New Roman" w:hAnsi="Times New Roman" w:cs="Times New Roman"/>
                <w:b/>
                <w:color w:val="000000"/>
                <w:sz w:val="20"/>
                <w:szCs w:val="20"/>
              </w:rPr>
            </w:pPr>
          </w:p>
        </w:tc>
        <w:tc>
          <w:tcPr>
            <w:tcW w:w="3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66ED61">
            <w:pPr>
              <w:jc w:val="center"/>
              <w:rPr>
                <w:rFonts w:hint="default" w:ascii="Times New Roman" w:hAnsi="Times New Roman" w:cs="Times New Roman"/>
                <w:b/>
                <w:color w:val="000000"/>
                <w:sz w:val="20"/>
                <w:szCs w:val="20"/>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8FC80">
            <w:pPr>
              <w:jc w:val="center"/>
              <w:rPr>
                <w:rFonts w:hint="default" w:ascii="Times New Roman" w:hAnsi="Times New Roman" w:cs="Times New Roman"/>
                <w:b/>
                <w:color w:val="000000"/>
                <w:sz w:val="20"/>
                <w:szCs w:val="20"/>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730EC7">
            <w:pPr>
              <w:jc w:val="center"/>
              <w:rPr>
                <w:rFonts w:hint="default" w:ascii="Times New Roman" w:hAnsi="Times New Roman" w:cs="Times New Roman"/>
                <w:b/>
                <w:color w:val="000000"/>
                <w:sz w:val="20"/>
                <w:szCs w:val="20"/>
              </w:rPr>
            </w:pPr>
          </w:p>
        </w:tc>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343A0">
            <w:pPr>
              <w:jc w:val="center"/>
              <w:rPr>
                <w:rFonts w:hint="default" w:ascii="Times New Roman" w:hAnsi="Times New Roman" w:cs="Times New Roman"/>
                <w:b/>
                <w:color w:val="000000"/>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3D3A">
            <w:pPr>
              <w:jc w:val="center"/>
              <w:rPr>
                <w:rFonts w:hint="default" w:ascii="Times New Roman" w:hAnsi="Times New Roman" w:cs="Times New Roman"/>
                <w:b/>
                <w:color w:val="000000"/>
                <w:sz w:val="20"/>
                <w:szCs w:val="20"/>
              </w:rPr>
            </w:pPr>
          </w:p>
        </w:tc>
      </w:tr>
      <w:tr w14:paraId="4E2E05DB">
        <w:tblPrEx>
          <w:tblCellMar>
            <w:top w:w="0" w:type="dxa"/>
            <w:left w:w="0" w:type="dxa"/>
            <w:bottom w:w="0" w:type="dxa"/>
            <w:right w:w="0" w:type="dxa"/>
          </w:tblCellMar>
        </w:tblPrEx>
        <w:trPr>
          <w:trHeight w:val="338" w:hRule="atLeast"/>
        </w:trPr>
        <w:tc>
          <w:tcPr>
            <w:tcW w:w="1468"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57D3E4">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4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D9C6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4,708.29</w:t>
            </w:r>
            <w:r>
              <w:rPr>
                <w:rFonts w:hint="default" w:ascii="Times New Roman" w:hAnsi="Times New Roman" w:cs="Times New Roman"/>
                <w:b/>
                <w:color w:val="000000"/>
                <w:sz w:val="20"/>
                <w:u w:color="auto"/>
              </w:rPr>
              <w:t xml:space="preserve"> </w:t>
            </w:r>
          </w:p>
        </w:tc>
        <w:tc>
          <w:tcPr>
            <w:tcW w:w="4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0C7B7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4,708.29</w:t>
            </w:r>
            <w:r>
              <w:rPr>
                <w:rFonts w:hint="default" w:ascii="Times New Roman" w:hAnsi="Times New Roman" w:cs="Times New Roman"/>
                <w:b/>
                <w:color w:val="000000"/>
                <w:sz w:val="20"/>
                <w:u w:color="auto"/>
              </w:rPr>
              <w:t xml:space="preserve"> </w:t>
            </w:r>
          </w:p>
        </w:tc>
        <w:tc>
          <w:tcPr>
            <w:tcW w:w="39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18452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F1BFB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AC1C5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84E58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C204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889A9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r>
      <w:tr w14:paraId="71511127">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5B305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9B50C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一般公共服务支出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4C72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1,731.45</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6F80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1,731.45</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3ECF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00BBA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3DB32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A8A38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7C067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2B9ED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C4FFB14">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285E0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CBC2C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人大事务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26340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35.79</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CB14E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35.79</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AA733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8A095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D4EFB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F1032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ED486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00459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6F2DFED">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27768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2010101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15D08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行政运行</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B3BB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35.79</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A83B6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35.79</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39651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5976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AC938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7EBDC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EE2A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03147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E7E4480">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11FD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20103</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F5B3D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政府办公厅（室）及相关机构事务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927B1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1,285.63</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1F8EB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1,285.63</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3E0FE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777A2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7323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F445E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02CB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CB1E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75E1D92">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FE91E">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2010301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AEEA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行政运行</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C35AB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898.01</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5C7DD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898.01</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8AF1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3B7B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FAC86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3EB76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9B481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35393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EA7F866">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FAF392">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2010399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5CE78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其他政府办公厅（室）及相关机构事务支出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F7431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387.62</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BD45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387.62</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CA008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9B0A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50BA9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62EDB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93EE6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ACE1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A69ADF9">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7D51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20113</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ECBE1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商贸事务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B3241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249.47</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1427B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249.47</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DC8B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4C8C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A953E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89EC7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936F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0E1E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8119EA0">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8DABD6">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2011308</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917AB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招商引资</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BA26B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249.47</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9A78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249.47</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F632D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5B9DE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7185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EDBA0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7006D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0776F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4657AE1">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392D2">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20131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15DDB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党委办公厅（室）及相关机构事务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42173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159.22</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114FD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159.22</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3590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FB3B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DA64A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017FF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61F9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3F603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2B2F19E">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D1DC0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2013101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A248B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行政运行</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5A669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159.22</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19AE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159.22</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F184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411EC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0E076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F895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C343F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404AE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3F385826">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AC761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20132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C6089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组织事务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8B990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1.35</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D26ED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1.35</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EB5C8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4A19A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610E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9F4C0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8FCE6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FA7A4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2D54C225">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5B65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2013202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05A5F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一般行政管理事务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DD41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1.35</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2D68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1.35</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FF37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79FC1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4F2B2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861D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7DF0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69C86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44FA3378">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A609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204</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CEBD6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公共安全支出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B9E02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6.44</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CDF88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6.44</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1AF6B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6E77E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D497E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48909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C58D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5495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495B17C">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241D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20402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166E4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公安</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7A61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9513C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E80CF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96DE7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434CF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5A3B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48EA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9C2AC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17A0D78E">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81E9C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2040299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5757A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其他公安支出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0BAC7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45B8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ED879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E756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420C6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3291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776F2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D7E03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3DE199D">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158DC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20406</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39D1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司法</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2E1C0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1.40</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2B97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9ECA8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ECB9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D52B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FE56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AA9A7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53804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D1AA8D6">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8DBB2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2040612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52A06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法治建设</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882C6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1.40</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12046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27989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94E6A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5B75C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150F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85C7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034F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3CEF0F5">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B6D8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207</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7B7DD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文化旅游体育与传媒支出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89FB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099B3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4119F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B38C1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D13A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1F3FE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266E7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DCEE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E26A34F">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36FB4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20701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3B05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文化和旅游</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96071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0121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C92D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17A9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1DC1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FD33F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3D93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3F65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19BF4636">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9BA7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2070109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6E841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群众文化</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F83A8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41.97</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468F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41.97</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BF146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0537A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AECC3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EE4B5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72A5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25DD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1EC9B887">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0C62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B5DC6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社会保障和就业支出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880BC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724.52</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E8B8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724.52</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39B4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51B4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DD4E6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6CC28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EB539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52B9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7846309">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A0EED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DE679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人力资源和社会保障管理事务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6E516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77.49</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4DB1A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77.49</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2977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D754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048E4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7E795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802AC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92B7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2CB9690B">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6786C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2080104</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0AB20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综合业务管理</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8BE66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77.49</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A999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77.49</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BEE6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4AE4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D680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01A56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D8CC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910E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A9AA29E">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0531C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2152D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民政管理事务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1A1A2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6.48</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4A32B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6.48</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2FC1C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BC9CB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F954F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2BF0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4A5CF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C9867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2A3EB4D">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43507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2080299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7C579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其他民政管理事务支出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5AE6D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6.48</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8988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6.48</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2ACF3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DD515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03B3B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0C7BA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8F0E5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D4680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4A45CDF9">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CAACA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20805</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AC23C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行政事业单位养老支出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EB330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541.51</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BD63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541.51</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437DF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688AD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CC6CA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C3314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1B86A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FA46B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03A8242">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B6A4A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2080505</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5EEC2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机关事业单位基本养老保险缴费支出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F2D12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221.04</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C4405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221.04</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A1CE4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0203F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CC76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AA5F8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911C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3814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5C82E9D7">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786A2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2080506</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412E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机关事业单位职业年金缴费支出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FCC8D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117.54</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CC34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117.54</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07FE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CF0CE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E5127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157E2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A9DB6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D2C4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F45027A">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8AF2C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2080599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E4605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其他行政事业单位养老支出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F5D5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202.93</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FC143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202.93</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3063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6229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F6B71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C5494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0C67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7825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43E5B1AF">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DBE1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20807</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E760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就业补助</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FA321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B0B70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6424F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D2129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DECB8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092B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5EE9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82980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2AFD30AA">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AE870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2080799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897C52">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其他就业补助支出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A398A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9DD5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76F28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169D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C83A9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EDCB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A0526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4BC9E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E0DC75E">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8107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20808</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D88DC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抚恤</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F18D4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9.20</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8F436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9.20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66998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B233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479ED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409BD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56DC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73151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09E1D12">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D1ED6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2080899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75896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其他优抚支出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6B640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9.20</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3251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9.20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FED18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C788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01DF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F0D3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BAA6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64499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1497237">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05A47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20811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D6D5B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残疾人事业</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93926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5.35</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16D0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5.35</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10549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8C3F2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1DD91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AC7F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F4C3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DDA3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22C66AFA">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C237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2081199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E1E00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其他残疾人事业支出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C0970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5.35</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12E95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5.35</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B556B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9C4A0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51BA3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A8C09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9321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BE74F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D650FCE">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34A7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20820</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D0B3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临时救助</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89645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13.67</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D2398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13.67</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86FE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FFBDD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72685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672C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B771C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7E2B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FB15D6A">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223D0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2082001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E8C8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临时救助支出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2BDCD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13.67</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9D241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13.67</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7770D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F8E4B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7CCF0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9415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0AE1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2F0B9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EF4EF69">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C4FBE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20825</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A280A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其他生活救助</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17A3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5.90</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BF844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5.90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3D12F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BDAC8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FBCC9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218BD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4B9FA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81792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4DBEE13">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F7E5B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2082502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2FE76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其他农村生活救助</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AC4D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5.90</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3CE3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487D9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A2B7F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3DBB4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7CF95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E8A0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5995C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399DE0E4">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D0C5D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20828</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CE3A3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退役军人管理事务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3733C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59.89</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DB188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59.89</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9566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6817D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BC88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59768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E5B3F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D02BE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10933719">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6DA4D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2082850</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660B1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事业运行</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8CE2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59.89</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343D4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59.89</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3AE8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3523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2CCED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12E1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1F49E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BA08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5D9873A0">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1505D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D68FC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卫生健康支出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0BCF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F2E13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D30C3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B795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D5913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2EE1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816A2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2A4BD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88D9DF7">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DBC00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21011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FDBAD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行政事业单位医疗</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0B0E5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EF88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06C5D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0ECD0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73A44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D5B2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82A39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81A4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C261EFD">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8F564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44CFC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行政单位医疗</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D620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67.07</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6B3C2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67.07</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A4348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B0D4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5D966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65BF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0D715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7FAA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7C4092E">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BFE32">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563CC2">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事业单位医疗</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E966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46.14</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1A98F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46.14</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6F2D5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BD37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1E72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BD02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5C49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16DA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1464C856">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8DBAF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2101103</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681116">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公务员医疗补助</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55E8F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8.08</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E045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8.08</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666E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D72BA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29AB8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BE00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8F66E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4D1B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5E637519">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43406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2101199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877B7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其他行政事业单位医疗支出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C4E17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24.56</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57DE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24.56</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806C2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47F2B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5229E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EA777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7083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98DC0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0A82DB1">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0297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2B4B4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城乡社区支出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5EB6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76CD9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239E4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C1D3F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C990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D06AF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CBEDE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41A5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2D9DD9E">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4C7C6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21202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01898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城乡社区规划与管理</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E498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C2B9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A11A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EC0E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FDDE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D9ACC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429BD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40015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B5D3436">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52768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2120201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9EE00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城乡社区规划与管理</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91C3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148.15</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F857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148.15</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7CA0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44DC4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D5B7C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FBEC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2A8E0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8BAA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F925749">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5A9F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213</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A95C0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农林水支出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1812D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1,687.63</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95004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1,687.63</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9351D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DEE4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5FA05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A8530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FCE8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9B926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4F88486">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5CDD5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21301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F9A3E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农业农村</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1F674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799.27</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09E8D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799.27</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CDB6B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D67B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9C886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E382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480AB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60BE4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A1CCF6D">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909E1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2130104</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D4D9E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事业运行</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99B9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666.13</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24AE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666.13</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21DD1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0EDF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66FF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0C687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292D2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A92CE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5013DA73">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620614">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2130110</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F07E9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执法监管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A45C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133.14</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A106F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133.14</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02360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D22DA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CE972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97F50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6405E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7926D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22BF53D4">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594CF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21307</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96559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农村综合改革</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EE4B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888.37</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A7140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888.37</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E099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B96C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1C76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8E27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DF1DC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0708B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5AF2A35">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15E9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2130701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40004">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对村级公益事业建设的补助</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74BFC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145.37</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8429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145.37</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2C480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125BA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DF09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2340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C4132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C1CA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1A6F3AF7">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37AF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2130705</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D05CA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对村民委员会和村党支部的补助</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B345D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743.00</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AEA3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743.00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1888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80D4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9C905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FA451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D0CBD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5B8C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83ACD62">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46E7A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E8F9B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住房保障支出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A69F8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2E44D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E79FB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6902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9CD5D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A605A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60E90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A3C5B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FF95193">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F48AC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22102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7AC49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住房改革支出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B01F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49EF4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FEC1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3596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8D35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8AD43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CBF4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AEF1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E6E3129">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35D51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2210201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99C04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住房公积金</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462E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150.28</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E3F0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150.28</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B72D5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A662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EE44E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0461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9835D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3FFB2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CA5E625">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0F890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224</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E0EBE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灾害防治及应急管理支出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BF04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8FE9B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0B692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BE815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62388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491B6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E2A5B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84BA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148C349">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EB7E9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22402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400E5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消防救援事务</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06B4C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75761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A439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DC6D6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A387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79208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5DA5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AC6D0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DD23029">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C6D0B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2240299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CF061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其他消防救援事务支出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072F2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46.27</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1C7B6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46.27</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75B35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EA22A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CD8B1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3D7B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C51FC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80DE2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5401312D">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DCCE5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FFEB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其他支出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2B8ED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36560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A259B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B63F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521CF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C43B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D0532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A9F20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9AF4CF4">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B00B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22960</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E8B57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彩票公益金安排的支出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C156C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9AAC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858A6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2C156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720C9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78DAA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B5395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39D7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895E5DC">
        <w:tblPrEx>
          <w:tblCellMar>
            <w:top w:w="0" w:type="dxa"/>
            <w:left w:w="0" w:type="dxa"/>
            <w:bottom w:w="0" w:type="dxa"/>
            <w:right w:w="0" w:type="dxa"/>
          </w:tblCellMar>
        </w:tblPrEx>
        <w:trPr>
          <w:trHeight w:val="348" w:hRule="atLeast"/>
        </w:trPr>
        <w:tc>
          <w:tcPr>
            <w:tcW w:w="46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459AB">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2296002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0890A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用于社会福利的彩票公益金支出</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F1CC7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25.71</w:t>
            </w:r>
            <w:r>
              <w:rPr>
                <w:rFonts w:hint="default" w:ascii="Times New Roman" w:hAnsi="Times New Roman" w:cs="Times New Roman"/>
                <w:color w:val="000000"/>
                <w:sz w:val="20"/>
                <w:u w:color="auto"/>
              </w:rPr>
              <w:t xml:space="preserve"> </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4506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25.71</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542D5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3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D4F47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63D3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7305B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B192A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C0FC9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bl>
    <w:p w14:paraId="51415B91">
      <w:pPr>
        <w:ind w:left="600" w:hanging="600" w:hangingChars="300"/>
        <w:rPr>
          <w:rFonts w:hint="default" w:ascii="Times New Roman" w:hAnsi="Times New Roman" w:cs="Times New Roman"/>
          <w:sz w:val="20"/>
          <w:szCs w:val="20"/>
        </w:rPr>
      </w:pPr>
      <w:r>
        <w:rPr>
          <w:rFonts w:hint="default" w:ascii="Times New Roman" w:hAnsi="Times New Roman" w:cs="Times New Roman"/>
          <w:sz w:val="20"/>
          <w:szCs w:val="20"/>
        </w:rPr>
        <w:t>备注：1.本表反映部门本年度取得的各项收入情况。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2.本套报表金额单位转换时可能存在尾数误差。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p>
    <w:p w14:paraId="2274C349">
      <w:pPr>
        <w:rPr>
          <w:rFonts w:hint="default" w:ascii="Times New Roman" w:hAnsi="Times New Roman" w:cs="Times New Roman"/>
          <w:sz w:val="20"/>
          <w:szCs w:val="20"/>
        </w:rPr>
      </w:pPr>
      <w:r>
        <w:rPr>
          <w:rFonts w:hint="default" w:ascii="Times New Roman" w:hAnsi="Times New Roman" w:cs="Times New Roman"/>
          <w:sz w:val="20"/>
          <w:szCs w:val="20"/>
        </w:rPr>
        <w:br w:type="page"/>
      </w:r>
    </w:p>
    <w:tbl>
      <w:tblPr>
        <w:tblStyle w:val="7"/>
        <w:tblW w:w="5000" w:type="pct"/>
        <w:tblInd w:w="0" w:type="dxa"/>
        <w:tblLayout w:type="fixed"/>
        <w:tblCellMar>
          <w:top w:w="0" w:type="dxa"/>
          <w:left w:w="0" w:type="dxa"/>
          <w:bottom w:w="0" w:type="dxa"/>
          <w:right w:w="0" w:type="dxa"/>
        </w:tblCellMar>
      </w:tblPr>
      <w:tblGrid>
        <w:gridCol w:w="1483"/>
        <w:gridCol w:w="3552"/>
        <w:gridCol w:w="1667"/>
        <w:gridCol w:w="1716"/>
        <w:gridCol w:w="1649"/>
        <w:gridCol w:w="1581"/>
        <w:gridCol w:w="1716"/>
        <w:gridCol w:w="1958"/>
      </w:tblGrid>
      <w:tr w14:paraId="0214AAF2">
        <w:tblPrEx>
          <w:tblCellMar>
            <w:top w:w="0" w:type="dxa"/>
            <w:left w:w="0" w:type="dxa"/>
            <w:bottom w:w="0" w:type="dxa"/>
            <w:right w:w="0" w:type="dxa"/>
          </w:tblCellMar>
        </w:tblPrEx>
        <w:trPr>
          <w:trHeight w:val="654" w:hRule="atLeast"/>
        </w:trPr>
        <w:tc>
          <w:tcPr>
            <w:tcW w:w="5000" w:type="pct"/>
            <w:gridSpan w:val="8"/>
            <w:tcBorders>
              <w:top w:val="nil"/>
              <w:left w:val="nil"/>
              <w:bottom w:val="nil"/>
              <w:right w:val="nil"/>
            </w:tcBorders>
            <w:shd w:val="clear" w:color="auto" w:fill="auto"/>
            <w:noWrap/>
            <w:tcMar>
              <w:top w:w="15" w:type="dxa"/>
              <w:left w:w="15" w:type="dxa"/>
              <w:right w:w="15" w:type="dxa"/>
            </w:tcMar>
            <w:vAlign w:val="bottom"/>
          </w:tcPr>
          <w:p w14:paraId="4F7F098C">
            <w:pPr>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支出决算表</w:t>
            </w:r>
          </w:p>
        </w:tc>
      </w:tr>
      <w:tr w14:paraId="1B43DD43">
        <w:tblPrEx>
          <w:tblCellMar>
            <w:top w:w="0" w:type="dxa"/>
            <w:left w:w="0" w:type="dxa"/>
            <w:bottom w:w="0" w:type="dxa"/>
            <w:right w:w="0" w:type="dxa"/>
          </w:tblCellMar>
        </w:tblPrEx>
        <w:trPr>
          <w:trHeight w:val="342" w:hRule="atLeast"/>
        </w:trPr>
        <w:tc>
          <w:tcPr>
            <w:tcW w:w="2187" w:type="pct"/>
            <w:gridSpan w:val="3"/>
            <w:vMerge w:val="restart"/>
            <w:tcBorders>
              <w:top w:val="nil"/>
              <w:left w:val="nil"/>
              <w:right w:val="nil"/>
            </w:tcBorders>
            <w:shd w:val="clear" w:color="auto" w:fill="auto"/>
            <w:noWrap/>
            <w:tcMar>
              <w:top w:w="15" w:type="dxa"/>
              <w:left w:w="15" w:type="dxa"/>
              <w:right w:w="15" w:type="dxa"/>
            </w:tcMar>
            <w:vAlign w:val="bottom"/>
          </w:tcPr>
          <w:p w14:paraId="19265F62">
            <w:pPr>
              <w:rPr>
                <w:rFonts w:hint="default" w:ascii="Times New Roman" w:hAnsi="Times New Roman" w:cs="Times New Roman"/>
                <w:color w:val="000000"/>
                <w:sz w:val="20"/>
                <w:szCs w:val="20"/>
              </w:rPr>
            </w:pPr>
            <w:r>
              <w:rPr>
                <w:rFonts w:hint="default" w:ascii="Times New Roman" w:hAnsi="Times New Roman" w:cs="Times New Roman"/>
                <w:sz w:val="20"/>
                <w:szCs w:val="20"/>
              </w:rPr>
              <w:t>部门</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 xml:space="preserve">潼南区塘坝镇 </w:t>
            </w:r>
          </w:p>
        </w:tc>
        <w:tc>
          <w:tcPr>
            <w:tcW w:w="560" w:type="pct"/>
            <w:tcBorders>
              <w:top w:val="nil"/>
              <w:left w:val="nil"/>
              <w:bottom w:val="nil"/>
              <w:right w:val="nil"/>
            </w:tcBorders>
            <w:shd w:val="clear" w:color="auto" w:fill="auto"/>
            <w:noWrap/>
            <w:tcMar>
              <w:top w:w="15" w:type="dxa"/>
              <w:left w:w="15" w:type="dxa"/>
              <w:right w:w="15" w:type="dxa"/>
            </w:tcMar>
            <w:vAlign w:val="bottom"/>
          </w:tcPr>
          <w:p w14:paraId="6076C9EA">
            <w:pPr>
              <w:rPr>
                <w:rFonts w:hint="default" w:ascii="Times New Roman" w:hAnsi="Times New Roman" w:cs="Times New Roman"/>
                <w:color w:val="000000"/>
                <w:sz w:val="20"/>
                <w:szCs w:val="20"/>
              </w:rPr>
            </w:pPr>
          </w:p>
        </w:tc>
        <w:tc>
          <w:tcPr>
            <w:tcW w:w="538" w:type="pct"/>
            <w:tcBorders>
              <w:top w:val="nil"/>
              <w:left w:val="nil"/>
              <w:bottom w:val="nil"/>
              <w:right w:val="nil"/>
            </w:tcBorders>
            <w:shd w:val="clear" w:color="auto" w:fill="auto"/>
            <w:noWrap/>
            <w:tcMar>
              <w:top w:w="15" w:type="dxa"/>
              <w:left w:w="15" w:type="dxa"/>
              <w:right w:w="15" w:type="dxa"/>
            </w:tcMar>
            <w:vAlign w:val="bottom"/>
          </w:tcPr>
          <w:p w14:paraId="22FA3BDD">
            <w:pPr>
              <w:rPr>
                <w:rFonts w:hint="default" w:ascii="Times New Roman" w:hAnsi="Times New Roman" w:cs="Times New Roman"/>
                <w:color w:val="000000"/>
                <w:sz w:val="20"/>
                <w:szCs w:val="20"/>
              </w:rPr>
            </w:pPr>
          </w:p>
        </w:tc>
        <w:tc>
          <w:tcPr>
            <w:tcW w:w="516" w:type="pct"/>
            <w:tcBorders>
              <w:top w:val="nil"/>
              <w:left w:val="nil"/>
              <w:bottom w:val="nil"/>
              <w:right w:val="nil"/>
            </w:tcBorders>
            <w:shd w:val="clear" w:color="auto" w:fill="auto"/>
            <w:noWrap/>
            <w:tcMar>
              <w:top w:w="15" w:type="dxa"/>
              <w:left w:w="15" w:type="dxa"/>
              <w:right w:w="15" w:type="dxa"/>
            </w:tcMar>
            <w:vAlign w:val="bottom"/>
          </w:tcPr>
          <w:p w14:paraId="2124EBB0">
            <w:pPr>
              <w:rPr>
                <w:rFonts w:hint="default" w:ascii="Times New Roman" w:hAnsi="Times New Roman" w:cs="Times New Roman"/>
                <w:color w:val="000000"/>
                <w:sz w:val="20"/>
                <w:szCs w:val="20"/>
              </w:rPr>
            </w:pPr>
          </w:p>
        </w:tc>
        <w:tc>
          <w:tcPr>
            <w:tcW w:w="560" w:type="pct"/>
            <w:tcBorders>
              <w:top w:val="nil"/>
              <w:left w:val="nil"/>
              <w:bottom w:val="nil"/>
              <w:right w:val="nil"/>
            </w:tcBorders>
            <w:shd w:val="clear" w:color="auto" w:fill="auto"/>
            <w:noWrap/>
            <w:tcMar>
              <w:top w:w="15" w:type="dxa"/>
              <w:left w:w="15" w:type="dxa"/>
              <w:right w:w="15" w:type="dxa"/>
            </w:tcMar>
            <w:vAlign w:val="bottom"/>
          </w:tcPr>
          <w:p w14:paraId="15149E85">
            <w:pPr>
              <w:rPr>
                <w:rFonts w:hint="default" w:ascii="Times New Roman" w:hAnsi="Times New Roman" w:cs="Times New Roman"/>
                <w:color w:val="000000"/>
                <w:sz w:val="20"/>
                <w:szCs w:val="20"/>
              </w:rPr>
            </w:pPr>
          </w:p>
        </w:tc>
        <w:tc>
          <w:tcPr>
            <w:tcW w:w="636" w:type="pct"/>
            <w:tcBorders>
              <w:top w:val="nil"/>
              <w:left w:val="nil"/>
              <w:bottom w:val="nil"/>
              <w:right w:val="nil"/>
            </w:tcBorders>
            <w:shd w:val="clear" w:color="auto" w:fill="auto"/>
            <w:noWrap/>
            <w:tcMar>
              <w:top w:w="15" w:type="dxa"/>
              <w:left w:w="15" w:type="dxa"/>
              <w:right w:w="15" w:type="dxa"/>
            </w:tcMar>
            <w:vAlign w:val="bottom"/>
          </w:tcPr>
          <w:p w14:paraId="5A3530A4">
            <w:pPr>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公开03表</w:t>
            </w:r>
          </w:p>
        </w:tc>
      </w:tr>
      <w:tr w14:paraId="5503DD4D">
        <w:tblPrEx>
          <w:tblCellMar>
            <w:top w:w="0" w:type="dxa"/>
            <w:left w:w="0" w:type="dxa"/>
            <w:bottom w:w="0" w:type="dxa"/>
            <w:right w:w="0" w:type="dxa"/>
          </w:tblCellMar>
        </w:tblPrEx>
        <w:trPr>
          <w:trHeight w:val="342" w:hRule="atLeast"/>
        </w:trPr>
        <w:tc>
          <w:tcPr>
            <w:tcW w:w="2187" w:type="pct"/>
            <w:gridSpan w:val="3"/>
            <w:vMerge w:val="continue"/>
            <w:tcBorders>
              <w:left w:val="nil"/>
              <w:bottom w:val="nil"/>
              <w:right w:val="nil"/>
            </w:tcBorders>
            <w:shd w:val="clear" w:color="auto" w:fill="auto"/>
            <w:noWrap/>
            <w:tcMar>
              <w:top w:w="15" w:type="dxa"/>
              <w:left w:w="15" w:type="dxa"/>
              <w:right w:w="15" w:type="dxa"/>
            </w:tcMar>
            <w:vAlign w:val="bottom"/>
          </w:tcPr>
          <w:p w14:paraId="4ED7C56E">
            <w:pPr>
              <w:rPr>
                <w:rFonts w:hint="default" w:ascii="Times New Roman" w:hAnsi="Times New Roman" w:cs="Times New Roman"/>
                <w:color w:val="000000"/>
                <w:sz w:val="20"/>
                <w:szCs w:val="20"/>
              </w:rPr>
            </w:pPr>
          </w:p>
        </w:tc>
        <w:tc>
          <w:tcPr>
            <w:tcW w:w="560" w:type="pct"/>
            <w:tcBorders>
              <w:top w:val="nil"/>
              <w:left w:val="nil"/>
              <w:bottom w:val="nil"/>
              <w:right w:val="nil"/>
            </w:tcBorders>
            <w:shd w:val="clear" w:color="auto" w:fill="auto"/>
            <w:noWrap/>
            <w:tcMar>
              <w:top w:w="15" w:type="dxa"/>
              <w:left w:w="15" w:type="dxa"/>
              <w:right w:w="15" w:type="dxa"/>
            </w:tcMar>
            <w:vAlign w:val="bottom"/>
          </w:tcPr>
          <w:p w14:paraId="44276F2C">
            <w:pPr>
              <w:rPr>
                <w:rFonts w:hint="default" w:ascii="Times New Roman" w:hAnsi="Times New Roman" w:cs="Times New Roman"/>
                <w:color w:val="000000"/>
                <w:sz w:val="20"/>
                <w:szCs w:val="20"/>
              </w:rPr>
            </w:pPr>
          </w:p>
        </w:tc>
        <w:tc>
          <w:tcPr>
            <w:tcW w:w="538" w:type="pct"/>
            <w:tcBorders>
              <w:top w:val="nil"/>
              <w:left w:val="nil"/>
              <w:bottom w:val="nil"/>
              <w:right w:val="nil"/>
            </w:tcBorders>
            <w:shd w:val="clear" w:color="auto" w:fill="auto"/>
            <w:noWrap/>
            <w:tcMar>
              <w:top w:w="15" w:type="dxa"/>
              <w:left w:w="15" w:type="dxa"/>
              <w:right w:w="15" w:type="dxa"/>
            </w:tcMar>
            <w:vAlign w:val="bottom"/>
          </w:tcPr>
          <w:p w14:paraId="01B10F32">
            <w:pPr>
              <w:rPr>
                <w:rFonts w:hint="default" w:ascii="Times New Roman" w:hAnsi="Times New Roman" w:cs="Times New Roman"/>
                <w:color w:val="000000"/>
                <w:sz w:val="20"/>
                <w:szCs w:val="20"/>
              </w:rPr>
            </w:pPr>
          </w:p>
        </w:tc>
        <w:tc>
          <w:tcPr>
            <w:tcW w:w="516" w:type="pct"/>
            <w:tcBorders>
              <w:top w:val="nil"/>
              <w:left w:val="nil"/>
              <w:bottom w:val="nil"/>
              <w:right w:val="nil"/>
            </w:tcBorders>
            <w:shd w:val="clear" w:color="auto" w:fill="auto"/>
            <w:noWrap/>
            <w:tcMar>
              <w:top w:w="15" w:type="dxa"/>
              <w:left w:w="15" w:type="dxa"/>
              <w:right w:w="15" w:type="dxa"/>
            </w:tcMar>
            <w:vAlign w:val="bottom"/>
          </w:tcPr>
          <w:p w14:paraId="7DC4ECBB">
            <w:pPr>
              <w:rPr>
                <w:rFonts w:hint="default" w:ascii="Times New Roman" w:hAnsi="Times New Roman" w:cs="Times New Roman"/>
                <w:color w:val="000000"/>
                <w:sz w:val="20"/>
                <w:szCs w:val="20"/>
              </w:rPr>
            </w:pPr>
          </w:p>
        </w:tc>
        <w:tc>
          <w:tcPr>
            <w:tcW w:w="560" w:type="pct"/>
            <w:tcBorders>
              <w:top w:val="nil"/>
              <w:left w:val="nil"/>
              <w:bottom w:val="nil"/>
              <w:right w:val="nil"/>
            </w:tcBorders>
            <w:shd w:val="clear" w:color="auto" w:fill="auto"/>
            <w:noWrap/>
            <w:tcMar>
              <w:top w:w="15" w:type="dxa"/>
              <w:left w:w="15" w:type="dxa"/>
              <w:right w:w="15" w:type="dxa"/>
            </w:tcMar>
            <w:vAlign w:val="bottom"/>
          </w:tcPr>
          <w:p w14:paraId="63F9E564">
            <w:pPr>
              <w:rPr>
                <w:rFonts w:hint="default" w:ascii="Times New Roman" w:hAnsi="Times New Roman" w:cs="Times New Roman"/>
                <w:color w:val="000000"/>
                <w:sz w:val="20"/>
                <w:szCs w:val="20"/>
              </w:rPr>
            </w:pPr>
          </w:p>
        </w:tc>
        <w:tc>
          <w:tcPr>
            <w:tcW w:w="636" w:type="pct"/>
            <w:tcBorders>
              <w:top w:val="nil"/>
              <w:left w:val="nil"/>
              <w:bottom w:val="nil"/>
              <w:right w:val="nil"/>
            </w:tcBorders>
            <w:shd w:val="clear" w:color="auto" w:fill="auto"/>
            <w:noWrap/>
            <w:tcMar>
              <w:top w:w="15" w:type="dxa"/>
              <w:left w:w="15" w:type="dxa"/>
              <w:right w:w="15" w:type="dxa"/>
            </w:tcMar>
            <w:vAlign w:val="bottom"/>
          </w:tcPr>
          <w:p w14:paraId="050CFA05">
            <w:pPr>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72327B5A">
        <w:tblPrEx>
          <w:tblCellMar>
            <w:top w:w="0" w:type="dxa"/>
            <w:left w:w="0" w:type="dxa"/>
            <w:bottom w:w="0" w:type="dxa"/>
            <w:right w:w="0" w:type="dxa"/>
          </w:tblCellMar>
        </w:tblPrEx>
        <w:trPr>
          <w:trHeight w:val="362" w:hRule="atLeast"/>
        </w:trPr>
        <w:tc>
          <w:tcPr>
            <w:tcW w:w="1643"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03E65EE">
            <w:pPr>
              <w:jc w:val="center"/>
              <w:textAlignment w:val="bottom"/>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8E59D">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本年支出合计</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403AE">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基本支出</w:t>
            </w:r>
          </w:p>
        </w:tc>
        <w:tc>
          <w:tcPr>
            <w:tcW w:w="53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0FC19F">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项目支出</w:t>
            </w:r>
          </w:p>
        </w:tc>
        <w:tc>
          <w:tcPr>
            <w:tcW w:w="51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207F4">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上缴上级支出</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F9644">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经营支出</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B8E0A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对附属单位补助支出</w:t>
            </w:r>
          </w:p>
        </w:tc>
      </w:tr>
      <w:tr w14:paraId="4E2005BF">
        <w:tblPrEx>
          <w:tblCellMar>
            <w:top w:w="0" w:type="dxa"/>
            <w:left w:w="0" w:type="dxa"/>
            <w:bottom w:w="0" w:type="dxa"/>
            <w:right w:w="0" w:type="dxa"/>
          </w:tblCellMar>
        </w:tblPrEx>
        <w:trPr>
          <w:trHeight w:val="338" w:hRule="atLeast"/>
        </w:trPr>
        <w:tc>
          <w:tcPr>
            <w:tcW w:w="484" w:type="pct"/>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CB6127">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功能分类科目编码</w:t>
            </w:r>
          </w:p>
        </w:tc>
        <w:tc>
          <w:tcPr>
            <w:tcW w:w="1159" w:type="pct"/>
            <w:vMerge w:val="restart"/>
            <w:tcBorders>
              <w:top w:val="nil"/>
              <w:left w:val="nil"/>
              <w:bottom w:val="single" w:color="000000" w:sz="4" w:space="0"/>
              <w:right w:val="nil"/>
            </w:tcBorders>
            <w:shd w:val="clear" w:color="auto" w:fill="auto"/>
            <w:noWrap/>
            <w:tcMar>
              <w:top w:w="15" w:type="dxa"/>
              <w:left w:w="15" w:type="dxa"/>
              <w:right w:w="15" w:type="dxa"/>
            </w:tcMar>
            <w:vAlign w:val="center"/>
          </w:tcPr>
          <w:p w14:paraId="0B82A517">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项目（按“项”级功能分类科目）</w:t>
            </w:r>
          </w:p>
        </w:tc>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14972">
            <w:pPr>
              <w:jc w:val="center"/>
              <w:rPr>
                <w:rFonts w:hint="default" w:ascii="Times New Roman" w:hAnsi="Times New Roman" w:cs="Times New Roman"/>
                <w:b/>
                <w:color w:val="000000"/>
                <w:sz w:val="20"/>
                <w:szCs w:val="20"/>
              </w:rPr>
            </w:pP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F604F">
            <w:pPr>
              <w:jc w:val="center"/>
              <w:rPr>
                <w:rFonts w:hint="default" w:ascii="Times New Roman" w:hAnsi="Times New Roman" w:cs="Times New Roman"/>
                <w:b/>
                <w:color w:val="000000"/>
                <w:sz w:val="20"/>
                <w:szCs w:val="20"/>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EDD45">
            <w:pPr>
              <w:jc w:val="center"/>
              <w:rPr>
                <w:rFonts w:hint="default" w:ascii="Times New Roman" w:hAnsi="Times New Roman" w:cs="Times New Roman"/>
                <w:b/>
                <w:color w:val="000000"/>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E4ACFA">
            <w:pPr>
              <w:jc w:val="center"/>
              <w:rPr>
                <w:rFonts w:hint="default" w:ascii="Times New Roman" w:hAnsi="Times New Roman" w:cs="Times New Roman"/>
                <w:b/>
                <w:color w:val="000000"/>
                <w:sz w:val="20"/>
                <w:szCs w:val="20"/>
              </w:rPr>
            </w:pP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5E9F3">
            <w:pPr>
              <w:jc w:val="center"/>
              <w:rPr>
                <w:rFonts w:hint="default" w:ascii="Times New Roman" w:hAnsi="Times New Roman" w:cs="Times New Roman"/>
                <w:b/>
                <w:color w:val="000000"/>
                <w:sz w:val="20"/>
                <w:szCs w:val="20"/>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45F7A">
            <w:pPr>
              <w:jc w:val="center"/>
              <w:rPr>
                <w:rFonts w:hint="default" w:ascii="Times New Roman" w:hAnsi="Times New Roman" w:cs="Times New Roman"/>
                <w:b/>
                <w:color w:val="000000"/>
                <w:sz w:val="20"/>
                <w:szCs w:val="20"/>
              </w:rPr>
            </w:pPr>
          </w:p>
        </w:tc>
      </w:tr>
      <w:tr w14:paraId="33B26E4A">
        <w:tblPrEx>
          <w:tblCellMar>
            <w:top w:w="0" w:type="dxa"/>
            <w:left w:w="0" w:type="dxa"/>
            <w:bottom w:w="0" w:type="dxa"/>
            <w:right w:w="0" w:type="dxa"/>
          </w:tblCellMar>
        </w:tblPrEx>
        <w:trPr>
          <w:trHeight w:val="338" w:hRule="atLeast"/>
        </w:trPr>
        <w:tc>
          <w:tcPr>
            <w:tcW w:w="484"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34477">
            <w:pPr>
              <w:jc w:val="center"/>
              <w:rPr>
                <w:rFonts w:hint="default" w:ascii="Times New Roman" w:hAnsi="Times New Roman" w:cs="Times New Roman"/>
                <w:b/>
                <w:color w:val="000000"/>
                <w:sz w:val="20"/>
                <w:szCs w:val="20"/>
              </w:rPr>
            </w:pPr>
          </w:p>
        </w:tc>
        <w:tc>
          <w:tcPr>
            <w:tcW w:w="1159"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7276B1A1">
            <w:pPr>
              <w:jc w:val="center"/>
              <w:rPr>
                <w:rFonts w:hint="default" w:ascii="Times New Roman" w:hAnsi="Times New Roman" w:cs="Times New Roman"/>
                <w:b/>
                <w:color w:val="000000"/>
                <w:sz w:val="20"/>
                <w:szCs w:val="20"/>
              </w:rPr>
            </w:pPr>
          </w:p>
        </w:tc>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23D46">
            <w:pPr>
              <w:jc w:val="center"/>
              <w:rPr>
                <w:rFonts w:hint="default" w:ascii="Times New Roman" w:hAnsi="Times New Roman" w:cs="Times New Roman"/>
                <w:b/>
                <w:color w:val="000000"/>
                <w:sz w:val="20"/>
                <w:szCs w:val="20"/>
              </w:rPr>
            </w:pP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A0161">
            <w:pPr>
              <w:jc w:val="center"/>
              <w:rPr>
                <w:rFonts w:hint="default" w:ascii="Times New Roman" w:hAnsi="Times New Roman" w:cs="Times New Roman"/>
                <w:b/>
                <w:color w:val="000000"/>
                <w:sz w:val="20"/>
                <w:szCs w:val="20"/>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50317">
            <w:pPr>
              <w:jc w:val="center"/>
              <w:rPr>
                <w:rFonts w:hint="default" w:ascii="Times New Roman" w:hAnsi="Times New Roman" w:cs="Times New Roman"/>
                <w:b/>
                <w:color w:val="000000"/>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B296E">
            <w:pPr>
              <w:jc w:val="center"/>
              <w:rPr>
                <w:rFonts w:hint="default" w:ascii="Times New Roman" w:hAnsi="Times New Roman" w:cs="Times New Roman"/>
                <w:b/>
                <w:color w:val="000000"/>
                <w:sz w:val="20"/>
                <w:szCs w:val="20"/>
              </w:rPr>
            </w:pP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7E3ABF">
            <w:pPr>
              <w:jc w:val="center"/>
              <w:rPr>
                <w:rFonts w:hint="default" w:ascii="Times New Roman" w:hAnsi="Times New Roman" w:cs="Times New Roman"/>
                <w:b/>
                <w:color w:val="000000"/>
                <w:sz w:val="20"/>
                <w:szCs w:val="20"/>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00831">
            <w:pPr>
              <w:jc w:val="center"/>
              <w:rPr>
                <w:rFonts w:hint="default" w:ascii="Times New Roman" w:hAnsi="Times New Roman" w:cs="Times New Roman"/>
                <w:b/>
                <w:color w:val="000000"/>
                <w:sz w:val="20"/>
                <w:szCs w:val="20"/>
              </w:rPr>
            </w:pPr>
          </w:p>
        </w:tc>
      </w:tr>
      <w:tr w14:paraId="564942DF">
        <w:tblPrEx>
          <w:tblCellMar>
            <w:top w:w="0" w:type="dxa"/>
            <w:left w:w="0" w:type="dxa"/>
            <w:bottom w:w="0" w:type="dxa"/>
            <w:right w:w="0" w:type="dxa"/>
          </w:tblCellMar>
        </w:tblPrEx>
        <w:trPr>
          <w:trHeight w:val="338" w:hRule="atLeast"/>
        </w:trPr>
        <w:tc>
          <w:tcPr>
            <w:tcW w:w="484"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F4DC6">
            <w:pPr>
              <w:jc w:val="center"/>
              <w:rPr>
                <w:rFonts w:hint="default" w:ascii="Times New Roman" w:hAnsi="Times New Roman" w:cs="Times New Roman"/>
                <w:b/>
                <w:color w:val="000000"/>
                <w:sz w:val="20"/>
                <w:szCs w:val="20"/>
              </w:rPr>
            </w:pPr>
          </w:p>
        </w:tc>
        <w:tc>
          <w:tcPr>
            <w:tcW w:w="1159"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6A0D5185">
            <w:pPr>
              <w:jc w:val="center"/>
              <w:rPr>
                <w:rFonts w:hint="default" w:ascii="Times New Roman" w:hAnsi="Times New Roman" w:cs="Times New Roman"/>
                <w:b/>
                <w:color w:val="000000"/>
                <w:sz w:val="20"/>
                <w:szCs w:val="20"/>
              </w:rPr>
            </w:pPr>
          </w:p>
        </w:tc>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DA82B">
            <w:pPr>
              <w:jc w:val="center"/>
              <w:rPr>
                <w:rFonts w:hint="default" w:ascii="Times New Roman" w:hAnsi="Times New Roman" w:cs="Times New Roman"/>
                <w:b/>
                <w:color w:val="000000"/>
                <w:sz w:val="20"/>
                <w:szCs w:val="20"/>
              </w:rPr>
            </w:pP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CE299">
            <w:pPr>
              <w:jc w:val="center"/>
              <w:rPr>
                <w:rFonts w:hint="default" w:ascii="Times New Roman" w:hAnsi="Times New Roman" w:cs="Times New Roman"/>
                <w:b/>
                <w:color w:val="000000"/>
                <w:sz w:val="20"/>
                <w:szCs w:val="20"/>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49509">
            <w:pPr>
              <w:jc w:val="center"/>
              <w:rPr>
                <w:rFonts w:hint="default" w:ascii="Times New Roman" w:hAnsi="Times New Roman" w:cs="Times New Roman"/>
                <w:b/>
                <w:color w:val="000000"/>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77778">
            <w:pPr>
              <w:jc w:val="center"/>
              <w:rPr>
                <w:rFonts w:hint="default" w:ascii="Times New Roman" w:hAnsi="Times New Roman" w:cs="Times New Roman"/>
                <w:b/>
                <w:color w:val="000000"/>
                <w:sz w:val="20"/>
                <w:szCs w:val="20"/>
              </w:rPr>
            </w:pP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B53033">
            <w:pPr>
              <w:jc w:val="center"/>
              <w:rPr>
                <w:rFonts w:hint="default" w:ascii="Times New Roman" w:hAnsi="Times New Roman" w:cs="Times New Roman"/>
                <w:b/>
                <w:color w:val="000000"/>
                <w:sz w:val="20"/>
                <w:szCs w:val="20"/>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FA415">
            <w:pPr>
              <w:jc w:val="center"/>
              <w:rPr>
                <w:rFonts w:hint="default" w:ascii="Times New Roman" w:hAnsi="Times New Roman" w:cs="Times New Roman"/>
                <w:b/>
                <w:color w:val="000000"/>
                <w:sz w:val="20"/>
                <w:szCs w:val="20"/>
              </w:rPr>
            </w:pPr>
          </w:p>
        </w:tc>
      </w:tr>
      <w:tr w14:paraId="61508614">
        <w:tblPrEx>
          <w:tblCellMar>
            <w:top w:w="0" w:type="dxa"/>
            <w:left w:w="0" w:type="dxa"/>
            <w:bottom w:w="0" w:type="dxa"/>
            <w:right w:w="0" w:type="dxa"/>
          </w:tblCellMar>
        </w:tblPrEx>
        <w:trPr>
          <w:trHeight w:val="338" w:hRule="atLeast"/>
        </w:trPr>
        <w:tc>
          <w:tcPr>
            <w:tcW w:w="484"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C47459">
            <w:pPr>
              <w:jc w:val="center"/>
              <w:rPr>
                <w:rFonts w:hint="default" w:ascii="Times New Roman" w:hAnsi="Times New Roman" w:cs="Times New Roman"/>
                <w:b/>
                <w:color w:val="000000"/>
                <w:sz w:val="20"/>
                <w:szCs w:val="20"/>
              </w:rPr>
            </w:pPr>
          </w:p>
        </w:tc>
        <w:tc>
          <w:tcPr>
            <w:tcW w:w="1159"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36CEFC86">
            <w:pPr>
              <w:jc w:val="center"/>
              <w:rPr>
                <w:rFonts w:hint="default" w:ascii="Times New Roman" w:hAnsi="Times New Roman" w:cs="Times New Roman"/>
                <w:b/>
                <w:color w:val="000000"/>
                <w:sz w:val="20"/>
                <w:szCs w:val="20"/>
              </w:rPr>
            </w:pPr>
          </w:p>
        </w:tc>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5540B">
            <w:pPr>
              <w:jc w:val="center"/>
              <w:rPr>
                <w:rFonts w:hint="default" w:ascii="Times New Roman" w:hAnsi="Times New Roman" w:cs="Times New Roman"/>
                <w:b/>
                <w:color w:val="000000"/>
                <w:sz w:val="20"/>
                <w:szCs w:val="20"/>
              </w:rPr>
            </w:pP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F8AD6">
            <w:pPr>
              <w:jc w:val="center"/>
              <w:rPr>
                <w:rFonts w:hint="default" w:ascii="Times New Roman" w:hAnsi="Times New Roman" w:cs="Times New Roman"/>
                <w:b/>
                <w:color w:val="000000"/>
                <w:sz w:val="20"/>
                <w:szCs w:val="20"/>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1B1B0">
            <w:pPr>
              <w:jc w:val="center"/>
              <w:rPr>
                <w:rFonts w:hint="default" w:ascii="Times New Roman" w:hAnsi="Times New Roman" w:cs="Times New Roman"/>
                <w:b/>
                <w:color w:val="000000"/>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8E949">
            <w:pPr>
              <w:jc w:val="center"/>
              <w:rPr>
                <w:rFonts w:hint="default" w:ascii="Times New Roman" w:hAnsi="Times New Roman" w:cs="Times New Roman"/>
                <w:b/>
                <w:color w:val="000000"/>
                <w:sz w:val="20"/>
                <w:szCs w:val="20"/>
              </w:rPr>
            </w:pP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AD705">
            <w:pPr>
              <w:jc w:val="center"/>
              <w:rPr>
                <w:rFonts w:hint="default" w:ascii="Times New Roman" w:hAnsi="Times New Roman" w:cs="Times New Roman"/>
                <w:b/>
                <w:color w:val="000000"/>
                <w:sz w:val="20"/>
                <w:szCs w:val="20"/>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6353E">
            <w:pPr>
              <w:jc w:val="center"/>
              <w:rPr>
                <w:rFonts w:hint="default" w:ascii="Times New Roman" w:hAnsi="Times New Roman" w:cs="Times New Roman"/>
                <w:b/>
                <w:color w:val="000000"/>
                <w:sz w:val="20"/>
                <w:szCs w:val="20"/>
              </w:rPr>
            </w:pPr>
          </w:p>
        </w:tc>
      </w:tr>
      <w:tr w14:paraId="75023A67">
        <w:tblPrEx>
          <w:tblCellMar>
            <w:top w:w="0" w:type="dxa"/>
            <w:left w:w="0" w:type="dxa"/>
            <w:bottom w:w="0" w:type="dxa"/>
            <w:right w:w="0" w:type="dxa"/>
          </w:tblCellMar>
        </w:tblPrEx>
        <w:trPr>
          <w:trHeight w:val="362" w:hRule="atLeast"/>
        </w:trPr>
        <w:tc>
          <w:tcPr>
            <w:tcW w:w="1643"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54F01D">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54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DF621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4,708.29</w:t>
            </w:r>
            <w:r>
              <w:rPr>
                <w:rFonts w:hint="default" w:ascii="Times New Roman" w:hAnsi="Times New Roman" w:cs="Times New Roman"/>
                <w:b/>
                <w:color w:val="000000"/>
                <w:sz w:val="20"/>
                <w:u w:color="auto"/>
              </w:rPr>
              <w:t xml:space="preserve"> </w:t>
            </w:r>
          </w:p>
        </w:tc>
        <w:tc>
          <w:tcPr>
            <w:tcW w:w="5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8FE64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3,057.44</w:t>
            </w:r>
            <w:r>
              <w:rPr>
                <w:rFonts w:hint="default" w:ascii="Times New Roman" w:hAnsi="Times New Roman" w:cs="Times New Roman"/>
                <w:b/>
                <w:color w:val="000000"/>
                <w:sz w:val="20"/>
                <w:u w:color="auto"/>
              </w:rPr>
              <w:t xml:space="preserve"> </w:t>
            </w:r>
          </w:p>
        </w:tc>
        <w:tc>
          <w:tcPr>
            <w:tcW w:w="53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E2B80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1,650.85</w:t>
            </w:r>
            <w:r>
              <w:rPr>
                <w:rFonts w:hint="default" w:ascii="Times New Roman" w:hAnsi="Times New Roman" w:cs="Times New Roman"/>
                <w:b/>
                <w:color w:val="000000"/>
                <w:sz w:val="20"/>
                <w:u w:color="auto"/>
              </w:rPr>
              <w:t xml:space="preserve"> </w:t>
            </w:r>
          </w:p>
        </w:tc>
        <w:tc>
          <w:tcPr>
            <w:tcW w:w="51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82057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3B8FD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F3076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r>
      <w:tr w14:paraId="5B73E57C">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96EE5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A1FFB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一般公共服务支出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A08BA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1,731.45</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0E1C9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1,093.02</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5132E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638.44</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4D1C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FF693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D7B52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15CDBBF">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38F21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2379D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人大事务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3885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35.79</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534C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35.79</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E107D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42C3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8BFE3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D61B4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FB14C44">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D9037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2010101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86722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行政运行</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017AB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35.79</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70C7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35.79</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8903E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13954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49443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50AAF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4915A087">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ED9EC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20103</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1DAA5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政府办公厅（室）及相关机构事务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CD353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1,285.63</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96DEC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898.01</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AD3ED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387.62</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1439A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5269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9C386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BDEA196">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D1E2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2010301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E818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行政运行</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75C89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898.01</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8A9F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898.01</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CE01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C13FB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461EB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0209E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F7168ED">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2AB6A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2010399</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A5044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其他政府办公厅（室）及相关机构事务支出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F8A92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387.62</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551D3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15FFA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387.62</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9AF1C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A0262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2698B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A0092AF">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D3563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20113</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AFE05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商贸事务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F596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249.47</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E8490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7E529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249.47</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02E0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C635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12373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055D0E9">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8BEA22">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2011308</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2753F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招商引资</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94C26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249.47</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ED26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B8228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249.47</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A1833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46D9D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B3315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2508CD54">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16952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20131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691862">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党委办公厅（室）及相关机构事务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2952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159.22</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CD54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159.22</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6585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9A7AF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F582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FBAEA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F375EF5">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A8B52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2013101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CA79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行政运行</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1FFCD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159.22</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D7B32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159.22</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8A00F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3888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2C9B8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297B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4A7207EB">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7785E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20132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B8DBC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组织事务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C492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1.35</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64CD1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47A5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1.35</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155C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252E1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832A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AA3FDDA">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8269C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2013202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218DE4">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一般行政管理事务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20D1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1.35</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3696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55DAF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1.35</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A37E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B82E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634A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BD7BBA9">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2C22A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204</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0F85C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公共安全支出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F0FE7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6.44</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5B92F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1522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6.44</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0172C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2DD0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DEA0C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545E95AB">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1727D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20402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14E062">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公安</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8257D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DCEA9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B6F5A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3D8FF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88EDE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61305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1FE8EB87">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18F3E">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2040299</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22785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其他公安支出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197CF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B929B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DEE2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86679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453A5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E2F8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41DC54BD">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B68A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20406</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BEC7A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司法</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FE38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DDBEA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1379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CF734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655E7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B44BE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5006389">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6EC93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2040612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A7783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法治建设</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4E5C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EB9C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F07A3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EEFD5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B3D6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875D5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517FBECC">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243D5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207</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1AF6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文化旅游体育与传媒支出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E6F0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84605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E2539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E6C74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46252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BDA9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5A6355C">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ECE3C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20701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2C2F3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文化和旅游</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47B75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9893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BB1DD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818E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6803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91EA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2DA0957C">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D0E16">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2070109</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438C7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群众文化</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14C5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41.97</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DACA4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41.97</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83A30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7AAE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1373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47A0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FE7B709">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57E1D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B2673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社会保障和就业支出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813BA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724.52</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8ABA4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678.89</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AF594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45.63</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4B683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7838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51C6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D9D5814">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5F8EE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069E7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人力资源和社会保障管理事务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E445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77.49</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5A8F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77.49</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4CB20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63FB9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BDDCE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7347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0F8EE20">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1D315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2080104</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AA2A5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综合业务管理</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74B78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77.49</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4B8B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77.49</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41BB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4B32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5335F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28E24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2297CF3">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5488B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27198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民政管理事务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D9CA9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6.48</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7EBE6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89866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6.48</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7EB25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2036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6314C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150A82E">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B4139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2080299</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0C0E24">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其他民政管理事务支出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83C04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6.48</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4C15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DBAAF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6.48</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B27A0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8B9A1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9AAB7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8CA19A6">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34CA1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20805</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76AE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行政事业单位养老支出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B89E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541.51</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1174A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541.51</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6977A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4F5C9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ADC4F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205F6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22FEC62C">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D778CE">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2080505</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A7FC8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机关事业单位基本养老保险缴费支出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9689D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221.04</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28E4B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221.04</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388AA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305E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9C8DC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96AB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009CFFF">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AE1C76">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2080506</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443DE">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机关事业单位职业年金缴费支出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23E7B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117.54</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3EFC4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117.54</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69E54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29AE3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D1633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0D21B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B8C3092">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798154">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2080599</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5D385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其他行政事业单位养老支出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55715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202.93</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65DB3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202.93</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E2AD3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D1960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10848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A5854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DC6F790">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D91B82">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20807</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EDD8A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就业补助</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94361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23C37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2CB9B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EDD16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F6F6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7328B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4068444">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347F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2080799</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074EB4">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其他就业补助支出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00DD2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627E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0F5C5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986F8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74AF7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768E9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F05AD70">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87784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20808</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4F246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抚恤</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F4B7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9.20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EE871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A54A4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9.20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92FFA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15479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A28E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52D9F611">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21972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2080899</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AE73E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其他优抚支出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A1600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9.20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42BD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D057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9.20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1486E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415B7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B91B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4D19E44">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17177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20811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DF9BA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残疾人事业</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63A27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5.35</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1A12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DF44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5.35</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AA5AC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20EE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66FE2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0CE3FC2">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1F72B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2081199</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3DD1E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其他残疾人事业支出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6099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5.35</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0C06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B5BE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5.35</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BA47F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AC7FB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9FF7E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5193E235">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A5872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20820</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5BA57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临时救助</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850DE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13.67</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10E40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CA31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13.67</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28FF4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4B9B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576C0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5C97CF74">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2B614">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2082001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C7BC3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临时救助支出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4442B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13.67</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84D54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F9D59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13.67</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737B9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CDA1E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4E0B0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1CC7F889">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2EB9D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20825</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55C74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其他生活救助</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A7A43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5.90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8507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9B43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5.90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1A49C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772B1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F6F1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E48ED91">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AC6B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2082502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3B3F4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其他农村生活救助</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1174D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C5C6A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D3C3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DDAA5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C2B2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A5E7C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FA34911">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9055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20828</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1442F2">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退役军人管理事务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EC2F9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59.89</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8DD9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59.89</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51EA3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1DDD5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54D87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0A91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52F7696">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D1BFF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2082850</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CC36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事业运行</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FC9B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59.89</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04E1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59.89</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545A3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3BDDA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001CC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BF61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24BB38CC">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37F25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F16B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卫生健康支出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A74E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1415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DB35E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E39A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94489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ABEEF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50B3B774">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34C6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21011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919CF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行政事业单位医疗</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86A00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926C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11357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1AD83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B7CF2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6089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B5B818E">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379826">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0516F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行政单位医疗</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E35E9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67.07</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87CA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67.07</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8A995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0A637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0E54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A000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4240D00">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CB5D2E">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E941E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事业单位医疗</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894D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46.14</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C2C66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46.14</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759CF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65A0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BE6FF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BD0E9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15C55E5D">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12ADB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2101103</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3F611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公务员医疗补助</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BE669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8.08</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D760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8.08</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06759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E3B15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2A864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BEAB1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411B046">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3B85F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2101199</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496186">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其他行政事业单位医疗支出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8DE4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24.56</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D60A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24.56</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2461E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F3BD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EC85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A6150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41A42905">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63F4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5FA74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城乡社区支出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81643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7DD29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9214C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1036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4F4A3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976E3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157140AB">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57280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21202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3BBC8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城乡社区规划与管理</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7E3B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78CB9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01DD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504D3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95E8C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83D62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0203340">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5EA8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2120201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36862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城乡社区规划与管理</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E2A0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148.15</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29B5B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148.15</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9B2B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9E403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2110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3D825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216BD1C9">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DDD6C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213</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8847E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农林水支出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507B3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1,687.63</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6ED04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799.27</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7C277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888.37</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F9CE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D6908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F1236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F1891EA">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6A872">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21301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3B813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农业农村</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6153C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799.27</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4443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799.27</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57B89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61FC1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C52B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D1875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0BB5B0B">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F53D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2130104</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A49BE">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事业运行</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87AAD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666.13</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33C0B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666.13</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9FF8E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0E44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E43C5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6BC81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8011087">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D1442">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2130110</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13D19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执法监管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EE5FA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133.14</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30E81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133.14</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DE8C9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EA986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E2BE1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EB496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5AE96B7">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602D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21307</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688D8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农村综合改革</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EB9B2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888.37</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5E43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2F0E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888.37</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F9DF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66A44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F89AB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CAAF8C9">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2068EB">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2130701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1774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对村级公益事业建设的补助</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B938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145.37</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C9A4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F1E4F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145.37</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82026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ABE1D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B68FA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1EE15C03">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F0A8C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2130705</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556D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对村民委员会和村党支部的补助</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EBB85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743.00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1D4D7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5604B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743.00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279E0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2F824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67FD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262B190E">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263A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4E00C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住房保障支出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2A12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533B7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050B2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E767D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3C380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2A65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15662447">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2A57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22102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5C7F6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住房改革支出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9DC34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5A10A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DB8F9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6AB28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07E9C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4B05F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24816446">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982CC4">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2210201</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5F6882">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住房公积金</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B465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150.28</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040E4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150.28</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7422B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662BA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B04B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016D3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83FBEB6">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43CC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224</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629F7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灾害防治及应急管理支出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8BB33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DBD7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66D2F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CD56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E6C4C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9CE0E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DB522D8">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FC1FA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22402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FA43D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消防救援事务</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0AE5B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4B33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D457E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50997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D881A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C36CA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9512545">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99114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2240299</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70F112">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其他消防救援事务支出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0D231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46.27</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AADA7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36ED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46.27</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5E421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C0FCF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C21F2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28653661">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20149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229</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4862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其他支出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7E1A6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322B8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6533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0B53E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CC20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4B55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632C60A">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D4DC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22960</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2D069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彩票公益金安排的支出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00386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7A7D2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3F1FA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2C83E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26097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E1F76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522F1821">
        <w:tblPrEx>
          <w:tblCellMar>
            <w:top w:w="0" w:type="dxa"/>
            <w:left w:w="0" w:type="dxa"/>
            <w:bottom w:w="0" w:type="dxa"/>
            <w:right w:w="0" w:type="dxa"/>
          </w:tblCellMar>
        </w:tblPrEx>
        <w:trPr>
          <w:trHeight w:val="382" w:hRule="atLeast"/>
        </w:trPr>
        <w:tc>
          <w:tcPr>
            <w:tcW w:w="48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01197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2296002</w:t>
            </w:r>
          </w:p>
        </w:tc>
        <w:tc>
          <w:tcPr>
            <w:tcW w:w="115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6AE8D6">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用于社会福利的彩票公益金支出</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76D3A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25.71</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2563D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3A445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25.71</w:t>
            </w:r>
            <w:r>
              <w:rPr>
                <w:rFonts w:hint="default" w:ascii="Times New Roman" w:hAnsi="Times New Roman" w:cs="Times New Roman"/>
                <w:color w:val="000000"/>
                <w:sz w:val="20"/>
                <w:u w:color="auto"/>
              </w:rPr>
              <w:t xml:space="preserve">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47B78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D3B90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7D414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bl>
    <w:p w14:paraId="1BD77076">
      <w:pPr>
        <w:rPr>
          <w:rFonts w:hint="default" w:ascii="Times New Roman" w:hAnsi="Times New Roman" w:cs="Times New Roman"/>
          <w:sz w:val="20"/>
          <w:szCs w:val="20"/>
        </w:rPr>
      </w:pPr>
      <w:r>
        <w:rPr>
          <w:rFonts w:hint="default" w:ascii="Times New Roman" w:hAnsi="Times New Roman" w:cs="Times New Roman"/>
          <w:sz w:val="20"/>
          <w:szCs w:val="20"/>
        </w:rPr>
        <w:t>备注：1.本表反映部门本年度各项支出情况。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 xml:space="preserve">      2.本套报表金额单位转换时可能存在尾数误差。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p>
    <w:p w14:paraId="2712C6D3">
      <w:pPr>
        <w:rPr>
          <w:rFonts w:hint="default" w:ascii="Times New Roman" w:hAnsi="Times New Roman" w:cs="Times New Roman"/>
          <w:sz w:val="21"/>
          <w:szCs w:val="21"/>
        </w:rPr>
      </w:pPr>
      <w:r>
        <w:rPr>
          <w:rFonts w:hint="default" w:ascii="Times New Roman" w:hAnsi="Times New Roman" w:cs="Times New Roman"/>
          <w:sz w:val="21"/>
          <w:szCs w:val="21"/>
        </w:rPr>
        <w:br w:type="page"/>
      </w:r>
    </w:p>
    <w:p w14:paraId="2378AC9D">
      <w:pPr>
        <w:rPr>
          <w:rFonts w:hint="default" w:ascii="Times New Roman" w:hAnsi="Times New Roman" w:cs="Times New Roman"/>
          <w:sz w:val="21"/>
          <w:szCs w:val="21"/>
        </w:rPr>
      </w:pPr>
    </w:p>
    <w:tbl>
      <w:tblPr>
        <w:tblStyle w:val="7"/>
        <w:tblW w:w="4790" w:type="pct"/>
        <w:tblInd w:w="0" w:type="dxa"/>
        <w:tblLayout w:type="autofit"/>
        <w:tblCellMar>
          <w:top w:w="0" w:type="dxa"/>
          <w:left w:w="0" w:type="dxa"/>
          <w:bottom w:w="0" w:type="dxa"/>
          <w:right w:w="0" w:type="dxa"/>
        </w:tblCellMar>
      </w:tblPr>
      <w:tblGrid>
        <w:gridCol w:w="2967"/>
        <w:gridCol w:w="1521"/>
        <w:gridCol w:w="3179"/>
        <w:gridCol w:w="1694"/>
        <w:gridCol w:w="1694"/>
        <w:gridCol w:w="1694"/>
        <w:gridCol w:w="1929"/>
      </w:tblGrid>
      <w:tr w14:paraId="02483818">
        <w:tblPrEx>
          <w:tblCellMar>
            <w:top w:w="0" w:type="dxa"/>
            <w:left w:w="0" w:type="dxa"/>
            <w:bottom w:w="0" w:type="dxa"/>
            <w:right w:w="0" w:type="dxa"/>
          </w:tblCellMar>
        </w:tblPrEx>
        <w:trPr>
          <w:trHeight w:val="90" w:hRule="atLeast"/>
        </w:trPr>
        <w:tc>
          <w:tcPr>
            <w:tcW w:w="5000" w:type="pct"/>
            <w:gridSpan w:val="7"/>
            <w:tcBorders>
              <w:top w:val="nil"/>
              <w:left w:val="nil"/>
              <w:bottom w:val="nil"/>
              <w:right w:val="nil"/>
            </w:tcBorders>
            <w:shd w:val="clear" w:color="auto" w:fill="auto"/>
            <w:noWrap/>
            <w:tcMar>
              <w:top w:w="15" w:type="dxa"/>
              <w:left w:w="15" w:type="dxa"/>
              <w:right w:w="15" w:type="dxa"/>
            </w:tcMar>
            <w:vAlign w:val="bottom"/>
          </w:tcPr>
          <w:p w14:paraId="0E3855FB">
            <w:pPr>
              <w:spacing w:line="400" w:lineRule="exact"/>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财政拨款收入支出决算总表</w:t>
            </w:r>
          </w:p>
        </w:tc>
      </w:tr>
      <w:tr w14:paraId="036241EF">
        <w:tblPrEx>
          <w:tblCellMar>
            <w:top w:w="0" w:type="dxa"/>
            <w:left w:w="0" w:type="dxa"/>
            <w:bottom w:w="0" w:type="dxa"/>
            <w:right w:w="0" w:type="dxa"/>
          </w:tblCellMar>
        </w:tblPrEx>
        <w:trPr>
          <w:trHeight w:val="90" w:hRule="atLeast"/>
        </w:trPr>
        <w:tc>
          <w:tcPr>
            <w:tcW w:w="2612" w:type="pct"/>
            <w:gridSpan w:val="3"/>
            <w:vMerge w:val="restart"/>
            <w:tcBorders>
              <w:top w:val="nil"/>
              <w:left w:val="nil"/>
              <w:right w:val="nil"/>
            </w:tcBorders>
            <w:shd w:val="clear" w:color="auto" w:fill="auto"/>
            <w:noWrap/>
            <w:tcMar>
              <w:top w:w="15" w:type="dxa"/>
              <w:left w:w="15" w:type="dxa"/>
              <w:right w:w="15" w:type="dxa"/>
            </w:tcMar>
            <w:vAlign w:val="bottom"/>
          </w:tcPr>
          <w:p w14:paraId="6132A89D">
            <w:pPr>
              <w:spacing w:line="200" w:lineRule="exact"/>
              <w:rPr>
                <w:rFonts w:hint="default" w:ascii="Times New Roman" w:hAnsi="Times New Roman" w:cs="Times New Roman"/>
                <w:color w:val="000000"/>
                <w:sz w:val="18"/>
                <w:szCs w:val="18"/>
              </w:rPr>
            </w:pPr>
            <w:r>
              <w:rPr>
                <w:rFonts w:hint="default" w:ascii="Times New Roman" w:hAnsi="Times New Roman" w:cs="Times New Roman"/>
                <w:sz w:val="20"/>
                <w:szCs w:val="20"/>
              </w:rPr>
              <w:t>部门</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潼南区塘坝镇</w:t>
            </w:r>
          </w:p>
        </w:tc>
        <w:tc>
          <w:tcPr>
            <w:tcW w:w="577" w:type="pct"/>
            <w:tcBorders>
              <w:top w:val="nil"/>
              <w:left w:val="nil"/>
              <w:bottom w:val="nil"/>
              <w:right w:val="nil"/>
            </w:tcBorders>
            <w:shd w:val="clear" w:color="auto" w:fill="auto"/>
            <w:noWrap/>
            <w:tcMar>
              <w:top w:w="15" w:type="dxa"/>
              <w:left w:w="15" w:type="dxa"/>
              <w:right w:w="15" w:type="dxa"/>
            </w:tcMar>
            <w:vAlign w:val="bottom"/>
          </w:tcPr>
          <w:p w14:paraId="649AC523">
            <w:pPr>
              <w:spacing w:line="200" w:lineRule="exact"/>
              <w:rPr>
                <w:rFonts w:hint="default" w:ascii="Times New Roman" w:hAnsi="Times New Roman" w:cs="Times New Roman"/>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53271FB1">
            <w:pPr>
              <w:spacing w:line="200" w:lineRule="exact"/>
              <w:rPr>
                <w:rFonts w:hint="default" w:ascii="Times New Roman" w:hAnsi="Times New Roman" w:cs="Times New Roman"/>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5B2EA288">
            <w:pPr>
              <w:spacing w:line="200" w:lineRule="exact"/>
              <w:rPr>
                <w:rFonts w:hint="default" w:ascii="Times New Roman" w:hAnsi="Times New Roman" w:cs="Times New Roman"/>
                <w:color w:val="000000"/>
                <w:sz w:val="18"/>
                <w:szCs w:val="18"/>
              </w:rPr>
            </w:pPr>
          </w:p>
        </w:tc>
        <w:tc>
          <w:tcPr>
            <w:tcW w:w="657" w:type="pct"/>
            <w:tcBorders>
              <w:top w:val="nil"/>
              <w:left w:val="nil"/>
              <w:bottom w:val="nil"/>
              <w:right w:val="nil"/>
            </w:tcBorders>
            <w:shd w:val="clear" w:color="auto" w:fill="auto"/>
            <w:noWrap/>
            <w:tcMar>
              <w:top w:w="15" w:type="dxa"/>
              <w:left w:w="15" w:type="dxa"/>
              <w:right w:w="15" w:type="dxa"/>
            </w:tcMar>
            <w:vAlign w:val="bottom"/>
          </w:tcPr>
          <w:p w14:paraId="5A526884">
            <w:pPr>
              <w:spacing w:line="24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公开04表</w:t>
            </w:r>
          </w:p>
        </w:tc>
      </w:tr>
      <w:tr w14:paraId="25069BA0">
        <w:tblPrEx>
          <w:tblCellMar>
            <w:top w:w="0" w:type="dxa"/>
            <w:left w:w="0" w:type="dxa"/>
            <w:bottom w:w="0" w:type="dxa"/>
            <w:right w:w="0" w:type="dxa"/>
          </w:tblCellMar>
        </w:tblPrEx>
        <w:trPr>
          <w:trHeight w:val="90" w:hRule="atLeast"/>
        </w:trPr>
        <w:tc>
          <w:tcPr>
            <w:tcW w:w="2612" w:type="pct"/>
            <w:gridSpan w:val="3"/>
            <w:vMerge w:val="continue"/>
            <w:tcBorders>
              <w:left w:val="nil"/>
              <w:bottom w:val="nil"/>
              <w:right w:val="nil"/>
            </w:tcBorders>
            <w:shd w:val="clear" w:color="auto" w:fill="auto"/>
            <w:noWrap/>
            <w:tcMar>
              <w:top w:w="15" w:type="dxa"/>
              <w:left w:w="15" w:type="dxa"/>
              <w:right w:w="15" w:type="dxa"/>
            </w:tcMar>
            <w:vAlign w:val="bottom"/>
          </w:tcPr>
          <w:p w14:paraId="0C50C333">
            <w:pPr>
              <w:spacing w:line="200" w:lineRule="exact"/>
              <w:rPr>
                <w:rFonts w:hint="default" w:ascii="Times New Roman" w:hAnsi="Times New Roman" w:cs="Times New Roman"/>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788D7CC8">
            <w:pPr>
              <w:spacing w:line="200" w:lineRule="exact"/>
              <w:rPr>
                <w:rFonts w:hint="default" w:ascii="Times New Roman" w:hAnsi="Times New Roman" w:cs="Times New Roman"/>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0D6984D9">
            <w:pPr>
              <w:spacing w:line="200" w:lineRule="exact"/>
              <w:rPr>
                <w:rFonts w:hint="default" w:ascii="Times New Roman" w:hAnsi="Times New Roman" w:cs="Times New Roman"/>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49D97DAB">
            <w:pPr>
              <w:spacing w:line="200" w:lineRule="exact"/>
              <w:rPr>
                <w:rFonts w:hint="default" w:ascii="Times New Roman" w:hAnsi="Times New Roman" w:cs="Times New Roman"/>
                <w:color w:val="000000"/>
                <w:sz w:val="18"/>
                <w:szCs w:val="18"/>
              </w:rPr>
            </w:pPr>
          </w:p>
        </w:tc>
        <w:tc>
          <w:tcPr>
            <w:tcW w:w="657" w:type="pct"/>
            <w:tcBorders>
              <w:top w:val="nil"/>
              <w:left w:val="nil"/>
              <w:bottom w:val="nil"/>
              <w:right w:val="nil"/>
            </w:tcBorders>
            <w:shd w:val="clear" w:color="auto" w:fill="auto"/>
            <w:noWrap/>
            <w:tcMar>
              <w:top w:w="15" w:type="dxa"/>
              <w:left w:w="15" w:type="dxa"/>
              <w:right w:w="15" w:type="dxa"/>
            </w:tcMar>
            <w:vAlign w:val="bottom"/>
          </w:tcPr>
          <w:p w14:paraId="441DA810">
            <w:pPr>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707E1E6F">
        <w:tblPrEx>
          <w:tblCellMar>
            <w:top w:w="0" w:type="dxa"/>
            <w:left w:w="0" w:type="dxa"/>
            <w:bottom w:w="0" w:type="dxa"/>
            <w:right w:w="0" w:type="dxa"/>
          </w:tblCellMar>
        </w:tblPrEx>
        <w:trPr>
          <w:trHeight w:val="90" w:hRule="atLeast"/>
        </w:trPr>
        <w:tc>
          <w:tcPr>
            <w:tcW w:w="1529"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5A8777">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收     入</w:t>
            </w:r>
          </w:p>
        </w:tc>
        <w:tc>
          <w:tcPr>
            <w:tcW w:w="3471"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CBB09">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支     出</w:t>
            </w:r>
          </w:p>
        </w:tc>
      </w:tr>
      <w:tr w14:paraId="060DED04">
        <w:tblPrEx>
          <w:tblCellMar>
            <w:top w:w="0" w:type="dxa"/>
            <w:left w:w="0" w:type="dxa"/>
            <w:bottom w:w="0" w:type="dxa"/>
            <w:right w:w="0" w:type="dxa"/>
          </w:tblCellMar>
        </w:tblPrEx>
        <w:trPr>
          <w:trHeight w:val="90" w:hRule="atLeast"/>
        </w:trPr>
        <w:tc>
          <w:tcPr>
            <w:tcW w:w="101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89D60">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项目</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C792B">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决算数</w:t>
            </w:r>
          </w:p>
        </w:tc>
        <w:tc>
          <w:tcPr>
            <w:tcW w:w="1083"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B95F5B">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功能分类科目</w:t>
            </w:r>
          </w:p>
        </w:tc>
        <w:tc>
          <w:tcPr>
            <w:tcW w:w="2388" w:type="pct"/>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2E0048">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决算数</w:t>
            </w:r>
          </w:p>
        </w:tc>
      </w:tr>
      <w:tr w14:paraId="7ED9EB0A">
        <w:tblPrEx>
          <w:tblCellMar>
            <w:top w:w="0" w:type="dxa"/>
            <w:left w:w="0" w:type="dxa"/>
            <w:bottom w:w="0" w:type="dxa"/>
            <w:right w:w="0" w:type="dxa"/>
          </w:tblCellMar>
        </w:tblPrEx>
        <w:trPr>
          <w:trHeight w:val="90" w:hRule="atLeast"/>
        </w:trPr>
        <w:tc>
          <w:tcPr>
            <w:tcW w:w="101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6312E5">
            <w:pPr>
              <w:spacing w:line="200" w:lineRule="exact"/>
              <w:jc w:val="center"/>
              <w:rPr>
                <w:rFonts w:hint="default" w:ascii="Times New Roman" w:hAnsi="Times New Roman" w:cs="Times New Roman"/>
                <w:b/>
                <w:color w:val="000000"/>
                <w:sz w:val="18"/>
                <w:szCs w:val="18"/>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CDDC8">
            <w:pPr>
              <w:spacing w:line="200" w:lineRule="exact"/>
              <w:jc w:val="center"/>
              <w:rPr>
                <w:rFonts w:hint="default" w:ascii="Times New Roman" w:hAnsi="Times New Roman" w:cs="Times New Roman"/>
                <w:b/>
                <w:color w:val="000000"/>
                <w:sz w:val="18"/>
                <w:szCs w:val="18"/>
              </w:rPr>
            </w:pPr>
          </w:p>
        </w:tc>
        <w:tc>
          <w:tcPr>
            <w:tcW w:w="108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2451AB">
            <w:pPr>
              <w:spacing w:line="200" w:lineRule="exact"/>
              <w:jc w:val="center"/>
              <w:rPr>
                <w:rFonts w:hint="default" w:ascii="Times New Roman" w:hAnsi="Times New Roman" w:cs="Times New Roman"/>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A99001">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小计</w:t>
            </w:r>
          </w:p>
        </w:tc>
        <w:tc>
          <w:tcPr>
            <w:tcW w:w="5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837FE5">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一般公共预算财政拨款</w:t>
            </w:r>
          </w:p>
        </w:tc>
        <w:tc>
          <w:tcPr>
            <w:tcW w:w="5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36E16">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政府性基金预算财政拨款</w:t>
            </w:r>
          </w:p>
        </w:tc>
        <w:tc>
          <w:tcPr>
            <w:tcW w:w="6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8D7A1">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国有资本经营预算财政拨款</w:t>
            </w:r>
          </w:p>
        </w:tc>
      </w:tr>
      <w:tr w14:paraId="409572FD">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AFC426">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一、一般公共预算财政拨款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37587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4,682.58</w:t>
            </w: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388043">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一、一般公共服务支出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33215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1,731.45</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C86E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1,731.45</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78D61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91245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0BA5D31">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8072AE">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二、政府性基金预算财政拨款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9FF04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25.71</w:t>
            </w: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148154">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二、外交支出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5BF5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2AA2D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2FDBA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D4B70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055F1E6">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60635D">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三、国有资本经营预算财政拨款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BF88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7E7B1B">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三、国防支出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A69C2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CD963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E24F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2B899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A105AC9">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2833C6">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3C94502">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8DEE69">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四、公共安全支出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835A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6.44</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AC2F6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6.44</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2E89D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2AC48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47FEAA7">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5525D1">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AA0AA7B">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20BB82">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五、教育支出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EBBD0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4167F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855E0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EA7E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3556B1B">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5AACB9">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C5BFFE5">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12606F">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六、科学技术支出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CFA3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EFD12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44D22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0BD45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FEAA8AB">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D0EA4">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A7379C5">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A2024">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七、文化旅游体育与传媒支出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C402F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41.97</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6627D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41.97</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D5E76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7B8E2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E3267B3">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444E02">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107DB4D">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AD546C">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八、社会保障和就业支出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1C656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724.52</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F985D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724.52</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2EE73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BFEED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E0DB8DC">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084FA">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1D4C360">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6CF1D3">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九、卫生健康支出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6B23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145.85</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B4CDE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145.85</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E9EB0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7C57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0847B93">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02305F">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2F489">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AF365B">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十、节能环保支出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B8DE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1EA8A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B098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CE215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ABB31AE">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EBED5">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BEDD5C">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FBA355">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十一、城乡社区支出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5FC8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148.15</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56CC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148.15</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FC0C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CAD8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BC167BF">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F7F05">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B1631">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5CED9">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十二、农林水支出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0090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1,687.63</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2762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1,687.63</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0351D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9A542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2A22ED7">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C87AE5">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4F7DE">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4A696">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十三、交通运输支出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2382E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65D98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D0C1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A60D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990CFE6">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CCE0A">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47CD31">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98DB6">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十四、资源勘探工业信息等支出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FFDF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9834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E8E8F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D9FC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0D137CE">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CE6447">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A8822">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3CF530">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十五、商业服务业等支出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77A4A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19649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920D5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BACE0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315C91A">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60672">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103635">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9170BC">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十六、金融支出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0124C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C99EA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F0B51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C1921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1C61FDC">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36104A">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0C5873">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895FD">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十七、援助其他地区支出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37ECB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5DAF4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0A79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5158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AFC7A20">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A8EA3">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2F32B">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BFEF7C">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十八、自然资源海洋气象等支出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5D391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314C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AE8D3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9300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CE06B86">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8E6491">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A64365">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8D138">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十九、住房保障支出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5FD1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150.28</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18C7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150.28</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4231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AF2BD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216A7EF">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4176E">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08BFC9">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83AAFF">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二十、粮油物资储备支出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9A49E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3D83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2E3C8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826F0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82CD5A4">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43E44">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B902E4">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1DD7D5">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二十一、国有资本经营预算支出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7BA68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B03A9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C25C2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CA04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C9382AD">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34EF8">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7E5777">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D6332">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二十二、灾害防治及应急管理支出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B078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46.27</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2166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46.27</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A6D9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FD8D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3E43B50">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F33936">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A90D43">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44971">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二十三、其他支出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57A49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25.71</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EDB8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19B9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25.71</w:t>
            </w: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716C9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302E7E0">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7999C88">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3CDE49">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1DF9F5">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二十四、债务还本支出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ECA6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909AC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F05B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5F8A5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F938AC3">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45BFB2D">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752AE">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2FA69B">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二十五、债务付息支出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B373F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9887A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0A703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FB74B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50399DA">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E939807">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DD2A01">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CA150">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二十六、抗疫特别国债安排的支出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786B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C758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9228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25718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7575838">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23285E">
            <w:pPr>
              <w:spacing w:line="200" w:lineRule="exact"/>
              <w:jc w:val="center"/>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本年收入合计</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73F4A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4,708.29</w:t>
            </w: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5E651E">
            <w:pPr>
              <w:spacing w:line="200" w:lineRule="exact"/>
              <w:jc w:val="center"/>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本年支出合计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9688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4,708.29</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5A371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4,682.58</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65278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25.71</w:t>
            </w: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E2040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821B4F5">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7AAE27">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年初财政拨款结转和结余</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40D1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36802">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年末财政拨款结转和结余</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C077F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2875F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1EE5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201E1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ED6406C">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FEB647">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 xml:space="preserve">  一般公共预算财政拨款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191E2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B7BFBD6">
            <w:pPr>
              <w:spacing w:line="200" w:lineRule="exac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8E7C3FC">
            <w:pPr>
              <w:spacing w:line="200" w:lineRule="exac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9C67134">
            <w:pPr>
              <w:spacing w:line="200" w:lineRule="exac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6AF91A0">
            <w:pPr>
              <w:spacing w:line="200" w:lineRule="exact"/>
              <w:rPr>
                <w:rFonts w:hint="default" w:ascii="Times New Roman" w:hAnsi="Times New Roman" w:cs="Times New Roman"/>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9A27E38">
            <w:pPr>
              <w:spacing w:line="200" w:lineRule="exact"/>
              <w:rPr>
                <w:rFonts w:hint="default" w:ascii="Times New Roman" w:hAnsi="Times New Roman" w:cs="Times New Roman"/>
                <w:color w:val="000000"/>
                <w:sz w:val="18"/>
                <w:szCs w:val="18"/>
              </w:rPr>
            </w:pPr>
          </w:p>
        </w:tc>
      </w:tr>
      <w:tr w14:paraId="043F159A">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84D06D">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 xml:space="preserve">  政府性基金预算财政拨款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999C1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F9395E">
            <w:pPr>
              <w:spacing w:line="200" w:lineRule="exact"/>
              <w:jc w:val="center"/>
              <w:rPr>
                <w:rFonts w:hint="default" w:ascii="Times New Roman" w:hAnsi="Times New Roman" w:cs="Times New Roman"/>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99FD9">
            <w:pPr>
              <w:spacing w:line="200" w:lineRule="exact"/>
              <w:jc w:val="righ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5AFF3A">
            <w:pPr>
              <w:spacing w:line="200" w:lineRule="exact"/>
              <w:jc w:val="righ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13012D">
            <w:pPr>
              <w:spacing w:line="200" w:lineRule="exact"/>
              <w:jc w:val="right"/>
              <w:rPr>
                <w:rFonts w:hint="default" w:ascii="Times New Roman" w:hAnsi="Times New Roman" w:cs="Times New Roman"/>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ED3A5">
            <w:pPr>
              <w:spacing w:line="200" w:lineRule="exact"/>
              <w:jc w:val="right"/>
              <w:rPr>
                <w:rFonts w:hint="default" w:ascii="Times New Roman" w:hAnsi="Times New Roman" w:cs="Times New Roman"/>
                <w:color w:val="000000"/>
                <w:sz w:val="18"/>
                <w:szCs w:val="18"/>
              </w:rPr>
            </w:pPr>
          </w:p>
        </w:tc>
      </w:tr>
      <w:tr w14:paraId="3520C836">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9B8C34">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 xml:space="preserve">  国有资本经营预算财政拨款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A4CB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5A7345">
            <w:pPr>
              <w:spacing w:line="200" w:lineRule="exact"/>
              <w:jc w:val="center"/>
              <w:rPr>
                <w:rFonts w:hint="default" w:ascii="Times New Roman" w:hAnsi="Times New Roman" w:cs="Times New Roman"/>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627184">
            <w:pPr>
              <w:spacing w:line="200" w:lineRule="exact"/>
              <w:jc w:val="righ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5F879D">
            <w:pPr>
              <w:spacing w:line="200" w:lineRule="exact"/>
              <w:jc w:val="righ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71F5B6">
            <w:pPr>
              <w:spacing w:line="200" w:lineRule="exact"/>
              <w:jc w:val="right"/>
              <w:rPr>
                <w:rFonts w:hint="default" w:ascii="Times New Roman" w:hAnsi="Times New Roman" w:cs="Times New Roman"/>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115DE">
            <w:pPr>
              <w:spacing w:line="200" w:lineRule="exact"/>
              <w:jc w:val="right"/>
              <w:rPr>
                <w:rFonts w:hint="default" w:ascii="Times New Roman" w:hAnsi="Times New Roman" w:cs="Times New Roman"/>
                <w:color w:val="000000"/>
                <w:sz w:val="18"/>
                <w:szCs w:val="18"/>
              </w:rPr>
            </w:pPr>
          </w:p>
        </w:tc>
      </w:tr>
      <w:tr w14:paraId="69A0B3FD">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52BE0">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总计</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E4E9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4,708.29</w:t>
            </w: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2C75C3">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总计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9B50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4,708.29</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F9BCD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4,682.58</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35A14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25.71</w:t>
            </w: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55064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bl>
    <w:p w14:paraId="4465FC84">
      <w:pPr>
        <w:spacing w:line="240" w:lineRule="exact"/>
        <w:rPr>
          <w:rFonts w:hint="default" w:ascii="Times New Roman" w:hAnsi="Times New Roman" w:cs="Times New Roman"/>
          <w:sz w:val="20"/>
          <w:szCs w:val="20"/>
        </w:rPr>
      </w:pPr>
      <w:r>
        <w:rPr>
          <w:rFonts w:hint="default" w:ascii="Times New Roman" w:hAnsi="Times New Roman" w:cs="Times New Roman"/>
          <w:sz w:val="20"/>
          <w:szCs w:val="20"/>
        </w:rPr>
        <w:t>备注：1.本表反映部门本年度一般公共预算财政拨款、政府性基金预算财政拨款及国有资本经营预算财政拨款的总收支和年末结转结余情况。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 xml:space="preserve">      2.本套报表金额单位转换时可能存在尾数误差。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r>
        <w:rPr>
          <w:rFonts w:hint="default" w:ascii="Times New Roman" w:hAnsi="Times New Roman" w:cs="Times New Roman"/>
          <w:sz w:val="21"/>
          <w:szCs w:val="21"/>
        </w:rPr>
        <w:br w:type="page"/>
      </w:r>
    </w:p>
    <w:tbl>
      <w:tblPr>
        <w:tblStyle w:val="7"/>
        <w:tblW w:w="5000" w:type="pct"/>
        <w:tblInd w:w="0" w:type="dxa"/>
        <w:tblLayout w:type="autofit"/>
        <w:tblCellMar>
          <w:top w:w="0" w:type="dxa"/>
          <w:left w:w="0" w:type="dxa"/>
          <w:bottom w:w="0" w:type="dxa"/>
          <w:right w:w="0" w:type="dxa"/>
        </w:tblCellMar>
      </w:tblPr>
      <w:tblGrid>
        <w:gridCol w:w="1486"/>
        <w:gridCol w:w="3895"/>
        <w:gridCol w:w="3306"/>
        <w:gridCol w:w="3300"/>
        <w:gridCol w:w="3335"/>
      </w:tblGrid>
      <w:tr w14:paraId="3A9E1351">
        <w:tblPrEx>
          <w:tblCellMar>
            <w:top w:w="0" w:type="dxa"/>
            <w:left w:w="0" w:type="dxa"/>
            <w:bottom w:w="0" w:type="dxa"/>
            <w:right w:w="0" w:type="dxa"/>
          </w:tblCellMar>
        </w:tblPrEx>
        <w:trPr>
          <w:trHeight w:val="510" w:hRule="atLeast"/>
        </w:trPr>
        <w:tc>
          <w:tcPr>
            <w:tcW w:w="5000" w:type="pct"/>
            <w:gridSpan w:val="5"/>
            <w:tcBorders>
              <w:top w:val="nil"/>
              <w:left w:val="nil"/>
              <w:bottom w:val="nil"/>
              <w:right w:val="nil"/>
            </w:tcBorders>
            <w:shd w:val="clear" w:color="auto" w:fill="auto"/>
            <w:noWrap/>
            <w:tcMar>
              <w:top w:w="15" w:type="dxa"/>
              <w:left w:w="15" w:type="dxa"/>
              <w:right w:w="15" w:type="dxa"/>
            </w:tcMar>
            <w:vAlign w:val="bottom"/>
          </w:tcPr>
          <w:p w14:paraId="4388A606">
            <w:pPr>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一般公共预算财政拨款支出决算表</w:t>
            </w:r>
          </w:p>
        </w:tc>
      </w:tr>
      <w:tr w14:paraId="47CD350E">
        <w:tblPrEx>
          <w:tblCellMar>
            <w:top w:w="0" w:type="dxa"/>
            <w:left w:w="0" w:type="dxa"/>
            <w:bottom w:w="0" w:type="dxa"/>
            <w:right w:w="0" w:type="dxa"/>
          </w:tblCellMar>
        </w:tblPrEx>
        <w:trPr>
          <w:trHeight w:val="255" w:hRule="atLeast"/>
        </w:trPr>
        <w:tc>
          <w:tcPr>
            <w:tcW w:w="2835" w:type="pct"/>
            <w:gridSpan w:val="3"/>
            <w:vMerge w:val="restart"/>
            <w:tcBorders>
              <w:top w:val="nil"/>
              <w:left w:val="nil"/>
              <w:right w:val="nil"/>
            </w:tcBorders>
            <w:shd w:val="clear" w:color="auto" w:fill="auto"/>
            <w:noWrap/>
            <w:tcMar>
              <w:top w:w="15" w:type="dxa"/>
              <w:left w:w="15" w:type="dxa"/>
              <w:right w:w="15" w:type="dxa"/>
            </w:tcMar>
            <w:vAlign w:val="bottom"/>
          </w:tcPr>
          <w:p w14:paraId="6EC234D4">
            <w:pPr>
              <w:rPr>
                <w:rFonts w:hint="default" w:ascii="Times New Roman" w:hAnsi="Times New Roman" w:cs="Times New Roman"/>
                <w:color w:val="000000"/>
                <w:sz w:val="20"/>
                <w:szCs w:val="20"/>
              </w:rPr>
            </w:pPr>
            <w:r>
              <w:rPr>
                <w:rFonts w:hint="default" w:ascii="Times New Roman" w:hAnsi="Times New Roman" w:cs="Times New Roman"/>
                <w:sz w:val="20"/>
                <w:szCs w:val="20"/>
              </w:rPr>
              <w:t>部门</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潼南区塘坝镇</w:t>
            </w:r>
          </w:p>
        </w:tc>
        <w:tc>
          <w:tcPr>
            <w:tcW w:w="1077" w:type="pct"/>
            <w:tcBorders>
              <w:top w:val="nil"/>
              <w:left w:val="nil"/>
              <w:bottom w:val="nil"/>
              <w:right w:val="nil"/>
            </w:tcBorders>
            <w:shd w:val="clear" w:color="auto" w:fill="auto"/>
            <w:noWrap/>
            <w:tcMar>
              <w:top w:w="15" w:type="dxa"/>
              <w:left w:w="15" w:type="dxa"/>
              <w:right w:w="15" w:type="dxa"/>
            </w:tcMar>
            <w:vAlign w:val="bottom"/>
          </w:tcPr>
          <w:p w14:paraId="1DEA7F3B">
            <w:pPr>
              <w:rPr>
                <w:rFonts w:hint="default" w:ascii="Times New Roman" w:hAnsi="Times New Roman" w:cs="Times New Roman"/>
                <w:color w:val="000000"/>
                <w:sz w:val="20"/>
                <w:szCs w:val="20"/>
              </w:rPr>
            </w:pPr>
          </w:p>
        </w:tc>
        <w:tc>
          <w:tcPr>
            <w:tcW w:w="1086" w:type="pct"/>
            <w:tcBorders>
              <w:top w:val="nil"/>
              <w:left w:val="nil"/>
              <w:bottom w:val="nil"/>
              <w:right w:val="nil"/>
            </w:tcBorders>
            <w:shd w:val="clear" w:color="auto" w:fill="auto"/>
            <w:noWrap/>
            <w:tcMar>
              <w:top w:w="15" w:type="dxa"/>
              <w:left w:w="15" w:type="dxa"/>
              <w:right w:w="15" w:type="dxa"/>
            </w:tcMar>
            <w:vAlign w:val="bottom"/>
          </w:tcPr>
          <w:p w14:paraId="78049D23">
            <w:pPr>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公开05表</w:t>
            </w:r>
          </w:p>
        </w:tc>
      </w:tr>
      <w:tr w14:paraId="0F232DEA">
        <w:tblPrEx>
          <w:tblCellMar>
            <w:top w:w="0" w:type="dxa"/>
            <w:left w:w="0" w:type="dxa"/>
            <w:bottom w:w="0" w:type="dxa"/>
            <w:right w:w="0" w:type="dxa"/>
          </w:tblCellMar>
        </w:tblPrEx>
        <w:trPr>
          <w:trHeight w:val="285" w:hRule="atLeast"/>
        </w:trPr>
        <w:tc>
          <w:tcPr>
            <w:tcW w:w="2835" w:type="pct"/>
            <w:gridSpan w:val="3"/>
            <w:vMerge w:val="continue"/>
            <w:tcBorders>
              <w:left w:val="nil"/>
              <w:bottom w:val="nil"/>
              <w:right w:val="nil"/>
            </w:tcBorders>
            <w:shd w:val="clear" w:color="auto" w:fill="auto"/>
            <w:noWrap/>
            <w:tcMar>
              <w:top w:w="15" w:type="dxa"/>
              <w:left w:w="15" w:type="dxa"/>
              <w:right w:w="15" w:type="dxa"/>
            </w:tcMar>
            <w:vAlign w:val="bottom"/>
          </w:tcPr>
          <w:p w14:paraId="214A78E0">
            <w:pPr>
              <w:rPr>
                <w:rFonts w:hint="default" w:ascii="Times New Roman" w:hAnsi="Times New Roman" w:cs="Times New Roman"/>
                <w:color w:val="000000"/>
                <w:sz w:val="20"/>
                <w:szCs w:val="20"/>
              </w:rPr>
            </w:pPr>
          </w:p>
        </w:tc>
        <w:tc>
          <w:tcPr>
            <w:tcW w:w="1077" w:type="pct"/>
            <w:tcBorders>
              <w:top w:val="nil"/>
              <w:left w:val="nil"/>
              <w:bottom w:val="nil"/>
              <w:right w:val="nil"/>
            </w:tcBorders>
            <w:shd w:val="clear" w:color="auto" w:fill="auto"/>
            <w:noWrap/>
            <w:tcMar>
              <w:top w:w="15" w:type="dxa"/>
              <w:left w:w="15" w:type="dxa"/>
              <w:right w:w="15" w:type="dxa"/>
            </w:tcMar>
            <w:vAlign w:val="bottom"/>
          </w:tcPr>
          <w:p w14:paraId="0133DD0E">
            <w:pPr>
              <w:rPr>
                <w:rFonts w:hint="default" w:ascii="Times New Roman" w:hAnsi="Times New Roman" w:cs="Times New Roman"/>
                <w:color w:val="000000"/>
                <w:sz w:val="20"/>
                <w:szCs w:val="20"/>
              </w:rPr>
            </w:pPr>
          </w:p>
        </w:tc>
        <w:tc>
          <w:tcPr>
            <w:tcW w:w="1086" w:type="pct"/>
            <w:tcBorders>
              <w:top w:val="nil"/>
              <w:left w:val="nil"/>
              <w:bottom w:val="nil"/>
              <w:right w:val="nil"/>
            </w:tcBorders>
            <w:shd w:val="clear" w:color="auto" w:fill="auto"/>
            <w:noWrap/>
            <w:tcMar>
              <w:top w:w="15" w:type="dxa"/>
              <w:left w:w="15" w:type="dxa"/>
              <w:right w:w="15" w:type="dxa"/>
            </w:tcMar>
            <w:vAlign w:val="bottom"/>
          </w:tcPr>
          <w:p w14:paraId="105248CC">
            <w:pPr>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565AFAD0">
        <w:tblPrEx>
          <w:tblCellMar>
            <w:top w:w="0" w:type="dxa"/>
            <w:left w:w="0" w:type="dxa"/>
            <w:bottom w:w="0" w:type="dxa"/>
            <w:right w:w="0" w:type="dxa"/>
          </w:tblCellMar>
        </w:tblPrEx>
        <w:trPr>
          <w:trHeight w:val="308" w:hRule="atLeast"/>
        </w:trPr>
        <w:tc>
          <w:tcPr>
            <w:tcW w:w="175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5E993">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3243"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353B911">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本年支出</w:t>
            </w:r>
          </w:p>
        </w:tc>
      </w:tr>
      <w:tr w14:paraId="4CE5D656">
        <w:tblPrEx>
          <w:tblCellMar>
            <w:top w:w="0" w:type="dxa"/>
            <w:left w:w="0" w:type="dxa"/>
            <w:bottom w:w="0" w:type="dxa"/>
            <w:right w:w="0" w:type="dxa"/>
          </w:tblCellMar>
        </w:tblPrEx>
        <w:trPr>
          <w:trHeight w:val="326" w:hRule="atLeast"/>
        </w:trPr>
        <w:tc>
          <w:tcPr>
            <w:tcW w:w="485"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BA880">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功能分类科目编码</w:t>
            </w:r>
          </w:p>
        </w:tc>
        <w:tc>
          <w:tcPr>
            <w:tcW w:w="1271"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6F4094">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项目（按“项”级功能分类科目）</w:t>
            </w:r>
          </w:p>
        </w:tc>
        <w:tc>
          <w:tcPr>
            <w:tcW w:w="1078"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3035E7">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1077"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AF54E6">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基本支出</w:t>
            </w:r>
          </w:p>
        </w:tc>
        <w:tc>
          <w:tcPr>
            <w:tcW w:w="1086"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CB6237">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项目支出</w:t>
            </w:r>
          </w:p>
        </w:tc>
      </w:tr>
      <w:tr w14:paraId="7C9F73FB">
        <w:tblPrEx>
          <w:tblCellMar>
            <w:top w:w="0" w:type="dxa"/>
            <w:left w:w="0" w:type="dxa"/>
            <w:bottom w:w="0" w:type="dxa"/>
            <w:right w:w="0" w:type="dxa"/>
          </w:tblCellMar>
        </w:tblPrEx>
        <w:trPr>
          <w:trHeight w:val="326" w:hRule="atLeast"/>
        </w:trPr>
        <w:tc>
          <w:tcPr>
            <w:tcW w:w="485"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C8F0AF">
            <w:pPr>
              <w:jc w:val="center"/>
              <w:rPr>
                <w:rFonts w:hint="default" w:ascii="Times New Roman" w:hAnsi="Times New Roman" w:cs="Times New Roman"/>
                <w:b/>
                <w:color w:val="000000"/>
                <w:sz w:val="20"/>
                <w:szCs w:val="20"/>
              </w:rPr>
            </w:pPr>
          </w:p>
        </w:tc>
        <w:tc>
          <w:tcPr>
            <w:tcW w:w="1271"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BE3B3D">
            <w:pPr>
              <w:jc w:val="center"/>
              <w:rPr>
                <w:rFonts w:hint="default" w:ascii="Times New Roman" w:hAnsi="Times New Roman" w:cs="Times New Roman"/>
                <w:b/>
                <w:color w:val="000000"/>
                <w:sz w:val="20"/>
                <w:szCs w:val="20"/>
              </w:rPr>
            </w:pPr>
          </w:p>
        </w:tc>
        <w:tc>
          <w:tcPr>
            <w:tcW w:w="107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327E0C">
            <w:pPr>
              <w:jc w:val="center"/>
              <w:rPr>
                <w:rFonts w:hint="default" w:ascii="Times New Roman" w:hAnsi="Times New Roman" w:cs="Times New Roman"/>
                <w:b/>
                <w:color w:val="000000"/>
                <w:sz w:val="20"/>
                <w:szCs w:val="20"/>
              </w:rPr>
            </w:pPr>
          </w:p>
        </w:tc>
        <w:tc>
          <w:tcPr>
            <w:tcW w:w="1077"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8FC89C">
            <w:pPr>
              <w:jc w:val="center"/>
              <w:rPr>
                <w:rFonts w:hint="default" w:ascii="Times New Roman" w:hAnsi="Times New Roman" w:cs="Times New Roman"/>
                <w:b/>
                <w:color w:val="000000"/>
                <w:sz w:val="20"/>
                <w:szCs w:val="20"/>
              </w:rPr>
            </w:pPr>
          </w:p>
        </w:tc>
        <w:tc>
          <w:tcPr>
            <w:tcW w:w="1086"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D2420C">
            <w:pPr>
              <w:jc w:val="center"/>
              <w:rPr>
                <w:rFonts w:hint="default" w:ascii="Times New Roman" w:hAnsi="Times New Roman" w:cs="Times New Roman"/>
                <w:b/>
                <w:color w:val="000000"/>
                <w:sz w:val="20"/>
                <w:szCs w:val="20"/>
              </w:rPr>
            </w:pPr>
          </w:p>
        </w:tc>
      </w:tr>
      <w:tr w14:paraId="23929A78">
        <w:trPr>
          <w:trHeight w:val="615" w:hRule="atLeast"/>
        </w:trPr>
        <w:tc>
          <w:tcPr>
            <w:tcW w:w="485"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F15D1">
            <w:pPr>
              <w:jc w:val="center"/>
              <w:rPr>
                <w:rFonts w:hint="default" w:ascii="Times New Roman" w:hAnsi="Times New Roman" w:cs="Times New Roman"/>
                <w:b/>
                <w:color w:val="000000"/>
                <w:sz w:val="20"/>
                <w:szCs w:val="20"/>
              </w:rPr>
            </w:pPr>
          </w:p>
        </w:tc>
        <w:tc>
          <w:tcPr>
            <w:tcW w:w="1271"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69DC2F">
            <w:pPr>
              <w:jc w:val="center"/>
              <w:rPr>
                <w:rFonts w:hint="default" w:ascii="Times New Roman" w:hAnsi="Times New Roman" w:cs="Times New Roman"/>
                <w:b/>
                <w:color w:val="000000"/>
                <w:sz w:val="20"/>
                <w:szCs w:val="20"/>
              </w:rPr>
            </w:pPr>
          </w:p>
        </w:tc>
        <w:tc>
          <w:tcPr>
            <w:tcW w:w="107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62788E">
            <w:pPr>
              <w:jc w:val="center"/>
              <w:rPr>
                <w:rFonts w:hint="default" w:ascii="Times New Roman" w:hAnsi="Times New Roman" w:cs="Times New Roman"/>
                <w:b/>
                <w:color w:val="000000"/>
                <w:sz w:val="20"/>
                <w:szCs w:val="20"/>
              </w:rPr>
            </w:pPr>
          </w:p>
        </w:tc>
        <w:tc>
          <w:tcPr>
            <w:tcW w:w="1077"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AF1D7A">
            <w:pPr>
              <w:jc w:val="center"/>
              <w:rPr>
                <w:rFonts w:hint="default" w:ascii="Times New Roman" w:hAnsi="Times New Roman" w:cs="Times New Roman"/>
                <w:b/>
                <w:color w:val="000000"/>
                <w:sz w:val="20"/>
                <w:szCs w:val="20"/>
              </w:rPr>
            </w:pPr>
          </w:p>
        </w:tc>
        <w:tc>
          <w:tcPr>
            <w:tcW w:w="1086"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7525EF">
            <w:pPr>
              <w:jc w:val="center"/>
              <w:rPr>
                <w:rFonts w:hint="default" w:ascii="Times New Roman" w:hAnsi="Times New Roman" w:cs="Times New Roman"/>
                <w:b/>
                <w:color w:val="000000"/>
                <w:sz w:val="20"/>
                <w:szCs w:val="20"/>
              </w:rPr>
            </w:pPr>
          </w:p>
        </w:tc>
      </w:tr>
      <w:tr w14:paraId="10FC8DEA">
        <w:tblPrEx>
          <w:tblCellMar>
            <w:top w:w="0" w:type="dxa"/>
            <w:left w:w="0" w:type="dxa"/>
            <w:bottom w:w="0" w:type="dxa"/>
            <w:right w:w="0" w:type="dxa"/>
          </w:tblCellMar>
        </w:tblPrEx>
        <w:trPr>
          <w:trHeight w:val="308" w:hRule="atLeast"/>
        </w:trPr>
        <w:tc>
          <w:tcPr>
            <w:tcW w:w="1756"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C9FF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1A064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4,682.58</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716A5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3,057.44</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C9580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1,625.14</w:t>
            </w:r>
            <w:r>
              <w:rPr>
                <w:rFonts w:hint="default" w:ascii="Times New Roman" w:hAnsi="Times New Roman" w:cs="Times New Roman"/>
                <w:b/>
                <w:color w:val="000000"/>
                <w:sz w:val="20"/>
                <w:u w:color="auto"/>
              </w:rPr>
              <w:t xml:space="preserve"> </w:t>
            </w:r>
          </w:p>
        </w:tc>
      </w:tr>
      <w:tr w14:paraId="698F0A88">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B6BDD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136B6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一般公共服务支出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7A3A2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1,731.45</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A955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1,093.02</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A6F72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638.44</w:t>
            </w:r>
            <w:r>
              <w:rPr>
                <w:rFonts w:hint="default" w:ascii="Times New Roman" w:hAnsi="Times New Roman" w:cs="Times New Roman"/>
                <w:b/>
                <w:color w:val="000000"/>
                <w:sz w:val="20"/>
                <w:u w:color="auto"/>
              </w:rPr>
              <w:t xml:space="preserve"> </w:t>
            </w:r>
          </w:p>
        </w:tc>
      </w:tr>
      <w:tr w14:paraId="004CBFDC">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C96C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64B63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人大事务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6D36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35.79</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6B5EF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35.79</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A1D49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8179761">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77F8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2010101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86D78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行政运行</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7446B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35.79</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ADCD4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35.79</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5E1F5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DA623E8">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0375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20103</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A3967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政府办公厅（室）及相关机构事务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A975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1,285.63</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6FE80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898.01</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380CB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387.62</w:t>
            </w:r>
            <w:r>
              <w:rPr>
                <w:rFonts w:hint="default" w:ascii="Times New Roman" w:hAnsi="Times New Roman" w:cs="Times New Roman"/>
                <w:b/>
                <w:color w:val="000000"/>
                <w:sz w:val="20"/>
                <w:u w:color="auto"/>
              </w:rPr>
              <w:t xml:space="preserve"> </w:t>
            </w:r>
          </w:p>
        </w:tc>
      </w:tr>
      <w:tr w14:paraId="46393282">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FDD1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2010301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237E8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行政运行</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5F58CE">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898.01</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5D56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898.01</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C4F75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10F42B2">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188A4E">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2010399</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1D16B">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其他政府办公厅（室）及相关机构事务支出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6915B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387.62</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673EE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94B6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387.62</w:t>
            </w:r>
            <w:r>
              <w:rPr>
                <w:rFonts w:hint="default" w:ascii="Times New Roman" w:hAnsi="Times New Roman" w:cs="Times New Roman"/>
                <w:color w:val="000000"/>
                <w:sz w:val="20"/>
                <w:u w:color="auto"/>
              </w:rPr>
              <w:t xml:space="preserve"> </w:t>
            </w:r>
          </w:p>
        </w:tc>
      </w:tr>
      <w:tr w14:paraId="65D16F25">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E1165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20113</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DD58B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商贸事务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7E9C3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249.47</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304C2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2676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249.47</w:t>
            </w:r>
            <w:r>
              <w:rPr>
                <w:rFonts w:hint="default" w:ascii="Times New Roman" w:hAnsi="Times New Roman" w:cs="Times New Roman"/>
                <w:b/>
                <w:color w:val="000000"/>
                <w:sz w:val="20"/>
                <w:u w:color="auto"/>
              </w:rPr>
              <w:t xml:space="preserve"> </w:t>
            </w:r>
          </w:p>
        </w:tc>
      </w:tr>
      <w:tr w14:paraId="2125D4EF">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738D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2011308</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A2CA6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招商引资</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B14F2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249.47</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E5FFE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6CA40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249.47</w:t>
            </w:r>
            <w:r>
              <w:rPr>
                <w:rFonts w:hint="default" w:ascii="Times New Roman" w:hAnsi="Times New Roman" w:cs="Times New Roman"/>
                <w:color w:val="000000"/>
                <w:sz w:val="20"/>
                <w:u w:color="auto"/>
              </w:rPr>
              <w:t xml:space="preserve"> </w:t>
            </w:r>
          </w:p>
        </w:tc>
      </w:tr>
      <w:tr w14:paraId="3225F77B">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236FA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20131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4CE33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党委办公厅（室）及相关机构事务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D182E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159.22</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29A74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159.22</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C4B8F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D21C7B1">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1579A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2013101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309E94">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行政运行</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98659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159.22</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BEBFE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159.22</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8ECAD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32991A27">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F08C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20132</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CF56B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组织事务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6F0B2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1.35</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B14C9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DF33F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1.35</w:t>
            </w:r>
            <w:r>
              <w:rPr>
                <w:rFonts w:hint="default" w:ascii="Times New Roman" w:hAnsi="Times New Roman" w:cs="Times New Roman"/>
                <w:b/>
                <w:color w:val="000000"/>
                <w:sz w:val="20"/>
                <w:u w:color="auto"/>
              </w:rPr>
              <w:t xml:space="preserve"> </w:t>
            </w:r>
          </w:p>
        </w:tc>
      </w:tr>
      <w:tr w14:paraId="394CED96">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C84B5E">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2013202</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D7ED1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一般行政管理事务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129B6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1.35</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6D427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129A6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1.35</w:t>
            </w:r>
            <w:r>
              <w:rPr>
                <w:rFonts w:hint="default" w:ascii="Times New Roman" w:hAnsi="Times New Roman" w:cs="Times New Roman"/>
                <w:color w:val="000000"/>
                <w:sz w:val="20"/>
                <w:u w:color="auto"/>
              </w:rPr>
              <w:t xml:space="preserve"> </w:t>
            </w:r>
          </w:p>
        </w:tc>
      </w:tr>
      <w:tr w14:paraId="6C272639">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A992D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204</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1E46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公共安全支出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CB363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6.44</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A830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3E039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6.44</w:t>
            </w:r>
            <w:r>
              <w:rPr>
                <w:rFonts w:hint="default" w:ascii="Times New Roman" w:hAnsi="Times New Roman" w:cs="Times New Roman"/>
                <w:b/>
                <w:color w:val="000000"/>
                <w:sz w:val="20"/>
                <w:u w:color="auto"/>
              </w:rPr>
              <w:t xml:space="preserve"> </w:t>
            </w:r>
          </w:p>
        </w:tc>
      </w:tr>
      <w:tr w14:paraId="6BEDB6E6">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AD795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20402</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619272">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公安</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3D48E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1E9ED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2E2EE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r>
      <w:tr w14:paraId="2202C51B">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2C291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2040299</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AD41B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其他公安支出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0E566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84635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5D29C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r>
      <w:tr w14:paraId="33A45683">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2FABD2">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20406</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5FBA0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司法</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9039E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1.40</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30507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EE0F4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1.40</w:t>
            </w:r>
            <w:r>
              <w:rPr>
                <w:rFonts w:hint="default" w:ascii="Times New Roman" w:hAnsi="Times New Roman" w:cs="Times New Roman"/>
                <w:b/>
                <w:color w:val="000000"/>
                <w:sz w:val="20"/>
                <w:u w:color="auto"/>
              </w:rPr>
              <w:t xml:space="preserve"> </w:t>
            </w:r>
          </w:p>
        </w:tc>
      </w:tr>
      <w:tr w14:paraId="531B0442">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0B4FB">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2040612</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D7446">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法治建设</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7C68E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1.40</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548D7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DA839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1.40</w:t>
            </w:r>
            <w:r>
              <w:rPr>
                <w:rFonts w:hint="default" w:ascii="Times New Roman" w:hAnsi="Times New Roman" w:cs="Times New Roman"/>
                <w:color w:val="000000"/>
                <w:sz w:val="20"/>
                <w:u w:color="auto"/>
              </w:rPr>
              <w:t xml:space="preserve"> </w:t>
            </w:r>
          </w:p>
        </w:tc>
      </w:tr>
      <w:tr w14:paraId="758EB9D8">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A4613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207</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EABDB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文化旅游体育与传媒支出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C88C3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D21E2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6404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E40E116">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9B44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20701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289BC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文化和旅游</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BDC4C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EB2D0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41.97</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196C1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20C0508F">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998F4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2070109</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EC2B1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群众文化</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53E2C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41.97</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00914E">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41.97</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B634D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7D8C73E">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F69A1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A6759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社会保障和就业支出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48D0B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724.52</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FD349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678.89</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38BAA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45.63</w:t>
            </w:r>
            <w:r>
              <w:rPr>
                <w:rFonts w:hint="default" w:ascii="Times New Roman" w:hAnsi="Times New Roman" w:cs="Times New Roman"/>
                <w:b/>
                <w:color w:val="000000"/>
                <w:sz w:val="20"/>
                <w:u w:color="auto"/>
              </w:rPr>
              <w:t xml:space="preserve"> </w:t>
            </w:r>
          </w:p>
        </w:tc>
      </w:tr>
      <w:tr w14:paraId="070B01A8">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62780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5DC7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人力资源和社会保障管理事务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CA6C6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77.49</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F4BB6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77.49</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B570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1BE2C0B">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F55D0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2080104</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E5B7F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综合业务管理</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68F1F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77.49</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E9F46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77.49</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E5AC5E">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BEC7F32">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208F2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20802</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E08EC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民政管理事务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D8F54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6.48</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C84A8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DCFA4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6.48</w:t>
            </w:r>
            <w:r>
              <w:rPr>
                <w:rFonts w:hint="default" w:ascii="Times New Roman" w:hAnsi="Times New Roman" w:cs="Times New Roman"/>
                <w:b/>
                <w:color w:val="000000"/>
                <w:sz w:val="20"/>
                <w:u w:color="auto"/>
              </w:rPr>
              <w:t xml:space="preserve"> </w:t>
            </w:r>
          </w:p>
        </w:tc>
      </w:tr>
      <w:tr w14:paraId="361CBFB3">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4C5F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2080299</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84013E">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其他民政管理事务支出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53A7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6.48</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8809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F8C41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6.48</w:t>
            </w:r>
            <w:r>
              <w:rPr>
                <w:rFonts w:hint="default" w:ascii="Times New Roman" w:hAnsi="Times New Roman" w:cs="Times New Roman"/>
                <w:color w:val="000000"/>
                <w:sz w:val="20"/>
                <w:u w:color="auto"/>
              </w:rPr>
              <w:t xml:space="preserve"> </w:t>
            </w:r>
          </w:p>
        </w:tc>
      </w:tr>
      <w:tr w14:paraId="7201EE24">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D1078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20805</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CADC4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行政事业单位养老支出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A9C5C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541.51</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48B9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541.51</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6A21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37BC1E4">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9F065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2080505</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FA31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机关事业单位基本养老保险缴费支出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428D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221.04</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1241B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221.04</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6CE4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D275859">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A9962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2080506</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CF109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机关事业单位职业年金缴费支出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ACCD2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117.54</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4D915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117.54</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5979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4E353F62">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B115D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2080599</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C18F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其他行政事业单位养老支出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E6752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202.93</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FD77B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202.93</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506C0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12E3C85F">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D890C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20807</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70838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就业补助</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0BBAA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606F7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22031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5.04</w:t>
            </w:r>
            <w:r>
              <w:rPr>
                <w:rFonts w:hint="default" w:ascii="Times New Roman" w:hAnsi="Times New Roman" w:cs="Times New Roman"/>
                <w:b/>
                <w:color w:val="000000"/>
                <w:sz w:val="20"/>
                <w:u w:color="auto"/>
              </w:rPr>
              <w:t xml:space="preserve"> </w:t>
            </w:r>
          </w:p>
        </w:tc>
      </w:tr>
      <w:tr w14:paraId="3DEEBBCF">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4D016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2080799</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4AC5B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其他就业补助支出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8417D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0B496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7AB6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5.04</w:t>
            </w:r>
            <w:r>
              <w:rPr>
                <w:rFonts w:hint="default" w:ascii="Times New Roman" w:hAnsi="Times New Roman" w:cs="Times New Roman"/>
                <w:color w:val="000000"/>
                <w:sz w:val="20"/>
                <w:u w:color="auto"/>
              </w:rPr>
              <w:t xml:space="preserve"> </w:t>
            </w:r>
          </w:p>
        </w:tc>
      </w:tr>
      <w:tr w14:paraId="1940BED4">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96AC1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20808</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C80C0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抚恤</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13509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9.20</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9144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FE33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9.20</w:t>
            </w:r>
            <w:r>
              <w:rPr>
                <w:rFonts w:hint="default" w:ascii="Times New Roman" w:hAnsi="Times New Roman" w:cs="Times New Roman"/>
                <w:b/>
                <w:color w:val="000000"/>
                <w:sz w:val="20"/>
                <w:u w:color="auto"/>
              </w:rPr>
              <w:t xml:space="preserve"> </w:t>
            </w:r>
          </w:p>
        </w:tc>
      </w:tr>
      <w:tr w14:paraId="7CD2D81D">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E69BE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2080899</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85119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其他优抚支出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B101B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9.20</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14A7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228EF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9.20</w:t>
            </w:r>
            <w:r>
              <w:rPr>
                <w:rFonts w:hint="default" w:ascii="Times New Roman" w:hAnsi="Times New Roman" w:cs="Times New Roman"/>
                <w:color w:val="000000"/>
                <w:sz w:val="20"/>
                <w:u w:color="auto"/>
              </w:rPr>
              <w:t xml:space="preserve"> </w:t>
            </w:r>
          </w:p>
        </w:tc>
      </w:tr>
      <w:tr w14:paraId="36695513">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A5549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20811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B2A43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残疾人事业</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B20AA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5.35</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23E1F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9DFF7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5.35</w:t>
            </w:r>
            <w:r>
              <w:rPr>
                <w:rFonts w:hint="default" w:ascii="Times New Roman" w:hAnsi="Times New Roman" w:cs="Times New Roman"/>
                <w:b/>
                <w:color w:val="000000"/>
                <w:sz w:val="20"/>
                <w:u w:color="auto"/>
              </w:rPr>
              <w:t xml:space="preserve"> </w:t>
            </w:r>
          </w:p>
        </w:tc>
      </w:tr>
      <w:tr w14:paraId="1F452D4B">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577FF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2081199</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2862A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其他残疾人事业支出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2740A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5.35</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33D6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1B6FC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5.35</w:t>
            </w:r>
            <w:r>
              <w:rPr>
                <w:rFonts w:hint="default" w:ascii="Times New Roman" w:hAnsi="Times New Roman" w:cs="Times New Roman"/>
                <w:color w:val="000000"/>
                <w:sz w:val="20"/>
                <w:u w:color="auto"/>
              </w:rPr>
              <w:t xml:space="preserve"> </w:t>
            </w:r>
          </w:p>
        </w:tc>
      </w:tr>
      <w:tr w14:paraId="30DC78DB">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44BB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20820</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7398C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临时救助</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6F4B0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13.67</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325D0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115B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13.67</w:t>
            </w:r>
            <w:r>
              <w:rPr>
                <w:rFonts w:hint="default" w:ascii="Times New Roman" w:hAnsi="Times New Roman" w:cs="Times New Roman"/>
                <w:b/>
                <w:color w:val="000000"/>
                <w:sz w:val="20"/>
                <w:u w:color="auto"/>
              </w:rPr>
              <w:t xml:space="preserve"> </w:t>
            </w:r>
          </w:p>
        </w:tc>
      </w:tr>
      <w:tr w14:paraId="005851CA">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114C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2082001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A1C2DB">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临时救助支出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F1576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13.67</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27B52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3E2B1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13.67</w:t>
            </w:r>
            <w:r>
              <w:rPr>
                <w:rFonts w:hint="default" w:ascii="Times New Roman" w:hAnsi="Times New Roman" w:cs="Times New Roman"/>
                <w:color w:val="000000"/>
                <w:sz w:val="20"/>
                <w:u w:color="auto"/>
              </w:rPr>
              <w:t xml:space="preserve"> </w:t>
            </w:r>
          </w:p>
        </w:tc>
      </w:tr>
      <w:tr w14:paraId="5EAA2E2A">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D30E0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20825</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9B07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其他生活救助</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2B577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5.90</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3E6C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8371A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5.90</w:t>
            </w:r>
            <w:r>
              <w:rPr>
                <w:rFonts w:hint="default" w:ascii="Times New Roman" w:hAnsi="Times New Roman" w:cs="Times New Roman"/>
                <w:b/>
                <w:color w:val="000000"/>
                <w:sz w:val="20"/>
                <w:u w:color="auto"/>
              </w:rPr>
              <w:t xml:space="preserve"> </w:t>
            </w:r>
          </w:p>
        </w:tc>
      </w:tr>
      <w:tr w14:paraId="1557B7D4">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A70C2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2082502</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0C29D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其他农村生活救助</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4008F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5.90</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5E48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49AC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5.90</w:t>
            </w:r>
            <w:r>
              <w:rPr>
                <w:rFonts w:hint="default" w:ascii="Times New Roman" w:hAnsi="Times New Roman" w:cs="Times New Roman"/>
                <w:color w:val="000000"/>
                <w:sz w:val="20"/>
                <w:u w:color="auto"/>
              </w:rPr>
              <w:t xml:space="preserve"> </w:t>
            </w:r>
          </w:p>
        </w:tc>
      </w:tr>
      <w:tr w14:paraId="324D9989">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E843B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20828</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E6EE2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退役军人管理事务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31545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59.89</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9D7F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59.89</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01702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900C506">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9E455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2082850</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EDC90B">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事业运行</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D91AE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59.89</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0ACD6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59.89</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97319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5492797">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040B0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B4E3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卫生健康支出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3E642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E5FD1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A9AA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14364EFC">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D5B8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21011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99B06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行政事业单位医疗</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E55ED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67FF8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145.85</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F8C5D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5F0B010">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3520A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AE951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行政单位医疗</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AF1F8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67.07</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4DD77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67.07</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96328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58ABD7C1">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7B8C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2101102</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843B8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事业单位医疗</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D10B2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46.14</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F19FB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46.14</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B7B89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3DB16858">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7D09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2101103</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95150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公务员医疗补助</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774B4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8.08</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E5E60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8.08</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FA957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538B029">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3816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2101199</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F43C5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其他行政事业单位医疗支出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19349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24.56</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BA9B9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24.56</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C2C97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4010772">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36BB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212</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9DA90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城乡社区支出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1ABC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E140E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0251C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5BCF358D">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938C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21202</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28C22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城乡社区规划与管理</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0A02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5FDFE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148.15</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5A505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35592E4">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E15F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2120201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7A81D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城乡社区规划与管理</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B3E3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148.15</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FB4FB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148.15</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7385D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053B156D">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1C287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213</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154C8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农林水支出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064D6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1,687.63</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03A75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799.27</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1E66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888.37</w:t>
            </w:r>
            <w:r>
              <w:rPr>
                <w:rFonts w:hint="default" w:ascii="Times New Roman" w:hAnsi="Times New Roman" w:cs="Times New Roman"/>
                <w:b/>
                <w:color w:val="000000"/>
                <w:sz w:val="20"/>
                <w:u w:color="auto"/>
              </w:rPr>
              <w:t xml:space="preserve"> </w:t>
            </w:r>
          </w:p>
        </w:tc>
      </w:tr>
      <w:tr w14:paraId="0A55057E">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BA05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21301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5953D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农业农村</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F91B1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799.27</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A35FA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799.27</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5E9A7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5B7F2EF">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FC66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2130104</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81ADB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事业运行</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1FD49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666.13</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6E26C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666.13</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D4A36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9E0FA23">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0469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2130110</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84571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执法监管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1C92C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133.14</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C79A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133.14</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374A8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B02BF53">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9E07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21307</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C21DC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农村综合改革</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B4EE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888.37</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56252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6D1C0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888.37</w:t>
            </w:r>
            <w:r>
              <w:rPr>
                <w:rFonts w:hint="default" w:ascii="Times New Roman" w:hAnsi="Times New Roman" w:cs="Times New Roman"/>
                <w:b/>
                <w:color w:val="000000"/>
                <w:sz w:val="20"/>
                <w:u w:color="auto"/>
              </w:rPr>
              <w:t xml:space="preserve"> </w:t>
            </w:r>
          </w:p>
        </w:tc>
      </w:tr>
      <w:tr w14:paraId="36545F1E">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39A82">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2130701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2DEC6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对村级公益事业建设的补助</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1CDB6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145.37</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A5BFD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E0558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145.37</w:t>
            </w:r>
            <w:r>
              <w:rPr>
                <w:rFonts w:hint="default" w:ascii="Times New Roman" w:hAnsi="Times New Roman" w:cs="Times New Roman"/>
                <w:color w:val="000000"/>
                <w:sz w:val="20"/>
                <w:u w:color="auto"/>
              </w:rPr>
              <w:t xml:space="preserve"> </w:t>
            </w:r>
          </w:p>
        </w:tc>
      </w:tr>
      <w:tr w14:paraId="1A5DAD9B">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72914">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2130705</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9D8B1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对村民委员会和村党支部的补助</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1E859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743.00</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9E23E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5CB04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743.00</w:t>
            </w:r>
            <w:r>
              <w:rPr>
                <w:rFonts w:hint="default" w:ascii="Times New Roman" w:hAnsi="Times New Roman" w:cs="Times New Roman"/>
                <w:color w:val="000000"/>
                <w:sz w:val="20"/>
                <w:u w:color="auto"/>
              </w:rPr>
              <w:t xml:space="preserve"> </w:t>
            </w:r>
          </w:p>
        </w:tc>
      </w:tr>
      <w:tr w14:paraId="2B7D3536">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203D42">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C3A83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住房保障支出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49F9A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7BCEA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01060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9E5223C">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2E164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22102</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8FAA6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住房改革支出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BF784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086ED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150.28</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2E4D5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A8AFE21">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32D5DB">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2210201</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A925B">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住房公积金</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EDF3B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150.28</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CFB30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150.28</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EEFB1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558E803D">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20CE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224</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DA1E2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灾害防治及应急管理支出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D8DD7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5BDD4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47F3A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r>
      <w:tr w14:paraId="0318B712">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E391D1">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22402</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9712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消防救援事务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44961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BFAC2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70E2A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46.27</w:t>
            </w:r>
            <w:r>
              <w:rPr>
                <w:rFonts w:hint="default" w:ascii="Times New Roman" w:hAnsi="Times New Roman" w:cs="Times New Roman"/>
                <w:b/>
                <w:color w:val="000000"/>
                <w:sz w:val="20"/>
                <w:u w:color="auto"/>
              </w:rPr>
              <w:t xml:space="preserve"> </w:t>
            </w:r>
          </w:p>
        </w:tc>
      </w:tr>
      <w:tr w14:paraId="535D945C">
        <w:tblPrEx>
          <w:tblCellMar>
            <w:top w:w="0" w:type="dxa"/>
            <w:left w:w="0" w:type="dxa"/>
            <w:bottom w:w="0" w:type="dxa"/>
            <w:right w:w="0" w:type="dxa"/>
          </w:tblCellMar>
        </w:tblPrEx>
        <w:trPr>
          <w:trHeight w:val="308" w:hRule="atLeast"/>
        </w:trPr>
        <w:tc>
          <w:tcPr>
            <w:tcW w:w="485"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63AAAE">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2240299</w:t>
            </w:r>
          </w:p>
        </w:tc>
        <w:tc>
          <w:tcPr>
            <w:tcW w:w="127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15F1A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其他消防救援事务支出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4876EE">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46.27</w:t>
            </w:r>
            <w:r>
              <w:rPr>
                <w:rFonts w:hint="default" w:ascii="Times New Roman" w:hAnsi="Times New Roman" w:cs="Times New Roman"/>
                <w:color w:val="000000"/>
                <w:sz w:val="20"/>
                <w:u w:color="auto"/>
              </w:rPr>
              <w:t xml:space="preserve"> </w:t>
            </w:r>
          </w:p>
        </w:tc>
        <w:tc>
          <w:tcPr>
            <w:tcW w:w="107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FC493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108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16959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46.27</w:t>
            </w:r>
            <w:r>
              <w:rPr>
                <w:rFonts w:hint="default" w:ascii="Times New Roman" w:hAnsi="Times New Roman" w:cs="Times New Roman"/>
                <w:color w:val="000000"/>
                <w:sz w:val="20"/>
                <w:u w:color="auto"/>
              </w:rPr>
              <w:t xml:space="preserve"> </w:t>
            </w:r>
          </w:p>
        </w:tc>
      </w:tr>
    </w:tbl>
    <w:p w14:paraId="60EFFC7E">
      <w:pPr>
        <w:rPr>
          <w:rFonts w:hint="default" w:ascii="Times New Roman" w:hAnsi="Times New Roman" w:cs="Times New Roman"/>
          <w:sz w:val="21"/>
          <w:szCs w:val="21"/>
        </w:rPr>
      </w:pPr>
      <w:r>
        <w:rPr>
          <w:rFonts w:hint="default" w:ascii="Times New Roman" w:hAnsi="Times New Roman" w:cs="Times New Roman"/>
          <w:sz w:val="20"/>
          <w:szCs w:val="20"/>
        </w:rPr>
        <w:t>备注：1.本表反映部门本年度一般公共预算财政拨款支出情况。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 xml:space="preserve">      2.本套报表金额单位转换时可能存在尾数误差。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p>
    <w:p w14:paraId="6384B4C2">
      <w:pPr>
        <w:ind w:firstLine="630" w:firstLineChars="300"/>
        <w:rPr>
          <w:rFonts w:hint="default" w:ascii="Times New Roman" w:hAnsi="Times New Roman" w:cs="Times New Roman"/>
          <w:sz w:val="21"/>
          <w:szCs w:val="21"/>
        </w:rPr>
      </w:pPr>
      <w:r>
        <w:rPr>
          <w:rFonts w:hint="default" w:ascii="Times New Roman" w:hAnsi="Times New Roman" w:cs="Times New Roman"/>
          <w:sz w:val="21"/>
          <w:szCs w:val="21"/>
        </w:rPr>
        <w:br w:type="page"/>
      </w:r>
    </w:p>
    <w:tbl>
      <w:tblPr>
        <w:tblStyle w:val="7"/>
        <w:tblW w:w="4994" w:type="pct"/>
        <w:tblInd w:w="0" w:type="dxa"/>
        <w:tblLayout w:type="fixed"/>
        <w:tblCellMar>
          <w:top w:w="0" w:type="dxa"/>
          <w:left w:w="0" w:type="dxa"/>
          <w:bottom w:w="0" w:type="dxa"/>
          <w:right w:w="0" w:type="dxa"/>
        </w:tblCellMar>
      </w:tblPr>
      <w:tblGrid>
        <w:gridCol w:w="603"/>
        <w:gridCol w:w="2730"/>
        <w:gridCol w:w="1371"/>
        <w:gridCol w:w="833"/>
        <w:gridCol w:w="1916"/>
        <w:gridCol w:w="1650"/>
        <w:gridCol w:w="805"/>
        <w:gridCol w:w="3514"/>
        <w:gridCol w:w="1882"/>
      </w:tblGrid>
      <w:tr w14:paraId="112CBE98">
        <w:tblPrEx>
          <w:tblCellMar>
            <w:top w:w="0" w:type="dxa"/>
            <w:left w:w="0" w:type="dxa"/>
            <w:bottom w:w="0" w:type="dxa"/>
            <w:right w:w="0" w:type="dxa"/>
          </w:tblCellMar>
        </w:tblPrEx>
        <w:trPr>
          <w:trHeight w:val="90" w:hRule="atLeast"/>
        </w:trPr>
        <w:tc>
          <w:tcPr>
            <w:tcW w:w="5000" w:type="pct"/>
            <w:gridSpan w:val="9"/>
            <w:tcBorders>
              <w:top w:val="nil"/>
              <w:left w:val="nil"/>
              <w:bottom w:val="nil"/>
              <w:right w:val="nil"/>
            </w:tcBorders>
            <w:shd w:val="clear" w:color="auto" w:fill="auto"/>
            <w:noWrap/>
            <w:tcMar>
              <w:top w:w="15" w:type="dxa"/>
              <w:left w:w="15" w:type="dxa"/>
              <w:right w:w="15" w:type="dxa"/>
            </w:tcMar>
            <w:vAlign w:val="bottom"/>
          </w:tcPr>
          <w:p w14:paraId="2C6BC043">
            <w:pPr>
              <w:spacing w:line="440" w:lineRule="exact"/>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一般公共预算财政拨款基本支出决算表</w:t>
            </w:r>
          </w:p>
        </w:tc>
      </w:tr>
      <w:tr w14:paraId="20A3E93B">
        <w:tblPrEx>
          <w:tblCellMar>
            <w:top w:w="0" w:type="dxa"/>
            <w:left w:w="0" w:type="dxa"/>
            <w:bottom w:w="0" w:type="dxa"/>
            <w:right w:w="0" w:type="dxa"/>
          </w:tblCellMar>
        </w:tblPrEx>
        <w:trPr>
          <w:trHeight w:val="90" w:hRule="atLeast"/>
        </w:trPr>
        <w:tc>
          <w:tcPr>
            <w:tcW w:w="2435" w:type="pct"/>
            <w:gridSpan w:val="5"/>
            <w:vMerge w:val="restart"/>
            <w:tcBorders>
              <w:top w:val="nil"/>
              <w:left w:val="nil"/>
              <w:right w:val="nil"/>
            </w:tcBorders>
            <w:shd w:val="clear" w:color="auto" w:fill="auto"/>
            <w:noWrap/>
            <w:tcMar>
              <w:top w:w="15" w:type="dxa"/>
              <w:left w:w="15" w:type="dxa"/>
              <w:right w:w="15" w:type="dxa"/>
            </w:tcMar>
            <w:vAlign w:val="bottom"/>
          </w:tcPr>
          <w:p w14:paraId="5BF0EA1E">
            <w:pPr>
              <w:spacing w:line="200" w:lineRule="exact"/>
              <w:rPr>
                <w:rFonts w:hint="default" w:ascii="Times New Roman" w:hAnsi="Times New Roman" w:cs="Times New Roman"/>
                <w:color w:val="000000"/>
                <w:sz w:val="18"/>
                <w:szCs w:val="18"/>
              </w:rPr>
            </w:pPr>
            <w:r>
              <w:rPr>
                <w:rFonts w:hint="default" w:ascii="Times New Roman" w:hAnsi="Times New Roman" w:cs="Times New Roman"/>
                <w:sz w:val="20"/>
                <w:szCs w:val="20"/>
              </w:rPr>
              <w:t>部门</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潼南区塘坝镇</w:t>
            </w:r>
          </w:p>
        </w:tc>
        <w:tc>
          <w:tcPr>
            <w:tcW w:w="539" w:type="pct"/>
            <w:tcBorders>
              <w:top w:val="nil"/>
              <w:left w:val="nil"/>
              <w:bottom w:val="nil"/>
              <w:right w:val="nil"/>
            </w:tcBorders>
            <w:shd w:val="clear" w:color="auto" w:fill="auto"/>
            <w:noWrap/>
            <w:tcMar>
              <w:top w:w="15" w:type="dxa"/>
              <w:left w:w="15" w:type="dxa"/>
              <w:right w:w="15" w:type="dxa"/>
            </w:tcMar>
            <w:vAlign w:val="bottom"/>
          </w:tcPr>
          <w:p w14:paraId="269531A0">
            <w:pPr>
              <w:spacing w:line="200" w:lineRule="exact"/>
              <w:rPr>
                <w:rFonts w:hint="default" w:ascii="Times New Roman" w:hAnsi="Times New Roman" w:cs="Times New Roman"/>
                <w:color w:val="000000"/>
                <w:sz w:val="18"/>
                <w:szCs w:val="18"/>
              </w:rPr>
            </w:pPr>
          </w:p>
        </w:tc>
        <w:tc>
          <w:tcPr>
            <w:tcW w:w="263" w:type="pct"/>
            <w:tcBorders>
              <w:top w:val="nil"/>
              <w:left w:val="nil"/>
              <w:bottom w:val="nil"/>
              <w:right w:val="nil"/>
            </w:tcBorders>
            <w:shd w:val="clear" w:color="auto" w:fill="auto"/>
            <w:noWrap/>
            <w:tcMar>
              <w:top w:w="15" w:type="dxa"/>
              <w:left w:w="15" w:type="dxa"/>
              <w:right w:w="15" w:type="dxa"/>
            </w:tcMar>
            <w:vAlign w:val="bottom"/>
          </w:tcPr>
          <w:p w14:paraId="1C6D8503">
            <w:pPr>
              <w:spacing w:line="200" w:lineRule="exact"/>
              <w:rPr>
                <w:rFonts w:hint="default" w:ascii="Times New Roman" w:hAnsi="Times New Roman" w:cs="Times New Roman"/>
                <w:color w:val="000000"/>
                <w:sz w:val="18"/>
                <w:szCs w:val="18"/>
              </w:rPr>
            </w:pPr>
          </w:p>
        </w:tc>
        <w:tc>
          <w:tcPr>
            <w:tcW w:w="1148" w:type="pct"/>
            <w:tcBorders>
              <w:top w:val="nil"/>
              <w:left w:val="nil"/>
              <w:bottom w:val="nil"/>
              <w:right w:val="nil"/>
            </w:tcBorders>
            <w:shd w:val="clear" w:color="auto" w:fill="auto"/>
            <w:noWrap/>
            <w:tcMar>
              <w:top w:w="15" w:type="dxa"/>
              <w:left w:w="15" w:type="dxa"/>
              <w:right w:w="15" w:type="dxa"/>
            </w:tcMar>
            <w:vAlign w:val="bottom"/>
          </w:tcPr>
          <w:p w14:paraId="4D627CF6">
            <w:pPr>
              <w:spacing w:line="200" w:lineRule="exact"/>
              <w:rPr>
                <w:rFonts w:hint="default" w:ascii="Times New Roman" w:hAnsi="Times New Roman" w:cs="Times New Roman"/>
                <w:color w:val="000000"/>
                <w:sz w:val="18"/>
                <w:szCs w:val="18"/>
              </w:rPr>
            </w:pPr>
          </w:p>
        </w:tc>
        <w:tc>
          <w:tcPr>
            <w:tcW w:w="615" w:type="pct"/>
            <w:tcBorders>
              <w:top w:val="nil"/>
              <w:left w:val="nil"/>
              <w:bottom w:val="nil"/>
              <w:right w:val="nil"/>
            </w:tcBorders>
            <w:shd w:val="clear" w:color="auto" w:fill="auto"/>
            <w:noWrap/>
            <w:tcMar>
              <w:top w:w="15" w:type="dxa"/>
              <w:left w:w="15" w:type="dxa"/>
              <w:right w:w="15" w:type="dxa"/>
            </w:tcMar>
            <w:vAlign w:val="bottom"/>
          </w:tcPr>
          <w:p w14:paraId="40B4D4D3">
            <w:pPr>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公开06表</w:t>
            </w:r>
          </w:p>
        </w:tc>
      </w:tr>
      <w:tr w14:paraId="2AF3FA7F">
        <w:tblPrEx>
          <w:tblCellMar>
            <w:top w:w="0" w:type="dxa"/>
            <w:left w:w="0" w:type="dxa"/>
            <w:bottom w:w="0" w:type="dxa"/>
            <w:right w:w="0" w:type="dxa"/>
          </w:tblCellMar>
        </w:tblPrEx>
        <w:trPr>
          <w:trHeight w:val="90" w:hRule="atLeast"/>
        </w:trPr>
        <w:tc>
          <w:tcPr>
            <w:tcW w:w="2435" w:type="pct"/>
            <w:gridSpan w:val="5"/>
            <w:vMerge w:val="continue"/>
            <w:tcBorders>
              <w:left w:val="nil"/>
              <w:bottom w:val="nil"/>
              <w:right w:val="nil"/>
            </w:tcBorders>
            <w:shd w:val="clear" w:color="auto" w:fill="auto"/>
            <w:noWrap/>
            <w:tcMar>
              <w:top w:w="15" w:type="dxa"/>
              <w:left w:w="15" w:type="dxa"/>
              <w:right w:w="15" w:type="dxa"/>
            </w:tcMar>
            <w:vAlign w:val="bottom"/>
          </w:tcPr>
          <w:p w14:paraId="5E9EDF64">
            <w:pPr>
              <w:spacing w:line="200" w:lineRule="exact"/>
              <w:rPr>
                <w:rFonts w:hint="default" w:ascii="Times New Roman" w:hAnsi="Times New Roman" w:cs="Times New Roman"/>
                <w:color w:val="000000"/>
                <w:sz w:val="18"/>
                <w:szCs w:val="18"/>
              </w:rPr>
            </w:pPr>
          </w:p>
        </w:tc>
        <w:tc>
          <w:tcPr>
            <w:tcW w:w="539" w:type="pct"/>
            <w:tcBorders>
              <w:top w:val="nil"/>
              <w:left w:val="nil"/>
              <w:bottom w:val="nil"/>
              <w:right w:val="nil"/>
            </w:tcBorders>
            <w:shd w:val="clear" w:color="auto" w:fill="auto"/>
            <w:noWrap/>
            <w:tcMar>
              <w:top w:w="15" w:type="dxa"/>
              <w:left w:w="15" w:type="dxa"/>
              <w:right w:w="15" w:type="dxa"/>
            </w:tcMar>
            <w:vAlign w:val="bottom"/>
          </w:tcPr>
          <w:p w14:paraId="145BAC7D">
            <w:pPr>
              <w:spacing w:line="200" w:lineRule="exact"/>
              <w:rPr>
                <w:rFonts w:hint="default" w:ascii="Times New Roman" w:hAnsi="Times New Roman" w:cs="Times New Roman"/>
                <w:color w:val="000000"/>
                <w:sz w:val="18"/>
                <w:szCs w:val="18"/>
              </w:rPr>
            </w:pPr>
          </w:p>
        </w:tc>
        <w:tc>
          <w:tcPr>
            <w:tcW w:w="263" w:type="pct"/>
            <w:tcBorders>
              <w:top w:val="nil"/>
              <w:left w:val="nil"/>
              <w:bottom w:val="nil"/>
              <w:right w:val="nil"/>
            </w:tcBorders>
            <w:shd w:val="clear" w:color="auto" w:fill="auto"/>
            <w:noWrap/>
            <w:tcMar>
              <w:top w:w="15" w:type="dxa"/>
              <w:left w:w="15" w:type="dxa"/>
              <w:right w:w="15" w:type="dxa"/>
            </w:tcMar>
            <w:vAlign w:val="bottom"/>
          </w:tcPr>
          <w:p w14:paraId="66698152">
            <w:pPr>
              <w:spacing w:line="200" w:lineRule="exact"/>
              <w:rPr>
                <w:rFonts w:hint="default" w:ascii="Times New Roman" w:hAnsi="Times New Roman" w:cs="Times New Roman"/>
                <w:color w:val="000000"/>
                <w:sz w:val="18"/>
                <w:szCs w:val="18"/>
              </w:rPr>
            </w:pPr>
          </w:p>
        </w:tc>
        <w:tc>
          <w:tcPr>
            <w:tcW w:w="1148" w:type="pct"/>
            <w:tcBorders>
              <w:top w:val="nil"/>
              <w:left w:val="nil"/>
              <w:bottom w:val="nil"/>
              <w:right w:val="nil"/>
            </w:tcBorders>
            <w:shd w:val="clear" w:color="auto" w:fill="auto"/>
            <w:noWrap/>
            <w:tcMar>
              <w:top w:w="15" w:type="dxa"/>
              <w:left w:w="15" w:type="dxa"/>
              <w:right w:w="15" w:type="dxa"/>
            </w:tcMar>
            <w:vAlign w:val="bottom"/>
          </w:tcPr>
          <w:p w14:paraId="5C3C9AFB">
            <w:pPr>
              <w:spacing w:line="200" w:lineRule="exact"/>
              <w:rPr>
                <w:rFonts w:hint="default" w:ascii="Times New Roman" w:hAnsi="Times New Roman" w:cs="Times New Roman"/>
                <w:color w:val="000000"/>
                <w:sz w:val="18"/>
                <w:szCs w:val="18"/>
              </w:rPr>
            </w:pPr>
          </w:p>
        </w:tc>
        <w:tc>
          <w:tcPr>
            <w:tcW w:w="615" w:type="pct"/>
            <w:tcBorders>
              <w:top w:val="nil"/>
              <w:left w:val="nil"/>
              <w:bottom w:val="nil"/>
              <w:right w:val="nil"/>
            </w:tcBorders>
            <w:shd w:val="clear" w:color="auto" w:fill="auto"/>
            <w:noWrap/>
            <w:tcMar>
              <w:top w:w="15" w:type="dxa"/>
              <w:left w:w="15" w:type="dxa"/>
              <w:right w:w="15" w:type="dxa"/>
            </w:tcMar>
            <w:vAlign w:val="bottom"/>
          </w:tcPr>
          <w:p w14:paraId="56189C9A">
            <w:pPr>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6B32F171">
        <w:tblPrEx>
          <w:tblCellMar>
            <w:top w:w="0" w:type="dxa"/>
            <w:left w:w="0" w:type="dxa"/>
            <w:bottom w:w="0" w:type="dxa"/>
            <w:right w:w="0" w:type="dxa"/>
          </w:tblCellMar>
        </w:tblPrEx>
        <w:trPr>
          <w:trHeight w:val="90" w:hRule="atLeast"/>
        </w:trPr>
        <w:tc>
          <w:tcPr>
            <w:tcW w:w="1537"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8784E">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人员经费</w:t>
            </w:r>
          </w:p>
        </w:tc>
        <w:tc>
          <w:tcPr>
            <w:tcW w:w="3463" w:type="pct"/>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906809E">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公用经费</w:t>
            </w:r>
          </w:p>
        </w:tc>
      </w:tr>
      <w:tr w14:paraId="57120328">
        <w:tblPrEx>
          <w:tblCellMar>
            <w:top w:w="0" w:type="dxa"/>
            <w:left w:w="0" w:type="dxa"/>
            <w:bottom w:w="0" w:type="dxa"/>
            <w:right w:w="0" w:type="dxa"/>
          </w:tblCellMar>
        </w:tblPrEx>
        <w:trPr>
          <w:trHeight w:val="312" w:hRule="atLeast"/>
        </w:trPr>
        <w:tc>
          <w:tcPr>
            <w:tcW w:w="197"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26DA2">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经济分类科目编码</w:t>
            </w:r>
          </w:p>
        </w:tc>
        <w:tc>
          <w:tcPr>
            <w:tcW w:w="892"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D4809F">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经济分类科目（按“款”级功能分类科目）</w:t>
            </w:r>
          </w:p>
        </w:tc>
        <w:tc>
          <w:tcPr>
            <w:tcW w:w="448"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3EA898">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金额</w:t>
            </w:r>
          </w:p>
        </w:tc>
        <w:tc>
          <w:tcPr>
            <w:tcW w:w="272"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66B77">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经济分类科目编码</w:t>
            </w:r>
          </w:p>
        </w:tc>
        <w:tc>
          <w:tcPr>
            <w:tcW w:w="626"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87ABB1">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经济分类科目（按“款”级功能分类科目）</w:t>
            </w:r>
          </w:p>
        </w:tc>
        <w:tc>
          <w:tcPr>
            <w:tcW w:w="539"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DE77B6">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金额</w:t>
            </w:r>
          </w:p>
        </w:tc>
        <w:tc>
          <w:tcPr>
            <w:tcW w:w="263"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9AF78">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经济分类科目编码</w:t>
            </w:r>
          </w:p>
        </w:tc>
        <w:tc>
          <w:tcPr>
            <w:tcW w:w="1148"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32C96F">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经济分类科目（按“款”级功能分类科目）</w:t>
            </w:r>
          </w:p>
        </w:tc>
        <w:tc>
          <w:tcPr>
            <w:tcW w:w="615"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362617">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金额</w:t>
            </w:r>
          </w:p>
        </w:tc>
      </w:tr>
      <w:tr w14:paraId="4D40D366">
        <w:tblPrEx>
          <w:tblCellMar>
            <w:top w:w="0" w:type="dxa"/>
            <w:left w:w="0" w:type="dxa"/>
            <w:bottom w:w="0" w:type="dxa"/>
            <w:right w:w="0" w:type="dxa"/>
          </w:tblCellMar>
        </w:tblPrEx>
        <w:trPr>
          <w:trHeight w:val="312" w:hRule="atLeast"/>
        </w:trPr>
        <w:tc>
          <w:tcPr>
            <w:tcW w:w="197"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AC398">
            <w:pPr>
              <w:spacing w:line="200" w:lineRule="exact"/>
              <w:jc w:val="center"/>
              <w:rPr>
                <w:rFonts w:hint="default" w:ascii="Times New Roman" w:hAnsi="Times New Roman" w:cs="Times New Roman"/>
                <w:b/>
                <w:color w:val="000000"/>
                <w:sz w:val="18"/>
                <w:szCs w:val="18"/>
              </w:rPr>
            </w:pPr>
          </w:p>
        </w:tc>
        <w:tc>
          <w:tcPr>
            <w:tcW w:w="89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EC20F1">
            <w:pPr>
              <w:spacing w:line="200" w:lineRule="exact"/>
              <w:jc w:val="center"/>
              <w:rPr>
                <w:rFonts w:hint="default" w:ascii="Times New Roman" w:hAnsi="Times New Roman" w:cs="Times New Roman"/>
                <w:b/>
                <w:color w:val="000000"/>
                <w:sz w:val="18"/>
                <w:szCs w:val="18"/>
              </w:rPr>
            </w:pPr>
          </w:p>
        </w:tc>
        <w:tc>
          <w:tcPr>
            <w:tcW w:w="44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C7448B">
            <w:pPr>
              <w:spacing w:line="200" w:lineRule="exact"/>
              <w:jc w:val="center"/>
              <w:rPr>
                <w:rFonts w:hint="default" w:ascii="Times New Roman" w:hAnsi="Times New Roman" w:cs="Times New Roman"/>
                <w:b/>
                <w:color w:val="000000"/>
                <w:sz w:val="18"/>
                <w:szCs w:val="18"/>
              </w:rPr>
            </w:pPr>
          </w:p>
        </w:tc>
        <w:tc>
          <w:tcPr>
            <w:tcW w:w="272"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B85BA">
            <w:pPr>
              <w:spacing w:line="200" w:lineRule="exact"/>
              <w:jc w:val="center"/>
              <w:rPr>
                <w:rFonts w:hint="default" w:ascii="Times New Roman" w:hAnsi="Times New Roman" w:cs="Times New Roman"/>
                <w:b/>
                <w:color w:val="000000"/>
                <w:sz w:val="18"/>
                <w:szCs w:val="18"/>
              </w:rPr>
            </w:pPr>
          </w:p>
        </w:tc>
        <w:tc>
          <w:tcPr>
            <w:tcW w:w="626"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23BEB2">
            <w:pPr>
              <w:spacing w:line="200" w:lineRule="exact"/>
              <w:jc w:val="center"/>
              <w:rPr>
                <w:rFonts w:hint="default" w:ascii="Times New Roman" w:hAnsi="Times New Roman" w:cs="Times New Roman"/>
                <w:b/>
                <w:color w:val="000000"/>
                <w:sz w:val="18"/>
                <w:szCs w:val="18"/>
              </w:rPr>
            </w:pPr>
          </w:p>
        </w:tc>
        <w:tc>
          <w:tcPr>
            <w:tcW w:w="539"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96B4D0">
            <w:pPr>
              <w:spacing w:line="200" w:lineRule="exact"/>
              <w:jc w:val="center"/>
              <w:rPr>
                <w:rFonts w:hint="default" w:ascii="Times New Roman" w:hAnsi="Times New Roman" w:cs="Times New Roman"/>
                <w:b/>
                <w:color w:val="000000"/>
                <w:sz w:val="18"/>
                <w:szCs w:val="18"/>
              </w:rPr>
            </w:pPr>
          </w:p>
        </w:tc>
        <w:tc>
          <w:tcPr>
            <w:tcW w:w="263"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FCD23">
            <w:pPr>
              <w:spacing w:line="200" w:lineRule="exact"/>
              <w:jc w:val="center"/>
              <w:rPr>
                <w:rFonts w:hint="default" w:ascii="Times New Roman" w:hAnsi="Times New Roman" w:cs="Times New Roman"/>
                <w:b/>
                <w:color w:val="000000"/>
                <w:sz w:val="18"/>
                <w:szCs w:val="18"/>
              </w:rPr>
            </w:pPr>
          </w:p>
        </w:tc>
        <w:tc>
          <w:tcPr>
            <w:tcW w:w="114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1C6237">
            <w:pPr>
              <w:spacing w:line="200" w:lineRule="exact"/>
              <w:jc w:val="center"/>
              <w:rPr>
                <w:rFonts w:hint="default" w:ascii="Times New Roman" w:hAnsi="Times New Roman" w:cs="Times New Roman"/>
                <w:b/>
                <w:color w:val="000000"/>
                <w:sz w:val="18"/>
                <w:szCs w:val="18"/>
              </w:rPr>
            </w:pPr>
          </w:p>
        </w:tc>
        <w:tc>
          <w:tcPr>
            <w:tcW w:w="61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D5CFC2">
            <w:pPr>
              <w:spacing w:line="200" w:lineRule="exact"/>
              <w:jc w:val="center"/>
              <w:rPr>
                <w:rFonts w:hint="default" w:ascii="Times New Roman" w:hAnsi="Times New Roman" w:cs="Times New Roman"/>
                <w:b/>
                <w:color w:val="000000"/>
                <w:sz w:val="18"/>
                <w:szCs w:val="18"/>
              </w:rPr>
            </w:pPr>
          </w:p>
        </w:tc>
      </w:tr>
      <w:tr w14:paraId="3DEB391A">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38DA2">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301</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D914B">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工资福利支出</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D467D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2,454.52</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30D29">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302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08BD91">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商品和服务支出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EAE37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365.98</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D5510E">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310</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E546A">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资本性支出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36D53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4.96</w:t>
            </w:r>
            <w:r>
              <w:rPr>
                <w:rFonts w:hint="default" w:ascii="Times New Roman" w:hAnsi="Times New Roman" w:cs="Times New Roman"/>
                <w:color w:val="000000"/>
                <w:sz w:val="18"/>
                <w:u w:color="auto"/>
              </w:rPr>
              <w:t xml:space="preserve"> </w:t>
            </w:r>
          </w:p>
        </w:tc>
      </w:tr>
      <w:tr w14:paraId="45A25535">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BDACD1">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30101</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7A860">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基本工资</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97C6D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535.34</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32CDAA">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62E038">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办公费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1FF39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74.12</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F95CCE">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31001</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593C8">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房屋建筑物购建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E8CE2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837516D">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BC3141">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30102</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91FEC4">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津贴补贴</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A886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232.63</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5217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E6AFA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印刷费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295C3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12.43</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0D1DB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31002</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01A6A">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办公设备购置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16BC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4.96</w:t>
            </w:r>
            <w:r>
              <w:rPr>
                <w:rFonts w:hint="default" w:ascii="Times New Roman" w:hAnsi="Times New Roman" w:cs="Times New Roman"/>
                <w:color w:val="000000"/>
                <w:sz w:val="18"/>
                <w:u w:color="auto"/>
              </w:rPr>
              <w:t xml:space="preserve"> </w:t>
            </w:r>
          </w:p>
        </w:tc>
      </w:tr>
      <w:tr w14:paraId="150D8078">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6A2ACE">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30103</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935EEE">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奖金</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2FFD7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395.37</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77FF2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450B68">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咨询费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69446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D4854">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31003</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5AC10A">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专用设备购置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BB768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05BEB9C">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E2FD8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30106</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F1266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伙食补助费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D9E3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9D4D39">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51CE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手续费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621B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B4568C">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31005</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5217C3">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基础设施建设</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0424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95DA8B1">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86E92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30107</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3862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绩效工资</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2B067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603.55</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878F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31B87">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水费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1FD7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4.29</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7AABE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31006</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BB594">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大型修缮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71F60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E504FCC">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DDFD00">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30108</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7AF63">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机关事业单位基本养老保险缴费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8D07F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221.04</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7B155A">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BD9BE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电费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0B71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21.33</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C4FD0">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31007</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9314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信息网络及软件购置更新</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54EF1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CFA6978">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00EF3">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30109</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A294E">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职业年金缴费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946C7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117.54</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0074C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E8967">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邮电费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07F4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27.96</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C378F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31008</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21BCA1">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物资储备</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A80CD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CE00D54">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144F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30110</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9FB0E">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职工基本医疗保险缴费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D4CD4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96.29</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E77A5C">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EBB6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取暖费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22989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3234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31009</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BD4021">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土地补偿</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E5E7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5E31B74">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ED19E4">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30111</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F2079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公务员医疗补助缴费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58A0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E954A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0049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物业管理费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5420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50712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31010</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47EB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安置补助</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3D34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0AD4C19">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A343AC">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30112</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8F70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其他社会保障缴费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8C35E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24.81</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D278A8">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0BC2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差旅费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9434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1.47</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EF9A54">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31011</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0653E3">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地上附着物和青苗补偿</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42CB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315F6C9">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52DD29">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30113</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F1F48">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住房公积金</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5FCAA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210.71</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B9223C">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1E8907">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因公出国（境）费用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76CE9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FB624">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31012</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71953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拆迁补偿</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E78F2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44232FC">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EB689">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30114</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F2765E">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医疗费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F93E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17.25</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351F7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1844FA">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维修（护）费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A968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0.85</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B3389">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31013</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F750A">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公务用车购置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B94A0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FA372DC">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2A2FD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30199</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D3C8C">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其他工资福利支出</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DDA1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5E41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A83A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租赁费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90284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1.20</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9A1352">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31019</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1A5DAC">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其他交通工具购置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2DDE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A2BA928">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50DD81">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303</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395EDA">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对个人和家庭的补助</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84F83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231.97</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8F514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F429A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会议费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0D691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1.62</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C6CCC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31021</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46B394">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文物和陈列品购置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8403A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BF8B834">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FFF4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30301</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B5585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离休费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854F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EC64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F3FCC2">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培训费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7FF1A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3.60</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36317A">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31022</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84D69C">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无形资产购置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EFB75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4EEBFBA">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91BBA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30302</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734371">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退休费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5B129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A410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3E0BC1">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公务接待费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4EDFB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29.15</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D4119">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31099</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3DE269">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其他资本性支出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0F591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920DB67">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7F2767">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30303</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E8381">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退职（役）费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70F6B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EA34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38447">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专用材料费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66911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7BDC7">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312</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B59A0B">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对企业补助</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E8B55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B816730">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807942">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30304</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5C736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抚恤金</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8BD47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6DD8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28A4FC">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被装购置费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9208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6CC6A4">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31201</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478A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资本金注入</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957C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A6FAAA7">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340E9">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30305</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6BFF8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生活补助</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29E6D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211.85</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AD0C8C">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3F5C14">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专用燃料费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11866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512537">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31203</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4653E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政府投资基金股权投资</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FC08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37E257E">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52EDF1">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30306</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9AF41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救济费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A305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88A0A">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28DF1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劳务费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182F6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7.44</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13CF5E">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31204</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3CE467">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费用补贴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E2A50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2172526">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3674C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30307</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EE86C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医疗费补助</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7D8D9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15.39</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25033">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8C86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委托业务费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B2365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35.01</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37D930">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31205</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25B5D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利息补贴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79DBB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B4F4276">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DE4D3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30308</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2FE5C7">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助学金</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80C1D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16E2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DCB7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工会经费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3F1AE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41.08</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9EE51">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31206</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D833EF">
            <w:pPr>
              <w:spacing w:line="200" w:lineRule="exact"/>
              <w:ind w:firstLine="180" w:firstLineChars="100"/>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其他资本性补助</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E407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223A76C">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76F07">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30309</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27B9C2">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奖励金</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AB89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4.73</w:t>
            </w: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4A58B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679F84">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福利费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FCC5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6.98</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2133E0">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31299</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34FA07">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其他对企业补助</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AB501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15B7307">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475973">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30310</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AB772">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个人农业生产补贴</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BF64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27CDE">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30231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90087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公务用车运行维护费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5793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8.83</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8458C">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399</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4714D">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其他支出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BAF21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513B5D0">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BE94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30311</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848D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代缴社会保险费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70ABD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6D133">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30239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0BC30">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其他交通费用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F6DA4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44.40</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41BAF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39907</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A688C">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国家赔偿费用支出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2A6C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F8B3E24">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04FD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30399</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5EEE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其他对个人和家庭的补助</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40E0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69680A">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30240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12D217">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税金及附加费用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5E36A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21A290">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39908</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29E4E6">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对民间非营利组织和群众性自治组织补贴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E4A16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23B2FA1">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4E604">
            <w:pPr>
              <w:spacing w:line="200" w:lineRule="exact"/>
              <w:rPr>
                <w:rFonts w:hint="default" w:ascii="Times New Roman" w:hAnsi="Times New Roman" w:cs="Times New Roman"/>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69FE5F">
            <w:pPr>
              <w:spacing w:line="200" w:lineRule="exact"/>
              <w:rPr>
                <w:rFonts w:hint="default" w:ascii="Times New Roman" w:hAnsi="Times New Roman" w:cs="Times New Roman"/>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6081CBD">
            <w:pPr>
              <w:spacing w:line="200" w:lineRule="exact"/>
              <w:rPr>
                <w:rFonts w:hint="default" w:ascii="Times New Roman" w:hAnsi="Times New Roman" w:cs="Times New Roman"/>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6A91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30299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DFC9FE">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其他商品和服务支出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4C89F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44.22</w:t>
            </w: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FB737F">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39909</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9547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经常性赠与</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C9CA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94E1602">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9F205">
            <w:pPr>
              <w:spacing w:line="200" w:lineRule="exact"/>
              <w:rPr>
                <w:rFonts w:hint="default" w:ascii="Times New Roman" w:hAnsi="Times New Roman" w:cs="Times New Roman"/>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FCABB9">
            <w:pPr>
              <w:spacing w:line="200" w:lineRule="exact"/>
              <w:rPr>
                <w:rFonts w:hint="default" w:ascii="Times New Roman" w:hAnsi="Times New Roman" w:cs="Times New Roman"/>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4C75BD8">
            <w:pPr>
              <w:spacing w:line="200" w:lineRule="exact"/>
              <w:rPr>
                <w:rFonts w:hint="default" w:ascii="Times New Roman" w:hAnsi="Times New Roman" w:cs="Times New Roman"/>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630565">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307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005C94">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债务利息及费用支出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41DCA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72C6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39910</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EBB7DB">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资本性赠与</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4163D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0051683">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1A19E0">
            <w:pPr>
              <w:spacing w:line="200" w:lineRule="exact"/>
              <w:rPr>
                <w:rFonts w:hint="default" w:ascii="Times New Roman" w:hAnsi="Times New Roman" w:cs="Times New Roman"/>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9C5398">
            <w:pPr>
              <w:spacing w:line="200" w:lineRule="exact"/>
              <w:rPr>
                <w:rFonts w:hint="default" w:ascii="Times New Roman" w:hAnsi="Times New Roman" w:cs="Times New Roman"/>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0D59619">
            <w:pPr>
              <w:spacing w:line="200" w:lineRule="exact"/>
              <w:rPr>
                <w:rFonts w:hint="default" w:ascii="Times New Roman" w:hAnsi="Times New Roman" w:cs="Times New Roman"/>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520440">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30701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40329">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国内债务付息</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55867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6C1C05">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39999</w:t>
            </w: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D64CBE">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其他支出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BB979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C62CA0B">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29ACB">
            <w:pPr>
              <w:spacing w:line="200" w:lineRule="exact"/>
              <w:rPr>
                <w:rFonts w:hint="default" w:ascii="Times New Roman" w:hAnsi="Times New Roman" w:cs="Times New Roman"/>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4C6878">
            <w:pPr>
              <w:spacing w:line="200" w:lineRule="exact"/>
              <w:rPr>
                <w:rFonts w:hint="default" w:ascii="Times New Roman" w:hAnsi="Times New Roman" w:cs="Times New Roman"/>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DC5A6A9">
            <w:pPr>
              <w:spacing w:line="200" w:lineRule="exact"/>
              <w:rPr>
                <w:rFonts w:hint="default" w:ascii="Times New Roman" w:hAnsi="Times New Roman" w:cs="Times New Roman"/>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1ACEF0">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30702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300BA">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国外债务付息</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8AF8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D87C34">
            <w:pPr>
              <w:spacing w:line="200" w:lineRule="exact"/>
              <w:rPr>
                <w:rFonts w:hint="default" w:ascii="Times New Roman" w:hAnsi="Times New Roman" w:cs="Times New Roman"/>
                <w:color w:val="000000"/>
                <w:sz w:val="18"/>
                <w:szCs w:val="18"/>
              </w:rPr>
            </w:pP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A62466">
            <w:pPr>
              <w:spacing w:line="200" w:lineRule="exact"/>
              <w:rPr>
                <w:rFonts w:hint="default" w:ascii="Times New Roman" w:hAnsi="Times New Roman" w:cs="Times New Roman"/>
                <w:color w:val="000000"/>
                <w:sz w:val="18"/>
                <w:szCs w:val="18"/>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C41ED">
            <w:pPr>
              <w:spacing w:line="200" w:lineRule="exact"/>
              <w:jc w:val="right"/>
              <w:rPr>
                <w:rFonts w:hint="default" w:ascii="Times New Roman" w:hAnsi="Times New Roman" w:cs="Times New Roman"/>
                <w:color w:val="000000"/>
                <w:sz w:val="18"/>
                <w:szCs w:val="18"/>
              </w:rPr>
            </w:pPr>
          </w:p>
        </w:tc>
      </w:tr>
      <w:tr w14:paraId="0EF8D8F4">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4A1843">
            <w:pPr>
              <w:spacing w:line="200" w:lineRule="exact"/>
              <w:rPr>
                <w:rFonts w:hint="default" w:ascii="Times New Roman" w:hAnsi="Times New Roman" w:cs="Times New Roman"/>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27A98">
            <w:pPr>
              <w:spacing w:line="200" w:lineRule="exact"/>
              <w:rPr>
                <w:rFonts w:hint="default" w:ascii="Times New Roman" w:hAnsi="Times New Roman" w:cs="Times New Roman"/>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BBEB454">
            <w:pPr>
              <w:spacing w:line="200" w:lineRule="exact"/>
              <w:rPr>
                <w:rFonts w:hint="default" w:ascii="Times New Roman" w:hAnsi="Times New Roman" w:cs="Times New Roman"/>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CBEB7D">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30703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77792C">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国内债务发行费用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DDC0C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618D97">
            <w:pPr>
              <w:spacing w:line="200" w:lineRule="exact"/>
              <w:rPr>
                <w:rFonts w:hint="default" w:ascii="Times New Roman" w:hAnsi="Times New Roman" w:cs="Times New Roman"/>
                <w:color w:val="000000"/>
                <w:sz w:val="18"/>
                <w:szCs w:val="18"/>
              </w:rPr>
            </w:pP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AB355B">
            <w:pPr>
              <w:spacing w:line="200" w:lineRule="exact"/>
              <w:rPr>
                <w:rFonts w:hint="default" w:ascii="Times New Roman" w:hAnsi="Times New Roman" w:cs="Times New Roman"/>
                <w:color w:val="000000"/>
                <w:sz w:val="18"/>
                <w:szCs w:val="18"/>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2ED92A">
            <w:pPr>
              <w:spacing w:line="200" w:lineRule="exact"/>
              <w:jc w:val="right"/>
              <w:rPr>
                <w:rFonts w:hint="default" w:ascii="Times New Roman" w:hAnsi="Times New Roman" w:cs="Times New Roman"/>
                <w:color w:val="000000"/>
                <w:sz w:val="18"/>
                <w:szCs w:val="18"/>
              </w:rPr>
            </w:pPr>
          </w:p>
        </w:tc>
      </w:tr>
      <w:tr w14:paraId="7B2476E4">
        <w:tblPrEx>
          <w:tblCellMar>
            <w:top w:w="0" w:type="dxa"/>
            <w:left w:w="0" w:type="dxa"/>
            <w:bottom w:w="0" w:type="dxa"/>
            <w:right w:w="0" w:type="dxa"/>
          </w:tblCellMar>
        </w:tblPrEx>
        <w:trPr>
          <w:trHeight w:val="15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3105C6">
            <w:pPr>
              <w:spacing w:line="200" w:lineRule="exact"/>
              <w:rPr>
                <w:rFonts w:hint="default" w:ascii="Times New Roman" w:hAnsi="Times New Roman" w:cs="Times New Roman"/>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725D36">
            <w:pPr>
              <w:spacing w:line="200" w:lineRule="exact"/>
              <w:rPr>
                <w:rFonts w:hint="default" w:ascii="Times New Roman" w:hAnsi="Times New Roman" w:cs="Times New Roman"/>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9186CD8">
            <w:pPr>
              <w:spacing w:line="200" w:lineRule="exact"/>
              <w:rPr>
                <w:rFonts w:hint="default" w:ascii="Times New Roman" w:hAnsi="Times New Roman" w:cs="Times New Roman"/>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BBC110">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30704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25956A">
            <w:pPr>
              <w:spacing w:line="200"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国外债务发行费用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DC4AA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012086">
            <w:pPr>
              <w:spacing w:line="200" w:lineRule="exact"/>
              <w:rPr>
                <w:rFonts w:hint="default" w:ascii="Times New Roman" w:hAnsi="Times New Roman" w:cs="Times New Roman"/>
                <w:color w:val="000000"/>
                <w:sz w:val="18"/>
                <w:szCs w:val="18"/>
              </w:rPr>
            </w:pPr>
          </w:p>
        </w:tc>
        <w:tc>
          <w:tcPr>
            <w:tcW w:w="11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B24AF7">
            <w:pPr>
              <w:spacing w:line="200" w:lineRule="exact"/>
              <w:rPr>
                <w:rFonts w:hint="default" w:ascii="Times New Roman" w:hAnsi="Times New Roman" w:cs="Times New Roman"/>
                <w:color w:val="000000"/>
                <w:sz w:val="18"/>
                <w:szCs w:val="18"/>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202EDC">
            <w:pPr>
              <w:spacing w:line="200" w:lineRule="exact"/>
              <w:jc w:val="right"/>
              <w:rPr>
                <w:rFonts w:hint="default" w:ascii="Times New Roman" w:hAnsi="Times New Roman" w:cs="Times New Roman"/>
                <w:color w:val="000000"/>
                <w:sz w:val="18"/>
                <w:szCs w:val="18"/>
              </w:rPr>
            </w:pPr>
          </w:p>
        </w:tc>
      </w:tr>
      <w:tr w14:paraId="11ABA35C">
        <w:tblPrEx>
          <w:tblCellMar>
            <w:top w:w="0" w:type="dxa"/>
            <w:left w:w="0" w:type="dxa"/>
            <w:bottom w:w="0" w:type="dxa"/>
            <w:right w:w="0" w:type="dxa"/>
          </w:tblCellMar>
        </w:tblPrEx>
        <w:trPr>
          <w:trHeight w:val="310" w:hRule="atLeast"/>
        </w:trPr>
        <w:tc>
          <w:tcPr>
            <w:tcW w:w="1089" w:type="pct"/>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E9B529">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人员经费合计</w:t>
            </w:r>
          </w:p>
        </w:tc>
        <w:tc>
          <w:tcPr>
            <w:tcW w:w="448"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294A4A9">
            <w:pPr>
              <w:wordWrap w:val="0"/>
              <w:spacing w:line="200" w:lineRule="exact"/>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2,686.49</w:t>
            </w:r>
            <w:r>
              <w:rPr>
                <w:rFonts w:hint="default" w:ascii="Times New Roman" w:hAnsi="Times New Roman" w:cs="Times New Roman"/>
                <w:color w:val="000000"/>
                <w:sz w:val="18"/>
                <w:u w:color="auto"/>
              </w:rPr>
              <w:t xml:space="preserve"> </w:t>
            </w:r>
          </w:p>
        </w:tc>
        <w:tc>
          <w:tcPr>
            <w:tcW w:w="2848" w:type="pct"/>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FA977B">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公用经费合计</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D1549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370.94</w:t>
            </w:r>
            <w:r>
              <w:rPr>
                <w:rFonts w:hint="default" w:ascii="Times New Roman" w:hAnsi="Times New Roman" w:cs="Times New Roman"/>
                <w:color w:val="000000"/>
                <w:sz w:val="18"/>
                <w:u w:color="auto"/>
              </w:rPr>
              <w:t xml:space="preserve"> </w:t>
            </w:r>
          </w:p>
        </w:tc>
      </w:tr>
    </w:tbl>
    <w:p w14:paraId="63848CCB">
      <w:pPr>
        <w:spacing w:line="280" w:lineRule="exact"/>
        <w:rPr>
          <w:rFonts w:hint="default" w:ascii="Times New Roman" w:hAnsi="Times New Roman" w:cs="Times New Roman"/>
          <w:sz w:val="20"/>
          <w:szCs w:val="20"/>
        </w:rPr>
      </w:pPr>
      <w:r>
        <w:rPr>
          <w:rFonts w:hint="default" w:ascii="Times New Roman" w:hAnsi="Times New Roman" w:cs="Times New Roman"/>
          <w:sz w:val="20"/>
          <w:szCs w:val="20"/>
        </w:rPr>
        <w:t>备注：1.本表反映部门本年度一般公共预算财政拨款基本支出明细情况。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 xml:space="preserve">      2.本套报表金额单位转换时可能存在尾数误差。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r>
        <w:rPr>
          <w:rFonts w:hint="default" w:ascii="Times New Roman" w:hAnsi="Times New Roman" w:cs="Times New Roman"/>
          <w:sz w:val="21"/>
          <w:szCs w:val="21"/>
        </w:rPr>
        <w:br w:type="page"/>
      </w:r>
    </w:p>
    <w:tbl>
      <w:tblPr>
        <w:tblStyle w:val="7"/>
        <w:tblW w:w="5000" w:type="pct"/>
        <w:tblInd w:w="0" w:type="dxa"/>
        <w:tblLayout w:type="autofit"/>
        <w:tblCellMar>
          <w:top w:w="0" w:type="dxa"/>
          <w:left w:w="0" w:type="dxa"/>
          <w:bottom w:w="0" w:type="dxa"/>
          <w:right w:w="0" w:type="dxa"/>
        </w:tblCellMar>
      </w:tblPr>
      <w:tblGrid>
        <w:gridCol w:w="1635"/>
        <w:gridCol w:w="3285"/>
        <w:gridCol w:w="1701"/>
        <w:gridCol w:w="1701"/>
        <w:gridCol w:w="1701"/>
        <w:gridCol w:w="1701"/>
        <w:gridCol w:w="1765"/>
        <w:gridCol w:w="1833"/>
      </w:tblGrid>
      <w:tr w14:paraId="6A58FECA">
        <w:tblPrEx>
          <w:tblCellMar>
            <w:top w:w="0" w:type="dxa"/>
            <w:left w:w="0" w:type="dxa"/>
            <w:bottom w:w="0" w:type="dxa"/>
            <w:right w:w="0" w:type="dxa"/>
          </w:tblCellMar>
        </w:tblPrEx>
        <w:trPr>
          <w:trHeight w:val="644" w:hRule="atLeast"/>
        </w:trPr>
        <w:tc>
          <w:tcPr>
            <w:tcW w:w="5000" w:type="pct"/>
            <w:gridSpan w:val="8"/>
            <w:tcBorders>
              <w:top w:val="nil"/>
              <w:left w:val="nil"/>
              <w:bottom w:val="nil"/>
              <w:right w:val="nil"/>
            </w:tcBorders>
            <w:shd w:val="clear" w:color="auto" w:fill="auto"/>
            <w:noWrap/>
            <w:tcMar>
              <w:top w:w="15" w:type="dxa"/>
              <w:left w:w="15" w:type="dxa"/>
              <w:right w:w="15" w:type="dxa"/>
            </w:tcMar>
            <w:vAlign w:val="bottom"/>
          </w:tcPr>
          <w:p w14:paraId="295F3B7B">
            <w:pPr>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政府性基金预算财政拨款收入支出决算表</w:t>
            </w:r>
          </w:p>
        </w:tc>
      </w:tr>
      <w:tr w14:paraId="7271E367">
        <w:tblPrEx>
          <w:tblCellMar>
            <w:top w:w="0" w:type="dxa"/>
            <w:left w:w="0" w:type="dxa"/>
            <w:bottom w:w="0" w:type="dxa"/>
            <w:right w:w="0" w:type="dxa"/>
          </w:tblCellMar>
        </w:tblPrEx>
        <w:trPr>
          <w:trHeight w:val="329" w:hRule="atLeast"/>
        </w:trPr>
        <w:tc>
          <w:tcPr>
            <w:tcW w:w="2161" w:type="pct"/>
            <w:gridSpan w:val="3"/>
            <w:vMerge w:val="restart"/>
            <w:tcBorders>
              <w:top w:val="nil"/>
              <w:left w:val="nil"/>
              <w:right w:val="nil"/>
            </w:tcBorders>
            <w:shd w:val="clear" w:color="auto" w:fill="auto"/>
            <w:noWrap/>
            <w:tcMar>
              <w:top w:w="15" w:type="dxa"/>
              <w:left w:w="15" w:type="dxa"/>
              <w:right w:w="15" w:type="dxa"/>
            </w:tcMar>
            <w:vAlign w:val="bottom"/>
          </w:tcPr>
          <w:p w14:paraId="444F8CA8">
            <w:pPr>
              <w:rPr>
                <w:rFonts w:hint="default" w:ascii="Times New Roman" w:hAnsi="Times New Roman" w:cs="Times New Roman"/>
                <w:color w:val="000000"/>
                <w:sz w:val="20"/>
                <w:szCs w:val="20"/>
              </w:rPr>
            </w:pPr>
            <w:r>
              <w:rPr>
                <w:rFonts w:hint="default" w:ascii="Times New Roman" w:hAnsi="Times New Roman" w:cs="Times New Roman"/>
                <w:sz w:val="20"/>
                <w:szCs w:val="20"/>
              </w:rPr>
              <w:t>部门</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潼南区塘坝镇</w:t>
            </w:r>
          </w:p>
        </w:tc>
        <w:tc>
          <w:tcPr>
            <w:tcW w:w="555" w:type="pct"/>
            <w:tcBorders>
              <w:top w:val="nil"/>
              <w:left w:val="nil"/>
              <w:bottom w:val="nil"/>
              <w:right w:val="nil"/>
            </w:tcBorders>
            <w:shd w:val="clear" w:color="auto" w:fill="auto"/>
            <w:noWrap/>
            <w:tcMar>
              <w:top w:w="15" w:type="dxa"/>
              <w:left w:w="15" w:type="dxa"/>
              <w:right w:w="15" w:type="dxa"/>
            </w:tcMar>
            <w:vAlign w:val="bottom"/>
          </w:tcPr>
          <w:p w14:paraId="31B46113">
            <w:pPr>
              <w:rPr>
                <w:rFonts w:hint="default" w:ascii="Times New Roman" w:hAnsi="Times New Roman" w:cs="Times New Roman"/>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1C7B9C7A">
            <w:pPr>
              <w:rPr>
                <w:rFonts w:hint="default" w:ascii="Times New Roman" w:hAnsi="Times New Roman" w:cs="Times New Roman"/>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61116D2E">
            <w:pPr>
              <w:rPr>
                <w:rFonts w:hint="default" w:ascii="Times New Roman" w:hAnsi="Times New Roman" w:cs="Times New Roman"/>
                <w:color w:val="000000"/>
                <w:sz w:val="20"/>
                <w:szCs w:val="20"/>
              </w:rPr>
            </w:pPr>
          </w:p>
        </w:tc>
        <w:tc>
          <w:tcPr>
            <w:tcW w:w="575" w:type="pct"/>
            <w:tcBorders>
              <w:top w:val="nil"/>
              <w:left w:val="nil"/>
              <w:bottom w:val="nil"/>
              <w:right w:val="nil"/>
            </w:tcBorders>
            <w:shd w:val="clear" w:color="auto" w:fill="auto"/>
            <w:noWrap/>
            <w:tcMar>
              <w:top w:w="15" w:type="dxa"/>
              <w:left w:w="15" w:type="dxa"/>
              <w:right w:w="15" w:type="dxa"/>
            </w:tcMar>
            <w:vAlign w:val="bottom"/>
          </w:tcPr>
          <w:p w14:paraId="3DBD76EC">
            <w:pPr>
              <w:rPr>
                <w:rFonts w:hint="default" w:ascii="Times New Roman" w:hAnsi="Times New Roman" w:cs="Times New Roman"/>
                <w:color w:val="000000"/>
                <w:sz w:val="20"/>
                <w:szCs w:val="20"/>
              </w:rPr>
            </w:pPr>
          </w:p>
        </w:tc>
        <w:tc>
          <w:tcPr>
            <w:tcW w:w="596" w:type="pct"/>
            <w:tcBorders>
              <w:top w:val="nil"/>
              <w:left w:val="nil"/>
              <w:bottom w:val="nil"/>
              <w:right w:val="nil"/>
            </w:tcBorders>
            <w:shd w:val="clear" w:color="auto" w:fill="auto"/>
            <w:noWrap/>
            <w:tcMar>
              <w:top w:w="15" w:type="dxa"/>
              <w:left w:w="15" w:type="dxa"/>
              <w:right w:w="15" w:type="dxa"/>
            </w:tcMar>
            <w:vAlign w:val="bottom"/>
          </w:tcPr>
          <w:p w14:paraId="2EF2CCFB">
            <w:pPr>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公开07表</w:t>
            </w:r>
          </w:p>
        </w:tc>
      </w:tr>
      <w:tr w14:paraId="200282B4">
        <w:tblPrEx>
          <w:tblCellMar>
            <w:top w:w="0" w:type="dxa"/>
            <w:left w:w="0" w:type="dxa"/>
            <w:bottom w:w="0" w:type="dxa"/>
            <w:right w:w="0" w:type="dxa"/>
          </w:tblCellMar>
        </w:tblPrEx>
        <w:trPr>
          <w:trHeight w:val="329" w:hRule="atLeast"/>
        </w:trPr>
        <w:tc>
          <w:tcPr>
            <w:tcW w:w="2161" w:type="pct"/>
            <w:gridSpan w:val="3"/>
            <w:vMerge w:val="continue"/>
            <w:tcBorders>
              <w:left w:val="nil"/>
              <w:bottom w:val="nil"/>
              <w:right w:val="nil"/>
            </w:tcBorders>
            <w:shd w:val="clear" w:color="auto" w:fill="auto"/>
            <w:noWrap/>
            <w:tcMar>
              <w:top w:w="15" w:type="dxa"/>
              <w:left w:w="15" w:type="dxa"/>
              <w:right w:w="15" w:type="dxa"/>
            </w:tcMar>
            <w:vAlign w:val="bottom"/>
          </w:tcPr>
          <w:p w14:paraId="344EB2ED">
            <w:pPr>
              <w:rPr>
                <w:rFonts w:hint="default" w:ascii="Times New Roman" w:hAnsi="Times New Roman" w:cs="Times New Roman"/>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5B0EA394">
            <w:pPr>
              <w:rPr>
                <w:rFonts w:hint="default" w:ascii="Times New Roman" w:hAnsi="Times New Roman" w:cs="Times New Roman"/>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4D79C819">
            <w:pPr>
              <w:rPr>
                <w:rFonts w:hint="default" w:ascii="Times New Roman" w:hAnsi="Times New Roman" w:cs="Times New Roman"/>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3D1A7EDD">
            <w:pPr>
              <w:rPr>
                <w:rFonts w:hint="default" w:ascii="Times New Roman" w:hAnsi="Times New Roman" w:cs="Times New Roman"/>
                <w:color w:val="000000"/>
                <w:sz w:val="20"/>
                <w:szCs w:val="20"/>
              </w:rPr>
            </w:pPr>
          </w:p>
        </w:tc>
        <w:tc>
          <w:tcPr>
            <w:tcW w:w="575" w:type="pct"/>
            <w:tcBorders>
              <w:top w:val="nil"/>
              <w:left w:val="nil"/>
              <w:bottom w:val="nil"/>
              <w:right w:val="nil"/>
            </w:tcBorders>
            <w:shd w:val="clear" w:color="auto" w:fill="auto"/>
            <w:noWrap/>
            <w:tcMar>
              <w:top w:w="15" w:type="dxa"/>
              <w:left w:w="15" w:type="dxa"/>
              <w:right w:w="15" w:type="dxa"/>
            </w:tcMar>
            <w:vAlign w:val="bottom"/>
          </w:tcPr>
          <w:p w14:paraId="742EE56C">
            <w:pPr>
              <w:rPr>
                <w:rFonts w:hint="default" w:ascii="Times New Roman" w:hAnsi="Times New Roman" w:cs="Times New Roman"/>
                <w:color w:val="000000"/>
                <w:sz w:val="20"/>
                <w:szCs w:val="20"/>
              </w:rPr>
            </w:pPr>
          </w:p>
        </w:tc>
        <w:tc>
          <w:tcPr>
            <w:tcW w:w="596" w:type="pct"/>
            <w:tcBorders>
              <w:top w:val="nil"/>
              <w:left w:val="nil"/>
              <w:bottom w:val="nil"/>
              <w:right w:val="nil"/>
            </w:tcBorders>
            <w:shd w:val="clear" w:color="auto" w:fill="auto"/>
            <w:noWrap/>
            <w:tcMar>
              <w:top w:w="15" w:type="dxa"/>
              <w:left w:w="15" w:type="dxa"/>
              <w:right w:w="15" w:type="dxa"/>
            </w:tcMar>
            <w:vAlign w:val="bottom"/>
          </w:tcPr>
          <w:p w14:paraId="004F0EB1">
            <w:pPr>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78E92093">
        <w:tblPrEx>
          <w:tblCellMar>
            <w:top w:w="0" w:type="dxa"/>
            <w:left w:w="0" w:type="dxa"/>
            <w:bottom w:w="0" w:type="dxa"/>
            <w:right w:w="0" w:type="dxa"/>
          </w:tblCellMar>
        </w:tblPrEx>
        <w:trPr>
          <w:trHeight w:val="339" w:hRule="atLeast"/>
        </w:trPr>
        <w:tc>
          <w:tcPr>
            <w:tcW w:w="160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F174F">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555"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57F1246">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年初结转和结余</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12A9AE">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本年收入</w:t>
            </w:r>
          </w:p>
        </w:tc>
        <w:tc>
          <w:tcPr>
            <w:tcW w:w="1686"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CC46471">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本年支出</w:t>
            </w:r>
          </w:p>
        </w:tc>
        <w:tc>
          <w:tcPr>
            <w:tcW w:w="59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EB38A">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年末结转和结余</w:t>
            </w:r>
          </w:p>
        </w:tc>
      </w:tr>
      <w:tr w14:paraId="776A8EAC">
        <w:tblPrEx>
          <w:tblCellMar>
            <w:top w:w="0" w:type="dxa"/>
            <w:left w:w="0" w:type="dxa"/>
            <w:bottom w:w="0" w:type="dxa"/>
            <w:right w:w="0" w:type="dxa"/>
          </w:tblCellMar>
        </w:tblPrEx>
        <w:trPr>
          <w:trHeight w:val="335" w:hRule="atLeast"/>
        </w:trPr>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FAD30">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功能分类科目编码</w:t>
            </w:r>
          </w:p>
        </w:tc>
        <w:tc>
          <w:tcPr>
            <w:tcW w:w="10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67313">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项目（按“项”级功能分类科目）</w:t>
            </w:r>
          </w:p>
        </w:tc>
        <w:tc>
          <w:tcPr>
            <w:tcW w:w="555"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87775D4">
            <w:pPr>
              <w:jc w:val="center"/>
              <w:rPr>
                <w:rFonts w:hint="default" w:ascii="Times New Roman" w:hAnsi="Times New Roman" w:cs="Times New Roman"/>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6AB84">
            <w:pPr>
              <w:jc w:val="center"/>
              <w:rPr>
                <w:rFonts w:hint="default" w:ascii="Times New Roman" w:hAnsi="Times New Roman" w:cs="Times New Roman"/>
                <w:b/>
                <w:color w:val="000000"/>
                <w:sz w:val="20"/>
                <w:szCs w:val="20"/>
              </w:rPr>
            </w:pPr>
          </w:p>
        </w:tc>
        <w:tc>
          <w:tcPr>
            <w:tcW w:w="555"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C75FC4">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555"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5299DE">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基本支出</w:t>
            </w:r>
          </w:p>
        </w:tc>
        <w:tc>
          <w:tcPr>
            <w:tcW w:w="575"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37AB5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项目支出</w:t>
            </w:r>
          </w:p>
        </w:tc>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0FA36">
            <w:pPr>
              <w:jc w:val="center"/>
              <w:rPr>
                <w:rFonts w:hint="default" w:ascii="Times New Roman" w:hAnsi="Times New Roman" w:cs="Times New Roman"/>
                <w:b/>
                <w:color w:val="000000"/>
                <w:sz w:val="20"/>
                <w:szCs w:val="20"/>
              </w:rPr>
            </w:pPr>
          </w:p>
        </w:tc>
      </w:tr>
      <w:tr w14:paraId="040DF0FD">
        <w:tblPrEx>
          <w:tblCellMar>
            <w:top w:w="0" w:type="dxa"/>
            <w:left w:w="0" w:type="dxa"/>
            <w:bottom w:w="0" w:type="dxa"/>
            <w:right w:w="0" w:type="dxa"/>
          </w:tblCellMar>
        </w:tblPrEx>
        <w:trPr>
          <w:trHeight w:val="335" w:hRule="atLeast"/>
        </w:trPr>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C769F">
            <w:pPr>
              <w:jc w:val="center"/>
              <w:rPr>
                <w:rFonts w:hint="default" w:ascii="Times New Roman" w:hAnsi="Times New Roman" w:cs="Times New Roman"/>
                <w:b/>
                <w:color w:val="000000"/>
                <w:sz w:val="20"/>
                <w:szCs w:val="20"/>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43878">
            <w:pPr>
              <w:jc w:val="center"/>
              <w:rPr>
                <w:rFonts w:hint="default" w:ascii="Times New Roman" w:hAnsi="Times New Roman" w:cs="Times New Roman"/>
                <w:b/>
                <w:color w:val="000000"/>
                <w:sz w:val="20"/>
                <w:szCs w:val="20"/>
              </w:rPr>
            </w:pPr>
          </w:p>
        </w:tc>
        <w:tc>
          <w:tcPr>
            <w:tcW w:w="555"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1B01BE7">
            <w:pPr>
              <w:jc w:val="center"/>
              <w:rPr>
                <w:rFonts w:hint="default" w:ascii="Times New Roman" w:hAnsi="Times New Roman" w:cs="Times New Roman"/>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1260D">
            <w:pPr>
              <w:jc w:val="center"/>
              <w:rPr>
                <w:rFonts w:hint="default" w:ascii="Times New Roman" w:hAnsi="Times New Roman" w:cs="Times New Roman"/>
                <w:b/>
                <w:color w:val="000000"/>
                <w:sz w:val="20"/>
                <w:szCs w:val="20"/>
              </w:rPr>
            </w:pPr>
          </w:p>
        </w:tc>
        <w:tc>
          <w:tcPr>
            <w:tcW w:w="55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5DF242">
            <w:pPr>
              <w:jc w:val="center"/>
              <w:rPr>
                <w:rFonts w:hint="default" w:ascii="Times New Roman" w:hAnsi="Times New Roman" w:cs="Times New Roman"/>
                <w:b/>
                <w:color w:val="000000"/>
                <w:sz w:val="20"/>
                <w:szCs w:val="20"/>
              </w:rPr>
            </w:pPr>
          </w:p>
        </w:tc>
        <w:tc>
          <w:tcPr>
            <w:tcW w:w="55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AA2485">
            <w:pPr>
              <w:jc w:val="center"/>
              <w:rPr>
                <w:rFonts w:hint="default" w:ascii="Times New Roman" w:hAnsi="Times New Roman" w:cs="Times New Roman"/>
                <w:b/>
                <w:color w:val="000000"/>
                <w:sz w:val="20"/>
                <w:szCs w:val="20"/>
              </w:rPr>
            </w:pPr>
          </w:p>
        </w:tc>
        <w:tc>
          <w:tcPr>
            <w:tcW w:w="57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A3D192">
            <w:pPr>
              <w:jc w:val="center"/>
              <w:rPr>
                <w:rFonts w:hint="default" w:ascii="Times New Roman" w:hAnsi="Times New Roman" w:cs="Times New Roman"/>
                <w:b/>
                <w:color w:val="000000"/>
                <w:sz w:val="20"/>
                <w:szCs w:val="20"/>
              </w:rPr>
            </w:pPr>
          </w:p>
        </w:tc>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32CDD">
            <w:pPr>
              <w:jc w:val="center"/>
              <w:rPr>
                <w:rFonts w:hint="default" w:ascii="Times New Roman" w:hAnsi="Times New Roman" w:cs="Times New Roman"/>
                <w:b/>
                <w:color w:val="000000"/>
                <w:sz w:val="20"/>
                <w:szCs w:val="20"/>
              </w:rPr>
            </w:pPr>
          </w:p>
        </w:tc>
      </w:tr>
      <w:tr w14:paraId="248A8342">
        <w:tblPrEx>
          <w:tblCellMar>
            <w:top w:w="0" w:type="dxa"/>
            <w:left w:w="0" w:type="dxa"/>
            <w:bottom w:w="0" w:type="dxa"/>
            <w:right w:w="0" w:type="dxa"/>
          </w:tblCellMar>
        </w:tblPrEx>
        <w:trPr>
          <w:trHeight w:val="645" w:hRule="atLeast"/>
        </w:trPr>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ED17D">
            <w:pPr>
              <w:jc w:val="center"/>
              <w:rPr>
                <w:rFonts w:hint="default" w:ascii="Times New Roman" w:hAnsi="Times New Roman" w:cs="Times New Roman"/>
                <w:b/>
                <w:color w:val="000000"/>
                <w:sz w:val="20"/>
                <w:szCs w:val="20"/>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0B825">
            <w:pPr>
              <w:jc w:val="center"/>
              <w:rPr>
                <w:rFonts w:hint="default" w:ascii="Times New Roman" w:hAnsi="Times New Roman" w:cs="Times New Roman"/>
                <w:b/>
                <w:color w:val="000000"/>
                <w:sz w:val="20"/>
                <w:szCs w:val="20"/>
              </w:rPr>
            </w:pPr>
          </w:p>
        </w:tc>
        <w:tc>
          <w:tcPr>
            <w:tcW w:w="555"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D5A5CA8">
            <w:pPr>
              <w:jc w:val="center"/>
              <w:rPr>
                <w:rFonts w:hint="default" w:ascii="Times New Roman" w:hAnsi="Times New Roman" w:cs="Times New Roman"/>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BB515">
            <w:pPr>
              <w:jc w:val="center"/>
              <w:rPr>
                <w:rFonts w:hint="default" w:ascii="Times New Roman" w:hAnsi="Times New Roman" w:cs="Times New Roman"/>
                <w:b/>
                <w:color w:val="000000"/>
                <w:sz w:val="20"/>
                <w:szCs w:val="20"/>
              </w:rPr>
            </w:pPr>
          </w:p>
        </w:tc>
        <w:tc>
          <w:tcPr>
            <w:tcW w:w="55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B283A5">
            <w:pPr>
              <w:jc w:val="center"/>
              <w:rPr>
                <w:rFonts w:hint="default" w:ascii="Times New Roman" w:hAnsi="Times New Roman" w:cs="Times New Roman"/>
                <w:b/>
                <w:color w:val="000000"/>
                <w:sz w:val="20"/>
                <w:szCs w:val="20"/>
              </w:rPr>
            </w:pPr>
          </w:p>
        </w:tc>
        <w:tc>
          <w:tcPr>
            <w:tcW w:w="55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533A3C">
            <w:pPr>
              <w:jc w:val="center"/>
              <w:rPr>
                <w:rFonts w:hint="default" w:ascii="Times New Roman" w:hAnsi="Times New Roman" w:cs="Times New Roman"/>
                <w:b/>
                <w:color w:val="000000"/>
                <w:sz w:val="20"/>
                <w:szCs w:val="20"/>
              </w:rPr>
            </w:pPr>
          </w:p>
        </w:tc>
        <w:tc>
          <w:tcPr>
            <w:tcW w:w="57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FF9EA4">
            <w:pPr>
              <w:jc w:val="center"/>
              <w:rPr>
                <w:rFonts w:hint="default" w:ascii="Times New Roman" w:hAnsi="Times New Roman" w:cs="Times New Roman"/>
                <w:b/>
                <w:color w:val="000000"/>
                <w:sz w:val="20"/>
                <w:szCs w:val="20"/>
              </w:rPr>
            </w:pPr>
          </w:p>
        </w:tc>
        <w:tc>
          <w:tcPr>
            <w:tcW w:w="59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954FA">
            <w:pPr>
              <w:jc w:val="center"/>
              <w:rPr>
                <w:rFonts w:hint="default" w:ascii="Times New Roman" w:hAnsi="Times New Roman" w:cs="Times New Roman"/>
                <w:b/>
                <w:color w:val="000000"/>
                <w:sz w:val="20"/>
                <w:szCs w:val="20"/>
              </w:rPr>
            </w:pPr>
          </w:p>
        </w:tc>
      </w:tr>
      <w:tr w14:paraId="7B47FBC7">
        <w:tblPrEx>
          <w:tblCellMar>
            <w:top w:w="0" w:type="dxa"/>
            <w:left w:w="0" w:type="dxa"/>
            <w:bottom w:w="0" w:type="dxa"/>
            <w:right w:w="0" w:type="dxa"/>
          </w:tblCellMar>
        </w:tblPrEx>
        <w:trPr>
          <w:trHeight w:val="339" w:hRule="atLeast"/>
        </w:trPr>
        <w:tc>
          <w:tcPr>
            <w:tcW w:w="1606"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1289A">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51A41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3153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25.71</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9C62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25.71</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1991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5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299F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25.71</w:t>
            </w:r>
            <w:r>
              <w:rPr>
                <w:rFonts w:hint="default" w:ascii="Times New Roman" w:hAnsi="Times New Roman" w:cs="Times New Roman"/>
                <w:b/>
                <w:color w:val="000000"/>
                <w:sz w:val="20"/>
                <w:u w:color="auto"/>
              </w:rPr>
              <w:t xml:space="preserve"> </w:t>
            </w:r>
          </w:p>
        </w:tc>
        <w:tc>
          <w:tcPr>
            <w:tcW w:w="59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65AD4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r>
      <w:tr w14:paraId="6E92FC35">
        <w:tblPrEx>
          <w:tblCellMar>
            <w:top w:w="0" w:type="dxa"/>
            <w:left w:w="0" w:type="dxa"/>
            <w:bottom w:w="0" w:type="dxa"/>
            <w:right w:w="0" w:type="dxa"/>
          </w:tblCellMar>
        </w:tblPrEx>
        <w:trPr>
          <w:trHeight w:val="349" w:hRule="atLeast"/>
        </w:trPr>
        <w:tc>
          <w:tcPr>
            <w:tcW w:w="53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7C963">
            <w:pPr>
              <w:jc w:val="both"/>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229</w:t>
            </w:r>
          </w:p>
        </w:tc>
        <w:tc>
          <w:tcPr>
            <w:tcW w:w="10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D963CA">
            <w:pPr>
              <w:jc w:val="both"/>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其他支出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C1F6C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50C3D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2D035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65180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E6ABB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59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27F4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AE4659C">
        <w:tblPrEx>
          <w:tblCellMar>
            <w:top w:w="0" w:type="dxa"/>
            <w:left w:w="0" w:type="dxa"/>
            <w:bottom w:w="0" w:type="dxa"/>
            <w:right w:w="0" w:type="dxa"/>
          </w:tblCellMar>
        </w:tblPrEx>
        <w:trPr>
          <w:trHeight w:val="349" w:hRule="atLeast"/>
        </w:trPr>
        <w:tc>
          <w:tcPr>
            <w:tcW w:w="53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2E5B59">
            <w:pPr>
              <w:jc w:val="both"/>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22960</w:t>
            </w:r>
          </w:p>
        </w:tc>
        <w:tc>
          <w:tcPr>
            <w:tcW w:w="10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24E1E7">
            <w:pPr>
              <w:jc w:val="both"/>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彩票公益金安排的支出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534A2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21BD1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632D3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C5A73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BF9FC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25.71</w:t>
            </w:r>
            <w:r>
              <w:rPr>
                <w:rFonts w:hint="default" w:ascii="Times New Roman" w:hAnsi="Times New Roman" w:cs="Times New Roman"/>
                <w:b/>
                <w:color w:val="000000"/>
                <w:sz w:val="20"/>
                <w:u w:color="auto"/>
              </w:rPr>
              <w:t xml:space="preserve"> </w:t>
            </w:r>
          </w:p>
        </w:tc>
        <w:tc>
          <w:tcPr>
            <w:tcW w:w="59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EB3C5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2EF3C9D">
        <w:tblPrEx>
          <w:tblCellMar>
            <w:top w:w="0" w:type="dxa"/>
            <w:left w:w="0" w:type="dxa"/>
            <w:bottom w:w="0" w:type="dxa"/>
            <w:right w:w="0" w:type="dxa"/>
          </w:tblCellMar>
        </w:tblPrEx>
        <w:trPr>
          <w:trHeight w:val="349" w:hRule="atLeast"/>
        </w:trPr>
        <w:tc>
          <w:tcPr>
            <w:tcW w:w="53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31309">
            <w:pPr>
              <w:jc w:val="both"/>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2296002</w:t>
            </w:r>
          </w:p>
        </w:tc>
        <w:tc>
          <w:tcPr>
            <w:tcW w:w="10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114EDF">
            <w:pPr>
              <w:jc w:val="both"/>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用于社会福利的彩票公益金支出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022C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85A56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25.71</w:t>
            </w:r>
            <w:r>
              <w:rPr>
                <w:rFonts w:hint="default" w:ascii="Times New Roman" w:hAnsi="Times New Roman" w:cs="Times New Roman"/>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38C33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25.71</w:t>
            </w:r>
            <w:r>
              <w:rPr>
                <w:rFonts w:hint="default" w:ascii="Times New Roman" w:hAnsi="Times New Roman" w:cs="Times New Roman"/>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E86BB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D3662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25.71</w:t>
            </w:r>
            <w:r>
              <w:rPr>
                <w:rFonts w:hint="default" w:ascii="Times New Roman" w:hAnsi="Times New Roman" w:cs="Times New Roman"/>
                <w:color w:val="000000"/>
                <w:sz w:val="20"/>
                <w:u w:color="auto"/>
              </w:rPr>
              <w:t xml:space="preserve"> </w:t>
            </w:r>
          </w:p>
        </w:tc>
        <w:tc>
          <w:tcPr>
            <w:tcW w:w="59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5E478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bl>
    <w:p w14:paraId="333965D2">
      <w:pPr>
        <w:rPr>
          <w:rFonts w:hint="default" w:ascii="Times New Roman" w:hAnsi="Times New Roman" w:cs="Times New Roman"/>
          <w:sz w:val="21"/>
          <w:szCs w:val="21"/>
        </w:rPr>
      </w:pPr>
      <w:r>
        <w:rPr>
          <w:rFonts w:hint="default" w:ascii="Times New Roman" w:hAnsi="Times New Roman" w:cs="Times New Roman"/>
          <w:sz w:val="20"/>
          <w:szCs w:val="20"/>
        </w:rPr>
        <w:t>备注：1.本表反映部门本年度政府性基金预算财政拨款收入支出及结转和结余情况。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 xml:space="preserve">      2.本套报表金额单位转换时可能存在尾数误差。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p>
    <w:p w14:paraId="517E8409">
      <w:pPr>
        <w:rPr>
          <w:rFonts w:hint="default" w:ascii="Times New Roman" w:hAnsi="Times New Roman" w:cs="Times New Roman"/>
          <w:sz w:val="21"/>
          <w:szCs w:val="21"/>
        </w:rPr>
      </w:pPr>
      <w:r>
        <w:rPr>
          <w:rFonts w:hint="default" w:ascii="Times New Roman" w:hAnsi="Times New Roman" w:cs="Times New Roman"/>
          <w:sz w:val="21"/>
          <w:szCs w:val="21"/>
        </w:rPr>
        <w:br w:type="page"/>
      </w:r>
    </w:p>
    <w:tbl>
      <w:tblPr>
        <w:tblStyle w:val="7"/>
        <w:tblW w:w="5000" w:type="pct"/>
        <w:tblInd w:w="0" w:type="dxa"/>
        <w:tblLayout w:type="autofit"/>
        <w:tblCellMar>
          <w:top w:w="0" w:type="dxa"/>
          <w:left w:w="0" w:type="dxa"/>
          <w:bottom w:w="0" w:type="dxa"/>
          <w:right w:w="0" w:type="dxa"/>
        </w:tblCellMar>
      </w:tblPr>
      <w:tblGrid>
        <w:gridCol w:w="2001"/>
        <w:gridCol w:w="2917"/>
        <w:gridCol w:w="3264"/>
        <w:gridCol w:w="199"/>
        <w:gridCol w:w="3463"/>
        <w:gridCol w:w="77"/>
        <w:gridCol w:w="3401"/>
      </w:tblGrid>
      <w:tr w14:paraId="726C3861">
        <w:tblPrEx>
          <w:tblCellMar>
            <w:top w:w="0" w:type="dxa"/>
            <w:left w:w="0" w:type="dxa"/>
            <w:bottom w:w="0" w:type="dxa"/>
            <w:right w:w="0" w:type="dxa"/>
          </w:tblCellMar>
        </w:tblPrEx>
        <w:trPr>
          <w:trHeight w:val="650" w:hRule="atLeast"/>
        </w:trPr>
        <w:tc>
          <w:tcPr>
            <w:tcW w:w="5000" w:type="pct"/>
            <w:gridSpan w:val="7"/>
            <w:tcBorders>
              <w:top w:val="nil"/>
              <w:left w:val="nil"/>
              <w:bottom w:val="nil"/>
              <w:right w:val="nil"/>
            </w:tcBorders>
            <w:shd w:val="clear" w:color="auto" w:fill="auto"/>
            <w:noWrap/>
            <w:tcMar>
              <w:top w:w="15" w:type="dxa"/>
              <w:left w:w="15" w:type="dxa"/>
              <w:right w:w="15" w:type="dxa"/>
            </w:tcMar>
            <w:vAlign w:val="bottom"/>
          </w:tcPr>
          <w:p w14:paraId="07FF05B8">
            <w:pPr>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国有资本经营预算财政拨款支出决算表</w:t>
            </w:r>
          </w:p>
        </w:tc>
      </w:tr>
      <w:tr w14:paraId="598B8CD2">
        <w:tblPrEx>
          <w:tblCellMar>
            <w:top w:w="0" w:type="dxa"/>
            <w:left w:w="0" w:type="dxa"/>
            <w:bottom w:w="0" w:type="dxa"/>
            <w:right w:w="0" w:type="dxa"/>
          </w:tblCellMar>
        </w:tblPrEx>
        <w:trPr>
          <w:trHeight w:val="332" w:hRule="atLeast"/>
        </w:trPr>
        <w:tc>
          <w:tcPr>
            <w:tcW w:w="2670" w:type="pct"/>
            <w:gridSpan w:val="3"/>
            <w:vMerge w:val="restart"/>
            <w:tcBorders>
              <w:top w:val="nil"/>
              <w:left w:val="nil"/>
              <w:right w:val="nil"/>
            </w:tcBorders>
            <w:shd w:val="clear" w:color="auto" w:fill="auto"/>
            <w:noWrap/>
            <w:tcMar>
              <w:top w:w="15" w:type="dxa"/>
              <w:left w:w="15" w:type="dxa"/>
              <w:right w:w="15" w:type="dxa"/>
            </w:tcMar>
            <w:vAlign w:val="bottom"/>
          </w:tcPr>
          <w:p w14:paraId="56EB023D">
            <w:pPr>
              <w:rPr>
                <w:rFonts w:hint="default" w:ascii="Times New Roman" w:hAnsi="Times New Roman" w:cs="Times New Roman"/>
                <w:color w:val="000000"/>
                <w:sz w:val="20"/>
                <w:szCs w:val="20"/>
              </w:rPr>
            </w:pPr>
            <w:r>
              <w:rPr>
                <w:rFonts w:hint="default" w:ascii="Times New Roman" w:hAnsi="Times New Roman" w:cs="Times New Roman"/>
                <w:sz w:val="20"/>
                <w:szCs w:val="20"/>
              </w:rPr>
              <w:t>部门</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潼南区塘坝镇</w:t>
            </w:r>
          </w:p>
        </w:tc>
        <w:tc>
          <w:tcPr>
            <w:tcW w:w="1220" w:type="pct"/>
            <w:gridSpan w:val="3"/>
            <w:tcBorders>
              <w:top w:val="nil"/>
              <w:left w:val="nil"/>
              <w:bottom w:val="nil"/>
              <w:right w:val="nil"/>
            </w:tcBorders>
            <w:shd w:val="clear" w:color="auto" w:fill="auto"/>
            <w:noWrap/>
            <w:tcMar>
              <w:top w:w="15" w:type="dxa"/>
              <w:left w:w="15" w:type="dxa"/>
              <w:right w:w="15" w:type="dxa"/>
            </w:tcMar>
            <w:vAlign w:val="bottom"/>
          </w:tcPr>
          <w:p w14:paraId="6A1534B3">
            <w:pPr>
              <w:rPr>
                <w:rFonts w:hint="default" w:ascii="Times New Roman" w:hAnsi="Times New Roman" w:cs="Times New Roman"/>
                <w:color w:val="000000"/>
                <w:sz w:val="20"/>
                <w:szCs w:val="20"/>
              </w:rPr>
            </w:pPr>
          </w:p>
        </w:tc>
        <w:tc>
          <w:tcPr>
            <w:tcW w:w="1108" w:type="pct"/>
            <w:tcBorders>
              <w:top w:val="nil"/>
              <w:left w:val="nil"/>
              <w:bottom w:val="nil"/>
              <w:right w:val="nil"/>
            </w:tcBorders>
            <w:shd w:val="clear" w:color="auto" w:fill="auto"/>
            <w:noWrap/>
            <w:tcMar>
              <w:top w:w="15" w:type="dxa"/>
              <w:left w:w="15" w:type="dxa"/>
              <w:right w:w="15" w:type="dxa"/>
            </w:tcMar>
            <w:vAlign w:val="bottom"/>
          </w:tcPr>
          <w:p w14:paraId="6F86DB8D">
            <w:pPr>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公开08表</w:t>
            </w:r>
          </w:p>
        </w:tc>
      </w:tr>
      <w:tr w14:paraId="5A936EB5">
        <w:tblPrEx>
          <w:tblCellMar>
            <w:top w:w="0" w:type="dxa"/>
            <w:left w:w="0" w:type="dxa"/>
            <w:bottom w:w="0" w:type="dxa"/>
            <w:right w:w="0" w:type="dxa"/>
          </w:tblCellMar>
        </w:tblPrEx>
        <w:trPr>
          <w:trHeight w:val="332" w:hRule="atLeast"/>
        </w:trPr>
        <w:tc>
          <w:tcPr>
            <w:tcW w:w="2670" w:type="pct"/>
            <w:gridSpan w:val="3"/>
            <w:vMerge w:val="continue"/>
            <w:tcBorders>
              <w:left w:val="nil"/>
              <w:bottom w:val="nil"/>
              <w:right w:val="nil"/>
            </w:tcBorders>
            <w:shd w:val="clear" w:color="auto" w:fill="auto"/>
            <w:noWrap/>
            <w:tcMar>
              <w:top w:w="15" w:type="dxa"/>
              <w:left w:w="15" w:type="dxa"/>
              <w:right w:w="15" w:type="dxa"/>
            </w:tcMar>
            <w:vAlign w:val="bottom"/>
          </w:tcPr>
          <w:p w14:paraId="1CCE0CD4">
            <w:pPr>
              <w:rPr>
                <w:rFonts w:hint="default" w:ascii="Times New Roman" w:hAnsi="Times New Roman" w:cs="Times New Roman"/>
                <w:color w:val="000000"/>
                <w:sz w:val="20"/>
                <w:szCs w:val="20"/>
              </w:rPr>
            </w:pPr>
          </w:p>
        </w:tc>
        <w:tc>
          <w:tcPr>
            <w:tcW w:w="1220" w:type="pct"/>
            <w:gridSpan w:val="3"/>
            <w:tcBorders>
              <w:top w:val="nil"/>
              <w:left w:val="nil"/>
              <w:bottom w:val="nil"/>
              <w:right w:val="nil"/>
            </w:tcBorders>
            <w:shd w:val="clear" w:color="auto" w:fill="auto"/>
            <w:noWrap/>
            <w:tcMar>
              <w:top w:w="15" w:type="dxa"/>
              <w:left w:w="15" w:type="dxa"/>
              <w:right w:w="15" w:type="dxa"/>
            </w:tcMar>
            <w:vAlign w:val="bottom"/>
          </w:tcPr>
          <w:p w14:paraId="36B424C1">
            <w:pPr>
              <w:rPr>
                <w:rFonts w:hint="default" w:ascii="Times New Roman" w:hAnsi="Times New Roman" w:cs="Times New Roman"/>
                <w:color w:val="000000"/>
                <w:sz w:val="20"/>
                <w:szCs w:val="20"/>
              </w:rPr>
            </w:pPr>
          </w:p>
        </w:tc>
        <w:tc>
          <w:tcPr>
            <w:tcW w:w="1108" w:type="pct"/>
            <w:tcBorders>
              <w:top w:val="nil"/>
              <w:left w:val="nil"/>
              <w:bottom w:val="nil"/>
              <w:right w:val="nil"/>
            </w:tcBorders>
            <w:shd w:val="clear" w:color="auto" w:fill="auto"/>
            <w:noWrap/>
            <w:tcMar>
              <w:top w:w="15" w:type="dxa"/>
              <w:left w:w="15" w:type="dxa"/>
              <w:right w:w="15" w:type="dxa"/>
            </w:tcMar>
            <w:vAlign w:val="bottom"/>
          </w:tcPr>
          <w:p w14:paraId="6EAD670E">
            <w:pPr>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2CD5AF7D">
        <w:tblPrEx>
          <w:tblCellMar>
            <w:top w:w="0" w:type="dxa"/>
            <w:left w:w="0" w:type="dxa"/>
            <w:bottom w:w="0" w:type="dxa"/>
            <w:right w:w="0" w:type="dxa"/>
          </w:tblCellMar>
        </w:tblPrEx>
        <w:trPr>
          <w:trHeight w:val="422" w:hRule="atLeast"/>
        </w:trPr>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B3723B2">
            <w:pPr>
              <w:jc w:val="center"/>
              <w:textAlignment w:val="bottom"/>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3394"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DC5BFD5">
            <w:pPr>
              <w:jc w:val="center"/>
              <w:textAlignment w:val="bottom"/>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本年支出</w:t>
            </w:r>
          </w:p>
        </w:tc>
      </w:tr>
      <w:tr w14:paraId="33D82339">
        <w:tblPrEx>
          <w:tblCellMar>
            <w:top w:w="0" w:type="dxa"/>
            <w:left w:w="0" w:type="dxa"/>
            <w:bottom w:w="0" w:type="dxa"/>
            <w:right w:w="0" w:type="dxa"/>
          </w:tblCellMar>
        </w:tblPrEx>
        <w:trPr>
          <w:trHeight w:val="339" w:hRule="atLeast"/>
        </w:trPr>
        <w:tc>
          <w:tcPr>
            <w:tcW w:w="653"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61393">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功能分类科目编码</w:t>
            </w:r>
          </w:p>
        </w:tc>
        <w:tc>
          <w:tcPr>
            <w:tcW w:w="952"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B900EA">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科目名称</w:t>
            </w:r>
          </w:p>
        </w:tc>
        <w:tc>
          <w:tcPr>
            <w:tcW w:w="1130" w:type="pct"/>
            <w:gridSpan w:val="2"/>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13772">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1130"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FD35B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基本支出</w:t>
            </w:r>
          </w:p>
        </w:tc>
        <w:tc>
          <w:tcPr>
            <w:tcW w:w="1133" w:type="pct"/>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2A467E">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项目支出</w:t>
            </w:r>
          </w:p>
        </w:tc>
      </w:tr>
      <w:tr w14:paraId="701E820D">
        <w:tblPrEx>
          <w:tblCellMar>
            <w:top w:w="0" w:type="dxa"/>
            <w:left w:w="0" w:type="dxa"/>
            <w:bottom w:w="0" w:type="dxa"/>
            <w:right w:w="0" w:type="dxa"/>
          </w:tblCellMar>
        </w:tblPrEx>
        <w:trPr>
          <w:trHeight w:val="339" w:hRule="atLeast"/>
        </w:trPr>
        <w:tc>
          <w:tcPr>
            <w:tcW w:w="653"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7D23F">
            <w:pPr>
              <w:jc w:val="center"/>
              <w:rPr>
                <w:rFonts w:hint="default" w:ascii="Times New Roman" w:hAnsi="Times New Roman" w:cs="Times New Roman"/>
                <w:b/>
                <w:color w:val="000000"/>
                <w:sz w:val="20"/>
                <w:szCs w:val="20"/>
              </w:rPr>
            </w:pPr>
          </w:p>
        </w:tc>
        <w:tc>
          <w:tcPr>
            <w:tcW w:w="95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25D015">
            <w:pPr>
              <w:jc w:val="center"/>
              <w:rPr>
                <w:rFonts w:hint="default" w:ascii="Times New Roman" w:hAnsi="Times New Roman" w:cs="Times New Roman"/>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5C7A6">
            <w:pPr>
              <w:jc w:val="center"/>
              <w:rPr>
                <w:rFonts w:hint="default" w:ascii="Times New Roman" w:hAnsi="Times New Roman" w:cs="Times New Roman"/>
                <w:b/>
                <w:color w:val="000000"/>
                <w:sz w:val="20"/>
                <w:szCs w:val="20"/>
              </w:rPr>
            </w:pPr>
          </w:p>
        </w:tc>
        <w:tc>
          <w:tcPr>
            <w:tcW w:w="113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A574CB">
            <w:pPr>
              <w:jc w:val="center"/>
              <w:rPr>
                <w:rFonts w:hint="default" w:ascii="Times New Roman" w:hAnsi="Times New Roman" w:cs="Times New Roman"/>
                <w:b/>
                <w:color w:val="000000"/>
                <w:sz w:val="20"/>
                <w:szCs w:val="20"/>
              </w:rPr>
            </w:pPr>
          </w:p>
        </w:tc>
        <w:tc>
          <w:tcPr>
            <w:tcW w:w="1133"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B41DE3">
            <w:pPr>
              <w:jc w:val="center"/>
              <w:rPr>
                <w:rFonts w:hint="default" w:ascii="Times New Roman" w:hAnsi="Times New Roman" w:cs="Times New Roman"/>
                <w:b/>
                <w:color w:val="000000"/>
                <w:sz w:val="20"/>
                <w:szCs w:val="20"/>
              </w:rPr>
            </w:pPr>
          </w:p>
        </w:tc>
      </w:tr>
      <w:tr w14:paraId="007E9364">
        <w:tblPrEx>
          <w:tblCellMar>
            <w:top w:w="0" w:type="dxa"/>
            <w:left w:w="0" w:type="dxa"/>
            <w:bottom w:w="0" w:type="dxa"/>
            <w:right w:w="0" w:type="dxa"/>
          </w:tblCellMar>
        </w:tblPrEx>
        <w:trPr>
          <w:trHeight w:val="339" w:hRule="atLeast"/>
        </w:trPr>
        <w:tc>
          <w:tcPr>
            <w:tcW w:w="653"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F954C4">
            <w:pPr>
              <w:jc w:val="center"/>
              <w:rPr>
                <w:rFonts w:hint="default" w:ascii="Times New Roman" w:hAnsi="Times New Roman" w:cs="Times New Roman"/>
                <w:b/>
                <w:color w:val="000000"/>
                <w:sz w:val="20"/>
                <w:szCs w:val="20"/>
              </w:rPr>
            </w:pPr>
          </w:p>
        </w:tc>
        <w:tc>
          <w:tcPr>
            <w:tcW w:w="95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E250DA">
            <w:pPr>
              <w:jc w:val="center"/>
              <w:rPr>
                <w:rFonts w:hint="default" w:ascii="Times New Roman" w:hAnsi="Times New Roman" w:cs="Times New Roman"/>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4890A">
            <w:pPr>
              <w:jc w:val="center"/>
              <w:rPr>
                <w:rFonts w:hint="default" w:ascii="Times New Roman" w:hAnsi="Times New Roman" w:cs="Times New Roman"/>
                <w:b/>
                <w:color w:val="000000"/>
                <w:sz w:val="20"/>
                <w:szCs w:val="20"/>
              </w:rPr>
            </w:pPr>
          </w:p>
        </w:tc>
        <w:tc>
          <w:tcPr>
            <w:tcW w:w="113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39832F">
            <w:pPr>
              <w:jc w:val="center"/>
              <w:rPr>
                <w:rFonts w:hint="default" w:ascii="Times New Roman" w:hAnsi="Times New Roman" w:cs="Times New Roman"/>
                <w:b/>
                <w:color w:val="000000"/>
                <w:sz w:val="20"/>
                <w:szCs w:val="20"/>
              </w:rPr>
            </w:pPr>
          </w:p>
        </w:tc>
        <w:tc>
          <w:tcPr>
            <w:tcW w:w="1133"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405764">
            <w:pPr>
              <w:jc w:val="center"/>
              <w:rPr>
                <w:rFonts w:hint="default" w:ascii="Times New Roman" w:hAnsi="Times New Roman" w:cs="Times New Roman"/>
                <w:b/>
                <w:color w:val="000000"/>
                <w:sz w:val="20"/>
                <w:szCs w:val="20"/>
              </w:rPr>
            </w:pPr>
          </w:p>
        </w:tc>
      </w:tr>
      <w:tr w14:paraId="05E80DFC">
        <w:tblPrEx>
          <w:tblCellMar>
            <w:top w:w="0" w:type="dxa"/>
            <w:left w:w="0" w:type="dxa"/>
            <w:bottom w:w="0" w:type="dxa"/>
            <w:right w:w="0" w:type="dxa"/>
          </w:tblCellMar>
        </w:tblPrEx>
        <w:trPr>
          <w:trHeight w:val="326" w:hRule="atLeast"/>
        </w:trPr>
        <w:tc>
          <w:tcPr>
            <w:tcW w:w="653"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08D43">
            <w:pPr>
              <w:jc w:val="center"/>
              <w:rPr>
                <w:rFonts w:hint="default" w:ascii="Times New Roman" w:hAnsi="Times New Roman" w:cs="Times New Roman"/>
                <w:b/>
                <w:color w:val="000000"/>
                <w:sz w:val="20"/>
                <w:szCs w:val="20"/>
              </w:rPr>
            </w:pPr>
          </w:p>
        </w:tc>
        <w:tc>
          <w:tcPr>
            <w:tcW w:w="95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FCA2EF">
            <w:pPr>
              <w:jc w:val="center"/>
              <w:rPr>
                <w:rFonts w:hint="default" w:ascii="Times New Roman" w:hAnsi="Times New Roman" w:cs="Times New Roman"/>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5B5A5">
            <w:pPr>
              <w:jc w:val="center"/>
              <w:rPr>
                <w:rFonts w:hint="default" w:ascii="Times New Roman" w:hAnsi="Times New Roman" w:cs="Times New Roman"/>
                <w:b/>
                <w:color w:val="000000"/>
                <w:sz w:val="20"/>
                <w:szCs w:val="20"/>
              </w:rPr>
            </w:pPr>
          </w:p>
        </w:tc>
        <w:tc>
          <w:tcPr>
            <w:tcW w:w="113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7AD65B">
            <w:pPr>
              <w:jc w:val="center"/>
              <w:rPr>
                <w:rFonts w:hint="default" w:ascii="Times New Roman" w:hAnsi="Times New Roman" w:cs="Times New Roman"/>
                <w:b/>
                <w:color w:val="000000"/>
                <w:sz w:val="20"/>
                <w:szCs w:val="20"/>
              </w:rPr>
            </w:pPr>
          </w:p>
        </w:tc>
        <w:tc>
          <w:tcPr>
            <w:tcW w:w="1133"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4CCBD1">
            <w:pPr>
              <w:jc w:val="center"/>
              <w:rPr>
                <w:rFonts w:hint="default" w:ascii="Times New Roman" w:hAnsi="Times New Roman" w:cs="Times New Roman"/>
                <w:b/>
                <w:color w:val="000000"/>
                <w:sz w:val="20"/>
                <w:szCs w:val="20"/>
              </w:rPr>
            </w:pPr>
          </w:p>
        </w:tc>
      </w:tr>
      <w:tr w14:paraId="6F2537F8">
        <w:tblPrEx>
          <w:tblCellMar>
            <w:top w:w="0" w:type="dxa"/>
            <w:left w:w="0" w:type="dxa"/>
            <w:bottom w:w="0" w:type="dxa"/>
            <w:right w:w="0" w:type="dxa"/>
          </w:tblCellMar>
        </w:tblPrEx>
        <w:trPr>
          <w:trHeight w:val="611" w:hRule="atLeast"/>
        </w:trPr>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BFB5B">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113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BBA28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113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BC6AAD">
            <w:pPr>
              <w:jc w:val="right"/>
              <w:rPr>
                <w:rFonts w:hint="default" w:ascii="Times New Roman" w:hAnsi="Times New Roman" w:cs="Times New Roman"/>
                <w:b/>
                <w:color w:val="000000"/>
                <w:sz w:val="20"/>
                <w:szCs w:val="20"/>
              </w:rPr>
            </w:pPr>
          </w:p>
        </w:tc>
        <w:tc>
          <w:tcPr>
            <w:tcW w:w="113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80D6D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r>
      <w:tr w14:paraId="388D9462">
        <w:tblPrEx>
          <w:tblCellMar>
            <w:top w:w="0" w:type="dxa"/>
            <w:left w:w="0" w:type="dxa"/>
            <w:bottom w:w="0" w:type="dxa"/>
            <w:right w:w="0" w:type="dxa"/>
          </w:tblCellMar>
        </w:tblPrEx>
        <w:trPr>
          <w:trHeight w:val="488" w:hRule="atLeast"/>
        </w:trPr>
        <w:tc>
          <w:tcPr>
            <w:tcW w:w="6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5090C">
            <w:pPr>
              <w:textAlignment w:val="center"/>
              <w:rPr>
                <w:rFonts w:hint="default" w:ascii="Times New Roman" w:hAnsi="Times New Roman" w:cs="Times New Roman"/>
                <w:color w:val="000000"/>
                <w:sz w:val="20"/>
                <w:szCs w:val="20"/>
              </w:rPr>
            </w:pPr>
          </w:p>
        </w:tc>
        <w:tc>
          <w:tcPr>
            <w:tcW w:w="9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93C26">
            <w:pPr>
              <w:textAlignment w:val="center"/>
              <w:rPr>
                <w:rFonts w:hint="default" w:ascii="Times New Roman" w:hAnsi="Times New Roman" w:cs="Times New Roman"/>
                <w:color w:val="000000"/>
                <w:sz w:val="20"/>
                <w:szCs w:val="20"/>
              </w:rPr>
            </w:pPr>
          </w:p>
        </w:tc>
        <w:tc>
          <w:tcPr>
            <w:tcW w:w="113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71D98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 xml:space="preserve">0.00 </w:t>
            </w:r>
          </w:p>
        </w:tc>
        <w:tc>
          <w:tcPr>
            <w:tcW w:w="113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2C2579">
            <w:pPr>
              <w:jc w:val="right"/>
              <w:rPr>
                <w:rFonts w:hint="default" w:ascii="Times New Roman" w:hAnsi="Times New Roman" w:cs="Times New Roman"/>
                <w:b/>
                <w:color w:val="000000"/>
                <w:sz w:val="20"/>
                <w:szCs w:val="20"/>
              </w:rPr>
            </w:pPr>
          </w:p>
        </w:tc>
        <w:tc>
          <w:tcPr>
            <w:tcW w:w="113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75AC8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 xml:space="preserve">0.00 </w:t>
            </w:r>
          </w:p>
        </w:tc>
      </w:tr>
    </w:tbl>
    <w:p w14:paraId="29142C97">
      <w:pPr>
        <w:rPr>
          <w:rFonts w:hint="default" w:ascii="Times New Roman" w:hAnsi="Times New Roman" w:cs="Times New Roman"/>
          <w:sz w:val="21"/>
          <w:szCs w:val="21"/>
        </w:rPr>
      </w:pPr>
      <w:r>
        <w:rPr>
          <w:rFonts w:hint="default" w:ascii="Times New Roman" w:hAnsi="Times New Roman" w:cs="Times New Roman"/>
          <w:sz w:val="20"/>
          <w:szCs w:val="20"/>
        </w:rPr>
        <w:t>备注：本表反映部门本年度国有资本经营预算财政拨款支出情况。本部门无国有资本经营收支，故本表无数据。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p>
    <w:p w14:paraId="6A4CABAA">
      <w:pPr>
        <w:rPr>
          <w:rFonts w:hint="default" w:ascii="Times New Roman" w:hAnsi="Times New Roman" w:cs="Times New Roman"/>
          <w:sz w:val="21"/>
          <w:szCs w:val="21"/>
        </w:rPr>
      </w:pPr>
      <w:r>
        <w:rPr>
          <w:rFonts w:hint="default" w:ascii="Times New Roman" w:hAnsi="Times New Roman" w:cs="Times New Roman"/>
          <w:sz w:val="21"/>
          <w:szCs w:val="21"/>
        </w:rPr>
        <w:br w:type="page"/>
      </w:r>
    </w:p>
    <w:tbl>
      <w:tblPr>
        <w:tblStyle w:val="7"/>
        <w:tblW w:w="4611" w:type="pct"/>
        <w:tblInd w:w="0" w:type="dxa"/>
        <w:tblLayout w:type="fixed"/>
        <w:tblCellMar>
          <w:top w:w="0" w:type="dxa"/>
          <w:left w:w="170" w:type="dxa"/>
          <w:bottom w:w="0" w:type="dxa"/>
          <w:right w:w="170" w:type="dxa"/>
        </w:tblCellMar>
      </w:tblPr>
      <w:tblGrid>
        <w:gridCol w:w="3179"/>
        <w:gridCol w:w="2416"/>
        <w:gridCol w:w="2375"/>
        <w:gridCol w:w="3674"/>
        <w:gridCol w:w="2487"/>
      </w:tblGrid>
      <w:tr w14:paraId="5315048C">
        <w:tblPrEx>
          <w:tblCellMar>
            <w:top w:w="0" w:type="dxa"/>
            <w:left w:w="170" w:type="dxa"/>
            <w:bottom w:w="0" w:type="dxa"/>
            <w:right w:w="170" w:type="dxa"/>
          </w:tblCellMar>
        </w:tblPrEx>
        <w:trPr>
          <w:trHeight w:val="343" w:hRule="atLeast"/>
        </w:trPr>
        <w:tc>
          <w:tcPr>
            <w:tcW w:w="5000" w:type="pct"/>
            <w:gridSpan w:val="5"/>
            <w:shd w:val="clear" w:color="auto" w:fill="auto"/>
            <w:noWrap/>
            <w:tcMar>
              <w:top w:w="15" w:type="dxa"/>
              <w:left w:w="15" w:type="dxa"/>
              <w:right w:w="15" w:type="dxa"/>
            </w:tcMar>
            <w:vAlign w:val="bottom"/>
          </w:tcPr>
          <w:p w14:paraId="6EA87096">
            <w:pPr>
              <w:spacing w:line="400" w:lineRule="exact"/>
              <w:jc w:val="center"/>
              <w:textAlignment w:val="bottom"/>
              <w:rPr>
                <w:rFonts w:hint="default" w:ascii="Times New Roman" w:hAnsi="Times New Roman" w:cs="Times New Roman"/>
                <w:b/>
                <w:color w:val="000000"/>
                <w:kern w:val="2"/>
                <w:sz w:val="32"/>
                <w:szCs w:val="32"/>
              </w:rPr>
            </w:pPr>
            <w:r>
              <w:rPr>
                <w:rFonts w:hint="default" w:ascii="Times New Roman" w:hAnsi="Times New Roman" w:cs="Times New Roman"/>
                <w:b/>
                <w:color w:val="000000"/>
                <w:kern w:val="2"/>
                <w:sz w:val="32"/>
                <w:szCs w:val="32"/>
              </w:rPr>
              <w:t>机构运行信息表</w:t>
            </w:r>
          </w:p>
        </w:tc>
      </w:tr>
      <w:tr w14:paraId="583D419D">
        <w:tblPrEx>
          <w:tblCellMar>
            <w:top w:w="0" w:type="dxa"/>
            <w:left w:w="170" w:type="dxa"/>
            <w:bottom w:w="0" w:type="dxa"/>
            <w:right w:w="170" w:type="dxa"/>
          </w:tblCellMar>
        </w:tblPrEx>
        <w:trPr>
          <w:trHeight w:val="244" w:hRule="atLeast"/>
        </w:trPr>
        <w:tc>
          <w:tcPr>
            <w:tcW w:w="1124" w:type="pct"/>
            <w:shd w:val="clear" w:color="auto" w:fill="auto"/>
            <w:noWrap/>
            <w:tcMar>
              <w:top w:w="15" w:type="dxa"/>
              <w:left w:w="15" w:type="dxa"/>
              <w:right w:w="15" w:type="dxa"/>
            </w:tcMar>
            <w:vAlign w:val="bottom"/>
          </w:tcPr>
          <w:p w14:paraId="58EDA3C5">
            <w:pPr>
              <w:spacing w:line="280" w:lineRule="exact"/>
              <w:rPr>
                <w:rFonts w:hint="default" w:ascii="Times New Roman" w:hAnsi="Times New Roman" w:cs="Times New Roman"/>
                <w:color w:val="000000"/>
                <w:kern w:val="2"/>
                <w:sz w:val="20"/>
                <w:szCs w:val="20"/>
              </w:rPr>
            </w:pPr>
          </w:p>
        </w:tc>
        <w:tc>
          <w:tcPr>
            <w:tcW w:w="854" w:type="pct"/>
            <w:shd w:val="clear" w:color="auto" w:fill="auto"/>
            <w:noWrap/>
            <w:tcMar>
              <w:top w:w="15" w:type="dxa"/>
              <w:left w:w="15" w:type="dxa"/>
              <w:right w:w="15" w:type="dxa"/>
            </w:tcMar>
            <w:vAlign w:val="bottom"/>
          </w:tcPr>
          <w:p w14:paraId="3240791C">
            <w:pPr>
              <w:spacing w:line="280" w:lineRule="exact"/>
              <w:jc w:val="center"/>
              <w:rPr>
                <w:rFonts w:hint="default" w:ascii="Times New Roman" w:hAnsi="Times New Roman" w:cs="Times New Roman"/>
                <w:color w:val="000000"/>
                <w:kern w:val="2"/>
                <w:sz w:val="20"/>
                <w:szCs w:val="20"/>
              </w:rPr>
            </w:pPr>
          </w:p>
        </w:tc>
        <w:tc>
          <w:tcPr>
            <w:tcW w:w="840" w:type="pct"/>
            <w:shd w:val="clear" w:color="auto" w:fill="auto"/>
            <w:noWrap/>
            <w:tcMar>
              <w:top w:w="15" w:type="dxa"/>
              <w:left w:w="15" w:type="dxa"/>
              <w:right w:w="15" w:type="dxa"/>
            </w:tcMar>
            <w:vAlign w:val="bottom"/>
          </w:tcPr>
          <w:p w14:paraId="5D027910">
            <w:pPr>
              <w:spacing w:line="280" w:lineRule="exact"/>
              <w:jc w:val="right"/>
              <w:rPr>
                <w:rFonts w:hint="default" w:ascii="Times New Roman" w:hAnsi="Times New Roman" w:cs="Times New Roman"/>
                <w:color w:val="000000"/>
                <w:kern w:val="2"/>
                <w:sz w:val="20"/>
                <w:szCs w:val="20"/>
              </w:rPr>
            </w:pPr>
          </w:p>
        </w:tc>
        <w:tc>
          <w:tcPr>
            <w:tcW w:w="1299" w:type="pct"/>
            <w:shd w:val="clear" w:color="auto" w:fill="auto"/>
            <w:noWrap/>
            <w:tcMar>
              <w:top w:w="15" w:type="dxa"/>
              <w:left w:w="15" w:type="dxa"/>
              <w:right w:w="15" w:type="dxa"/>
            </w:tcMar>
            <w:vAlign w:val="bottom"/>
          </w:tcPr>
          <w:p w14:paraId="36F1D210">
            <w:pPr>
              <w:spacing w:line="280" w:lineRule="exact"/>
              <w:rPr>
                <w:rFonts w:hint="default" w:ascii="Times New Roman" w:hAnsi="Times New Roman" w:cs="Times New Roman"/>
                <w:color w:val="000000"/>
                <w:kern w:val="2"/>
                <w:sz w:val="20"/>
                <w:szCs w:val="20"/>
              </w:rPr>
            </w:pPr>
          </w:p>
        </w:tc>
        <w:tc>
          <w:tcPr>
            <w:tcW w:w="879" w:type="pct"/>
            <w:shd w:val="clear" w:color="auto" w:fill="auto"/>
            <w:noWrap/>
            <w:tcMar>
              <w:top w:w="15" w:type="dxa"/>
              <w:left w:w="15" w:type="dxa"/>
              <w:right w:w="15" w:type="dxa"/>
            </w:tcMar>
            <w:vAlign w:val="bottom"/>
          </w:tcPr>
          <w:p w14:paraId="4223EB79">
            <w:pPr>
              <w:spacing w:line="280" w:lineRule="exact"/>
              <w:jc w:val="right"/>
              <w:textAlignment w:val="bottom"/>
              <w:rPr>
                <w:rFonts w:hint="default" w:ascii="Times New Roman" w:hAnsi="Times New Roman" w:cs="Times New Roman"/>
                <w:color w:val="000000"/>
                <w:kern w:val="2"/>
                <w:sz w:val="20"/>
                <w:szCs w:val="20"/>
              </w:rPr>
            </w:pPr>
            <w:r>
              <w:rPr>
                <w:rFonts w:hint="default" w:ascii="Times New Roman" w:hAnsi="Times New Roman" w:cs="Times New Roman"/>
                <w:color w:val="000000"/>
                <w:kern w:val="2"/>
                <w:sz w:val="20"/>
                <w:szCs w:val="20"/>
              </w:rPr>
              <w:t>公开09表</w:t>
            </w:r>
          </w:p>
        </w:tc>
      </w:tr>
      <w:tr w14:paraId="0E3503E0">
        <w:tblPrEx>
          <w:tblCellMar>
            <w:top w:w="0" w:type="dxa"/>
            <w:left w:w="170" w:type="dxa"/>
            <w:bottom w:w="0" w:type="dxa"/>
            <w:right w:w="170" w:type="dxa"/>
          </w:tblCellMar>
        </w:tblPrEx>
        <w:trPr>
          <w:trHeight w:val="244" w:hRule="atLeast"/>
        </w:trPr>
        <w:tc>
          <w:tcPr>
            <w:tcW w:w="1979" w:type="pct"/>
            <w:gridSpan w:val="2"/>
            <w:tcBorders>
              <w:top w:val="nil"/>
              <w:left w:val="nil"/>
              <w:bottom w:val="single" w:color="auto" w:sz="4" w:space="0"/>
              <w:right w:val="nil"/>
            </w:tcBorders>
            <w:shd w:val="clear" w:color="auto" w:fill="auto"/>
            <w:noWrap/>
            <w:tcMar>
              <w:top w:w="15" w:type="dxa"/>
              <w:left w:w="15" w:type="dxa"/>
              <w:right w:w="15" w:type="dxa"/>
            </w:tcMar>
            <w:vAlign w:val="bottom"/>
          </w:tcPr>
          <w:p w14:paraId="604FCDB6">
            <w:pPr>
              <w:spacing w:line="280" w:lineRule="exact"/>
              <w:rPr>
                <w:rFonts w:hint="default" w:ascii="Times New Roman" w:hAnsi="Times New Roman" w:cs="Times New Roman"/>
                <w:color w:val="000000"/>
                <w:kern w:val="2"/>
                <w:sz w:val="20"/>
                <w:szCs w:val="20"/>
              </w:rPr>
            </w:pPr>
            <w:r>
              <w:rPr>
                <w:rFonts w:hint="default" w:ascii="Times New Roman" w:hAnsi="Times New Roman" w:cs="Times New Roman"/>
                <w:kern w:val="2"/>
                <w:sz w:val="20"/>
                <w:szCs w:val="20"/>
              </w:rPr>
              <w:t>部门</w:t>
            </w:r>
            <w:r>
              <w:rPr>
                <w:rFonts w:hint="default" w:ascii="Times New Roman" w:hAnsi="Times New Roman" w:cs="Times New Roman"/>
                <w:color w:val="000000"/>
                <w:kern w:val="2"/>
                <w:sz w:val="20"/>
                <w:szCs w:val="20"/>
              </w:rPr>
              <w:t>：</w:t>
            </w:r>
            <w:r>
              <w:rPr>
                <w:rFonts w:hint="default" w:ascii="Times New Roman" w:hAnsi="Times New Roman" w:cs="Times New Roman"/>
                <w:color w:val="000000"/>
                <w:sz w:val="20"/>
                <w:u w:color="auto"/>
              </w:rPr>
              <w:t>潼南区塘坝镇</w:t>
            </w:r>
          </w:p>
        </w:tc>
        <w:tc>
          <w:tcPr>
            <w:tcW w:w="840" w:type="pct"/>
            <w:tcBorders>
              <w:top w:val="nil"/>
              <w:left w:val="nil"/>
              <w:bottom w:val="single" w:color="auto" w:sz="4" w:space="0"/>
              <w:right w:val="nil"/>
            </w:tcBorders>
            <w:shd w:val="clear" w:color="auto" w:fill="auto"/>
            <w:noWrap/>
            <w:tcMar>
              <w:top w:w="15" w:type="dxa"/>
              <w:left w:w="15" w:type="dxa"/>
              <w:right w:w="15" w:type="dxa"/>
            </w:tcMar>
            <w:vAlign w:val="bottom"/>
          </w:tcPr>
          <w:p w14:paraId="03B619F9">
            <w:pPr>
              <w:spacing w:line="280" w:lineRule="exact"/>
              <w:jc w:val="right"/>
              <w:rPr>
                <w:rFonts w:hint="default" w:ascii="Times New Roman" w:hAnsi="Times New Roman" w:cs="Times New Roman"/>
                <w:color w:val="000000"/>
                <w:kern w:val="2"/>
                <w:sz w:val="20"/>
                <w:szCs w:val="20"/>
              </w:rPr>
            </w:pPr>
          </w:p>
        </w:tc>
        <w:tc>
          <w:tcPr>
            <w:tcW w:w="1299" w:type="pct"/>
            <w:tcBorders>
              <w:top w:val="nil"/>
              <w:left w:val="nil"/>
              <w:bottom w:val="single" w:color="auto" w:sz="4" w:space="0"/>
              <w:right w:val="nil"/>
            </w:tcBorders>
            <w:shd w:val="clear" w:color="auto" w:fill="auto"/>
            <w:noWrap/>
            <w:tcMar>
              <w:top w:w="15" w:type="dxa"/>
              <w:left w:w="15" w:type="dxa"/>
              <w:right w:w="15" w:type="dxa"/>
            </w:tcMar>
            <w:vAlign w:val="bottom"/>
          </w:tcPr>
          <w:p w14:paraId="1C1F06B5">
            <w:pPr>
              <w:spacing w:line="280" w:lineRule="exact"/>
              <w:rPr>
                <w:rFonts w:hint="default" w:ascii="Times New Roman" w:hAnsi="Times New Roman" w:cs="Times New Roman"/>
                <w:color w:val="000000"/>
                <w:kern w:val="2"/>
                <w:sz w:val="20"/>
                <w:szCs w:val="20"/>
              </w:rPr>
            </w:pPr>
          </w:p>
        </w:tc>
        <w:tc>
          <w:tcPr>
            <w:tcW w:w="879" w:type="pct"/>
            <w:tcBorders>
              <w:top w:val="nil"/>
              <w:left w:val="nil"/>
              <w:bottom w:val="single" w:color="auto" w:sz="4" w:space="0"/>
              <w:right w:val="nil"/>
            </w:tcBorders>
            <w:shd w:val="clear" w:color="auto" w:fill="auto"/>
            <w:noWrap/>
            <w:tcMar>
              <w:top w:w="15" w:type="dxa"/>
              <w:left w:w="15" w:type="dxa"/>
              <w:right w:w="15" w:type="dxa"/>
            </w:tcMar>
            <w:vAlign w:val="bottom"/>
          </w:tcPr>
          <w:p w14:paraId="159DF454">
            <w:pPr>
              <w:spacing w:line="280" w:lineRule="exact"/>
              <w:jc w:val="right"/>
              <w:textAlignment w:val="bottom"/>
              <w:rPr>
                <w:rFonts w:hint="default" w:ascii="Times New Roman" w:hAnsi="Times New Roman" w:cs="Times New Roman"/>
                <w:color w:val="000000"/>
                <w:kern w:val="2"/>
                <w:sz w:val="20"/>
                <w:szCs w:val="20"/>
              </w:rPr>
            </w:pPr>
            <w:r>
              <w:rPr>
                <w:rFonts w:hint="default" w:ascii="Times New Roman" w:hAnsi="Times New Roman" w:cs="Times New Roman"/>
                <w:color w:val="000000"/>
                <w:kern w:val="2"/>
                <w:sz w:val="20"/>
                <w:szCs w:val="20"/>
              </w:rPr>
              <w:t>单位：</w:t>
            </w:r>
            <w:r>
              <w:rPr>
                <w:rFonts w:hint="default" w:ascii="Times New Roman" w:hAnsi="Times New Roman" w:cs="Times New Roman"/>
                <w:kern w:val="2"/>
                <w:sz w:val="20"/>
                <w:szCs w:val="20"/>
              </w:rPr>
              <w:t>万元</w:t>
            </w:r>
          </w:p>
        </w:tc>
      </w:tr>
      <w:tr w14:paraId="36BBB337">
        <w:tblPrEx>
          <w:tblCellMar>
            <w:top w:w="0" w:type="dxa"/>
            <w:left w:w="170" w:type="dxa"/>
            <w:bottom w:w="0" w:type="dxa"/>
            <w:right w:w="170" w:type="dxa"/>
          </w:tblCellMar>
        </w:tblPrEx>
        <w:trPr>
          <w:trHeight w:val="28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33A3C74">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项  目</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AF936C4">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预算数</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4971E9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决算数</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265632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项  目</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56DE7C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决算数</w:t>
            </w:r>
          </w:p>
        </w:tc>
      </w:tr>
      <w:tr w14:paraId="4F92A8E8">
        <w:tblPrEx>
          <w:tblCellMar>
            <w:top w:w="0" w:type="dxa"/>
            <w:left w:w="170" w:type="dxa"/>
            <w:bottom w:w="0" w:type="dxa"/>
            <w:right w:w="170" w:type="dxa"/>
          </w:tblCellMar>
        </w:tblPrEx>
        <w:trPr>
          <w:trHeight w:val="28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B99EA68">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一、“三公”经费支出</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93C87B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8F962B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A8A3DBB">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五、机关运行经费</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76C6F87">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207.24</w:t>
            </w:r>
            <w:r>
              <w:rPr>
                <w:rFonts w:hint="default" w:ascii="Times New Roman" w:hAnsi="Times New Roman" w:cs="Times New Roman"/>
                <w:color w:val="000000"/>
                <w:sz w:val="18"/>
                <w:u w:color="auto"/>
              </w:rPr>
              <w:t xml:space="preserve"> </w:t>
            </w:r>
          </w:p>
        </w:tc>
      </w:tr>
      <w:tr w14:paraId="2F110C2D">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E4A4FA4">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（一）支出合计</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6B991AF">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37.98</w:t>
            </w:r>
            <w:r>
              <w:rPr>
                <w:rFonts w:hint="default" w:ascii="Times New Roman" w:hAnsi="Times New Roman" w:cs="Times New Roman"/>
                <w:color w:val="000000"/>
                <w:sz w:val="18"/>
                <w:u w:color="auto"/>
              </w:rPr>
              <w:t xml:space="preserve"> </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3036A53">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37.98</w:t>
            </w: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0019FE0">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（一）行政单位</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BA24184">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207.24</w:t>
            </w:r>
            <w:r>
              <w:rPr>
                <w:rFonts w:hint="default" w:ascii="Times New Roman" w:hAnsi="Times New Roman" w:cs="Times New Roman"/>
                <w:color w:val="000000"/>
                <w:sz w:val="18"/>
                <w:u w:color="auto"/>
              </w:rPr>
              <w:t xml:space="preserve"> </w:t>
            </w:r>
          </w:p>
        </w:tc>
      </w:tr>
      <w:tr w14:paraId="424EEDCC">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47CDD25">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1．因公出国（境）费</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8A9458F">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995BE45">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51E6AED">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（二）参照公务员法管理事业单位</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4E2D300">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CBC9398">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B6E62A1">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2．公务用车购置及运行维护费</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509D2FA">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8.83</w:t>
            </w:r>
            <w:r>
              <w:rPr>
                <w:rFonts w:hint="default" w:ascii="Times New Roman" w:hAnsi="Times New Roman" w:cs="Times New Roman"/>
                <w:color w:val="000000"/>
                <w:sz w:val="18"/>
                <w:u w:color="auto"/>
              </w:rPr>
              <w:t xml:space="preserve"> </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CAACF6B">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8.83</w:t>
            </w: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8CA5691">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六、资产信息</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89933B3">
            <w:pPr>
              <w:keepNext w:val="0"/>
              <w:keepLines w:val="0"/>
              <w:pageBreakBefore w:val="0"/>
              <w:widowControl/>
              <w:kinsoku/>
              <w:wordWrap/>
              <w:overflowPunct/>
              <w:topLinePunct w:val="0"/>
              <w:autoSpaceDE/>
              <w:autoSpaceDN/>
              <w:bidi w:val="0"/>
              <w:adjustRightInd/>
              <w:snapToGrid/>
              <w:spacing w:line="280" w:lineRule="exact"/>
              <w:ind w:right="120" w:rightChars="50"/>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w:t>
            </w:r>
          </w:p>
        </w:tc>
      </w:tr>
      <w:tr w14:paraId="2DD8DB74">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D8443A6">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（1）公务用车购置费</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E0DCE2A">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35ECB4C">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98A0DC6">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（一）车辆数合计（辆）</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5A8942C">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w:t>
            </w:r>
            <w:r>
              <w:rPr>
                <w:rFonts w:hint="default" w:ascii="Times New Roman" w:hAnsi="Times New Roman" w:cs="Times New Roman"/>
                <w:color w:val="000000"/>
                <w:sz w:val="18"/>
                <w:u w:color="auto"/>
              </w:rPr>
              <w:t xml:space="preserve"> </w:t>
            </w:r>
          </w:p>
        </w:tc>
      </w:tr>
      <w:tr w14:paraId="4F685CC0">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0946971">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（2）公务用车运行维护费</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EFE2277">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8.83</w:t>
            </w:r>
            <w:r>
              <w:rPr>
                <w:rFonts w:hint="default" w:ascii="Times New Roman" w:hAnsi="Times New Roman" w:cs="Times New Roman"/>
                <w:color w:val="000000"/>
                <w:sz w:val="18"/>
                <w:u w:color="auto"/>
              </w:rPr>
              <w:t xml:space="preserve"> </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2F1E991">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8.83</w:t>
            </w: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3C72E9A">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1．副部（省）级及以上领导用车</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7A283DE">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33DE897">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772BCC4">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3．公务接待费</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A82C758">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29.15</w:t>
            </w:r>
            <w:r>
              <w:rPr>
                <w:rFonts w:hint="default" w:ascii="Times New Roman" w:hAnsi="Times New Roman" w:cs="Times New Roman"/>
                <w:color w:val="000000"/>
                <w:sz w:val="18"/>
                <w:u w:color="auto"/>
              </w:rPr>
              <w:t xml:space="preserve"> </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0CECFE9">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29.15</w:t>
            </w: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B50A1B6">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2．主要领导干部用车</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087CA27">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AE34BEA">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02D85C8">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（1）国内接待费</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DF6E2D8">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603293D">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29.15</w:t>
            </w: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B239CBF">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3．机要通信用车</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8472CE6">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2598A77">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34A72D5">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其中：外事接待费</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17D9189">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44B186E">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22EEC71">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4．应急保障用车</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F7C0B24">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w:t>
            </w:r>
            <w:r>
              <w:rPr>
                <w:rFonts w:hint="default" w:ascii="Times New Roman" w:hAnsi="Times New Roman" w:cs="Times New Roman"/>
                <w:color w:val="000000"/>
                <w:sz w:val="18"/>
                <w:u w:color="auto"/>
              </w:rPr>
              <w:t xml:space="preserve"> </w:t>
            </w:r>
          </w:p>
        </w:tc>
      </w:tr>
      <w:tr w14:paraId="13F6F3FD">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07876BE">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（2）国（境）外接待费</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8B339A4">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E5AC390">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B399C3A">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5．执法执勤用车</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D6DD0AF">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166C02E">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761D64F">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（二）相关统计数</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B658708">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F342029">
            <w:pPr>
              <w:keepNext w:val="0"/>
              <w:keepLines w:val="0"/>
              <w:pageBreakBefore w:val="0"/>
              <w:widowControl/>
              <w:kinsoku/>
              <w:wordWrap/>
              <w:overflowPunct/>
              <w:topLinePunct w:val="0"/>
              <w:autoSpaceDE/>
              <w:autoSpaceDN/>
              <w:bidi w:val="0"/>
              <w:adjustRightInd/>
              <w:snapToGrid/>
              <w:spacing w:line="280" w:lineRule="exact"/>
              <w:ind w:right="120" w:rightChars="50"/>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5A4FF4E">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6．特种专业技术用车</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CBBA5C5">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FD7692A">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11DFAE6">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1．因公出国（境）团组数（个）</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7663841">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59F38B1">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C8741CE">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7．离退休干部用车</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90B42EC">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39EED30">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BFE395F">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2．因公出国（境）人次数（人）</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B6311D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FA403BC">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119FAFD">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8．其他用车</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8BA0F93">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B5769E6">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DD5037C">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3．公务用车购置数（辆）</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DB85887">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BA40376">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32BAE34">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（二）单价100万元（含）以上设备（不含车辆）</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5C9DFB7">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F46B531">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7B3E8CA">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4．公务用车保有量（辆）</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C3ADC80">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4B10A25">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2</w:t>
            </w: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3CB4A64">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七、政府采购支出信息</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022571E">
            <w:pPr>
              <w:keepNext w:val="0"/>
              <w:keepLines w:val="0"/>
              <w:pageBreakBefore w:val="0"/>
              <w:widowControl/>
              <w:kinsoku/>
              <w:wordWrap/>
              <w:overflowPunct/>
              <w:topLinePunct w:val="0"/>
              <w:autoSpaceDE/>
              <w:autoSpaceDN/>
              <w:bidi w:val="0"/>
              <w:adjustRightInd/>
              <w:snapToGrid/>
              <w:spacing w:line="280" w:lineRule="exact"/>
              <w:ind w:right="120" w:rightChars="50"/>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w:t>
            </w:r>
          </w:p>
        </w:tc>
      </w:tr>
      <w:tr w14:paraId="12BE7181">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935B3B0">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5．国内公务接待批次（个）</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6778E76">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D40B302">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430</w:t>
            </w: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7F97327">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（一）政府采购支出合计</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7F7A230">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4.82</w:t>
            </w:r>
            <w:r>
              <w:rPr>
                <w:rFonts w:hint="default" w:ascii="Times New Roman" w:hAnsi="Times New Roman" w:cs="Times New Roman"/>
                <w:color w:val="000000"/>
                <w:sz w:val="18"/>
                <w:u w:color="auto"/>
              </w:rPr>
              <w:t xml:space="preserve"> </w:t>
            </w:r>
          </w:p>
        </w:tc>
      </w:tr>
      <w:tr w14:paraId="21F98905">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1A93BB4">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其中：外事接待批次（个）</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1DF9C5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1CC8159">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D39D537">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1．政府采购货物支出</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8FF15B3">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4.82</w:t>
            </w:r>
            <w:r>
              <w:rPr>
                <w:rFonts w:hint="default" w:ascii="Times New Roman" w:hAnsi="Times New Roman" w:cs="Times New Roman"/>
                <w:color w:val="000000"/>
                <w:sz w:val="18"/>
                <w:u w:color="auto"/>
              </w:rPr>
              <w:t xml:space="preserve"> </w:t>
            </w:r>
          </w:p>
        </w:tc>
      </w:tr>
      <w:tr w14:paraId="3670B1A2">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C6C8989">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6．国内公务接待人次（人）</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496FCF0">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5DF4F58">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3,450</w:t>
            </w: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094194B">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2．政府采购工程支出</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1EDE5F6">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47D6B68">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6EBB5FA">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其中：外事接待人次（人）</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3725788">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A83E5B8">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C56319D">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3．政府采购服务支出</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91389CC">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201F414">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60B350F">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7．国（境）外公务接待批次（个）</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63B2E8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E631612">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327258C">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（二）政府采购授予中小企业合同金额</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530B214">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959D8F7">
        <w:tblPrEx>
          <w:tblCellMar>
            <w:top w:w="0" w:type="dxa"/>
            <w:left w:w="170" w:type="dxa"/>
            <w:bottom w:w="0" w:type="dxa"/>
            <w:right w:w="170" w:type="dxa"/>
          </w:tblCellMar>
        </w:tblPrEx>
        <w:trPr>
          <w:trHeight w:val="292"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64C169D">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8．国（境）外公务接待人次（人）</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C9175F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C4AE8BA">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3DB61BE">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其中：授予小微企业合同金额</w:t>
            </w: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87F97F4">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EA61D21">
        <w:tblPrEx>
          <w:tblCellMar>
            <w:top w:w="0" w:type="dxa"/>
            <w:left w:w="170" w:type="dxa"/>
            <w:bottom w:w="0" w:type="dxa"/>
            <w:right w:w="170" w:type="dxa"/>
          </w:tblCellMar>
        </w:tblPrEx>
        <w:trPr>
          <w:trHeight w:val="286"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0FA7F2B">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二、会议费</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705814B">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E1769F6">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11.15</w:t>
            </w: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9FC3CC1">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cs="Times New Roman"/>
                <w:color w:val="000000"/>
                <w:kern w:val="2"/>
                <w:sz w:val="16"/>
                <w:szCs w:val="16"/>
              </w:rPr>
            </w:pP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56F1499">
            <w:pPr>
              <w:keepNext w:val="0"/>
              <w:keepLines w:val="0"/>
              <w:pageBreakBefore w:val="0"/>
              <w:widowControl/>
              <w:kinsoku/>
              <w:wordWrap/>
              <w:overflowPunct/>
              <w:topLinePunct w:val="0"/>
              <w:autoSpaceDE/>
              <w:autoSpaceDN/>
              <w:bidi w:val="0"/>
              <w:adjustRightInd/>
              <w:snapToGrid/>
              <w:spacing w:line="280" w:lineRule="exact"/>
              <w:jc w:val="right"/>
              <w:rPr>
                <w:rFonts w:hint="default" w:ascii="Times New Roman" w:hAnsi="Times New Roman" w:cs="Times New Roman"/>
                <w:color w:val="000000"/>
                <w:kern w:val="2"/>
                <w:sz w:val="16"/>
                <w:szCs w:val="16"/>
              </w:rPr>
            </w:pPr>
          </w:p>
        </w:tc>
      </w:tr>
      <w:tr w14:paraId="22AAC7D8">
        <w:tblPrEx>
          <w:tblCellMar>
            <w:top w:w="0" w:type="dxa"/>
            <w:left w:w="170" w:type="dxa"/>
            <w:bottom w:w="0" w:type="dxa"/>
            <w:right w:w="170" w:type="dxa"/>
          </w:tblCellMar>
        </w:tblPrEx>
        <w:trPr>
          <w:trHeight w:val="389"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0BF2FDB">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三、培训费</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5E6C556">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00C9BAC">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3.60</w:t>
            </w: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E5F1D91">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cs="Times New Roman"/>
                <w:color w:val="000000"/>
                <w:kern w:val="2"/>
                <w:sz w:val="16"/>
                <w:szCs w:val="16"/>
              </w:rPr>
            </w:pP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888C69F">
            <w:pPr>
              <w:keepNext w:val="0"/>
              <w:keepLines w:val="0"/>
              <w:pageBreakBefore w:val="0"/>
              <w:widowControl/>
              <w:kinsoku/>
              <w:wordWrap/>
              <w:overflowPunct/>
              <w:topLinePunct w:val="0"/>
              <w:autoSpaceDE/>
              <w:autoSpaceDN/>
              <w:bidi w:val="0"/>
              <w:adjustRightInd/>
              <w:snapToGrid/>
              <w:spacing w:line="280" w:lineRule="exact"/>
              <w:jc w:val="right"/>
              <w:rPr>
                <w:rFonts w:hint="default" w:ascii="Times New Roman" w:hAnsi="Times New Roman" w:cs="Times New Roman"/>
                <w:color w:val="000000"/>
                <w:kern w:val="2"/>
                <w:sz w:val="16"/>
                <w:szCs w:val="16"/>
              </w:rPr>
            </w:pPr>
          </w:p>
        </w:tc>
      </w:tr>
      <w:tr w14:paraId="70072FA7">
        <w:tblPrEx>
          <w:tblCellMar>
            <w:top w:w="0" w:type="dxa"/>
            <w:left w:w="170" w:type="dxa"/>
            <w:bottom w:w="0" w:type="dxa"/>
            <w:right w:w="170" w:type="dxa"/>
          </w:tblCellMar>
        </w:tblPrEx>
        <w:trPr>
          <w:trHeight w:val="389" w:hRule="atLeast"/>
        </w:trPr>
        <w:tc>
          <w:tcPr>
            <w:tcW w:w="112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286777F">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sz w:val="16"/>
                <w:szCs w:val="16"/>
              </w:rPr>
            </w:pPr>
            <w:r>
              <w:rPr>
                <w:rFonts w:hint="default" w:ascii="Times New Roman" w:hAnsi="Times New Roman" w:cs="Times New Roman"/>
                <w:b/>
                <w:bCs/>
                <w:color w:val="000000"/>
                <w:sz w:val="16"/>
                <w:szCs w:val="16"/>
              </w:rPr>
              <w:t>四、差旅费</w:t>
            </w:r>
          </w:p>
        </w:tc>
        <w:tc>
          <w:tcPr>
            <w:tcW w:w="85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4200209">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w:t>
            </w:r>
          </w:p>
        </w:tc>
        <w:tc>
          <w:tcPr>
            <w:tcW w:w="84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B306098">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67.80</w:t>
            </w:r>
            <w:r>
              <w:rPr>
                <w:rFonts w:hint="default" w:ascii="Times New Roman" w:hAnsi="Times New Roman" w:cs="Times New Roman"/>
                <w:color w:val="000000"/>
                <w:sz w:val="18"/>
                <w:u w:color="auto"/>
              </w:rPr>
              <w:t xml:space="preserve"> </w:t>
            </w:r>
          </w:p>
        </w:tc>
        <w:tc>
          <w:tcPr>
            <w:tcW w:w="129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4818C67">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cs="Times New Roman"/>
                <w:color w:val="000000"/>
                <w:sz w:val="16"/>
                <w:szCs w:val="16"/>
              </w:rPr>
            </w:pPr>
          </w:p>
        </w:tc>
        <w:tc>
          <w:tcPr>
            <w:tcW w:w="8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73DA818">
            <w:pPr>
              <w:keepNext w:val="0"/>
              <w:keepLines w:val="0"/>
              <w:pageBreakBefore w:val="0"/>
              <w:widowControl/>
              <w:kinsoku/>
              <w:wordWrap/>
              <w:overflowPunct/>
              <w:topLinePunct w:val="0"/>
              <w:autoSpaceDE/>
              <w:autoSpaceDN/>
              <w:bidi w:val="0"/>
              <w:adjustRightInd/>
              <w:snapToGrid/>
              <w:spacing w:line="280" w:lineRule="exact"/>
              <w:jc w:val="right"/>
              <w:rPr>
                <w:rFonts w:hint="default" w:ascii="Times New Roman" w:hAnsi="Times New Roman" w:cs="Times New Roman"/>
                <w:color w:val="000000"/>
                <w:sz w:val="16"/>
                <w:szCs w:val="16"/>
              </w:rPr>
            </w:pPr>
          </w:p>
        </w:tc>
      </w:tr>
    </w:tbl>
    <w:p w14:paraId="51DF5227">
      <w:pPr>
        <w:rPr>
          <w:rFonts w:hint="default" w:ascii="Times New Roman" w:hAnsi="Times New Roman" w:cs="Times New Roman"/>
          <w:sz w:val="18"/>
          <w:szCs w:val="18"/>
        </w:rPr>
        <w:sectPr>
          <w:headerReference r:id="rId4" w:type="default"/>
          <w:footerReference r:id="rId5" w:type="default"/>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sz w:val="18"/>
          <w:szCs w:val="18"/>
        </w:rPr>
        <w:t>备注：1.本表反映部门本年度财政拨款“三公”经费支出预决算情况。其中，预算数为“三公”经费全年预算数，反映按规定程序调整后的预算数；决算数为包括本年度财政拨款和以前年度结转资金安排的实际支出。</w:t>
      </w:r>
      <w:r>
        <w:rPr>
          <w:rFonts w:hint="default" w:ascii="Times New Roman" w:hAnsi="Times New Roman" w:cs="Times New Roman"/>
          <w:sz w:val="18"/>
          <w:szCs w:val="18"/>
        </w:rPr>
        <w:br w:type="textWrapping"/>
      </w:r>
      <w:r>
        <w:rPr>
          <w:rFonts w:hint="default" w:ascii="Times New Roman" w:hAnsi="Times New Roman" w:cs="Times New Roman"/>
          <w:sz w:val="18"/>
          <w:szCs w:val="18"/>
        </w:rPr>
        <w:t xml:space="preserve">      2.本套报表金额单位转换时可能存在尾数误差。</w:t>
      </w:r>
      <w:r>
        <w:rPr>
          <w:rFonts w:hint="default" w:ascii="Times New Roman" w:hAnsi="Times New Roman" w:cs="Times New Roman"/>
          <w:sz w:val="18"/>
          <w:szCs w:val="18"/>
        </w:rPr>
        <w:br w:type="textWrapping"/>
      </w:r>
    </w:p>
    <w:tbl>
      <w:tblPr>
        <w:tblStyle w:val="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17"/>
        <w:gridCol w:w="1967"/>
        <w:gridCol w:w="568"/>
        <w:gridCol w:w="1800"/>
        <w:gridCol w:w="945"/>
        <w:gridCol w:w="1756"/>
        <w:gridCol w:w="899"/>
        <w:gridCol w:w="1850"/>
        <w:gridCol w:w="930"/>
        <w:gridCol w:w="1288"/>
        <w:gridCol w:w="1195"/>
      </w:tblGrid>
      <w:tr w14:paraId="3119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5415"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B636">
            <w:pPr>
              <w:keepNext w:val="0"/>
              <w:keepLines w:val="0"/>
              <w:widowControl/>
              <w:suppressLineNumbers w:val="0"/>
              <w:jc w:val="center"/>
              <w:textAlignment w:val="center"/>
              <w:rPr>
                <w:rFonts w:hint="default" w:ascii="Times New Roman" w:hAnsi="Times New Roman" w:eastAsia="微软雅黑" w:cs="Times New Roman"/>
                <w:b/>
                <w:bCs/>
                <w:i w:val="0"/>
                <w:iCs w:val="0"/>
                <w:color w:val="000000"/>
                <w:sz w:val="40"/>
                <w:szCs w:val="40"/>
                <w:u w:val="none"/>
              </w:rPr>
            </w:pPr>
            <w:r>
              <w:rPr>
                <w:rFonts w:hint="default" w:ascii="Times New Roman" w:hAnsi="Times New Roman" w:eastAsia="微软雅黑" w:cs="Times New Roman"/>
                <w:b/>
                <w:bCs/>
                <w:i w:val="0"/>
                <w:iCs w:val="0"/>
                <w:color w:val="000000"/>
                <w:kern w:val="0"/>
                <w:sz w:val="40"/>
                <w:szCs w:val="40"/>
                <w:u w:val="none"/>
                <w:lang w:val="en-US" w:eastAsia="zh-CN" w:bidi="ar"/>
              </w:rPr>
              <w:t>2024年度部门整体绩效自评表</w:t>
            </w:r>
          </w:p>
        </w:tc>
      </w:tr>
      <w:tr w14:paraId="57639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5415"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A4B4">
            <w:pPr>
              <w:keepNext w:val="0"/>
              <w:keepLines w:val="0"/>
              <w:widowControl/>
              <w:suppressLineNumbers w:val="0"/>
              <w:ind w:firstLineChars="100"/>
              <w:jc w:val="right"/>
              <w:textAlignment w:val="center"/>
              <w:rPr>
                <w:rFonts w:hint="default" w:ascii="Times New Roman" w:hAnsi="Times New Roman" w:eastAsia="宋体" w:cs="Times New Roman"/>
                <w:b/>
                <w:bCs/>
                <w:i w:val="0"/>
                <w:iCs w:val="0"/>
                <w:color w:val="DA3232"/>
                <w:sz w:val="22"/>
                <w:szCs w:val="22"/>
                <w:u w:val="none"/>
              </w:rPr>
            </w:pPr>
            <w:r>
              <w:rPr>
                <w:rFonts w:hint="default" w:ascii="Times New Roman" w:hAnsi="Times New Roman" w:eastAsia="宋体" w:cs="Times New Roman"/>
                <w:b/>
                <w:bCs/>
                <w:i w:val="0"/>
                <w:iCs w:val="0"/>
                <w:color w:val="DA3232"/>
                <w:kern w:val="0"/>
                <w:sz w:val="22"/>
                <w:szCs w:val="22"/>
                <w:u w:val="none"/>
                <w:lang w:val="en-US" w:eastAsia="zh-CN" w:bidi="ar"/>
              </w:rPr>
              <w:t>状态：绩效审核已审</w:t>
            </w:r>
          </w:p>
        </w:tc>
      </w:tr>
      <w:tr w14:paraId="431D0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D57B">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项目名称：</w:t>
            </w:r>
          </w:p>
        </w:tc>
        <w:tc>
          <w:tcPr>
            <w:tcW w:w="25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F2A0">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1"/>
                <w:szCs w:val="21"/>
                <w:u w:val="none"/>
                <w:lang w:val="en-US" w:eastAsia="zh-CN" w:bidi="ar"/>
              </w:rPr>
              <w:t>潼南区塘坝镇整体自评</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7D93">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项目编码：</w:t>
            </w:r>
          </w:p>
        </w:tc>
        <w:tc>
          <w:tcPr>
            <w:tcW w:w="270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2F299">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50015200024P000165</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BF256">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自评总分：</w:t>
            </w:r>
          </w:p>
        </w:tc>
        <w:tc>
          <w:tcPr>
            <w:tcW w:w="27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292E">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99.97</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C0D8D">
            <w:pPr>
              <w:jc w:val="right"/>
              <w:rPr>
                <w:rFonts w:hint="default" w:ascii="Times New Roman" w:hAnsi="Times New Roman" w:eastAsia="宋体" w:cs="Times New Roman"/>
                <w:b/>
                <w:bCs/>
                <w:i w:val="0"/>
                <w:iCs w:val="0"/>
                <w:color w:val="000000"/>
                <w:sz w:val="22"/>
                <w:szCs w:val="22"/>
                <w:u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661F">
            <w:pPr>
              <w:rPr>
                <w:rFonts w:hint="default" w:ascii="Times New Roman" w:hAnsi="Times New Roman" w:eastAsia="宋体" w:cs="Times New Roman"/>
                <w:i w:val="0"/>
                <w:iCs w:val="0"/>
                <w:color w:val="000000"/>
                <w:sz w:val="22"/>
                <w:szCs w:val="22"/>
                <w:u w:val="none"/>
              </w:rPr>
            </w:pPr>
          </w:p>
        </w:tc>
      </w:tr>
      <w:tr w14:paraId="3AFC2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CE46F">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项目主管部门：</w:t>
            </w:r>
          </w:p>
        </w:tc>
        <w:tc>
          <w:tcPr>
            <w:tcW w:w="25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9D1F2">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808-潼南区塘坝镇</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3BD72">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财政归口处室：</w:t>
            </w:r>
          </w:p>
        </w:tc>
        <w:tc>
          <w:tcPr>
            <w:tcW w:w="270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69E64">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008-基层财政科</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D67CB">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部门联系人：</w:t>
            </w:r>
          </w:p>
        </w:tc>
        <w:tc>
          <w:tcPr>
            <w:tcW w:w="27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6CB78">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敬瑜</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3201A">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联系电话：</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3E3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16"/>
                <w:szCs w:val="16"/>
                <w:u w:val="none"/>
                <w:lang w:val="en-US" w:eastAsia="zh-CN" w:bidi="ar"/>
              </w:rPr>
              <w:t>13883346088</w:t>
            </w:r>
          </w:p>
        </w:tc>
      </w:tr>
      <w:tr w14:paraId="2A6D8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415"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B520C">
            <w:pPr>
              <w:keepNext w:val="0"/>
              <w:keepLines w:val="0"/>
              <w:widowControl/>
              <w:suppressLineNumbers w:val="0"/>
              <w:jc w:val="center"/>
              <w:textAlignment w:val="center"/>
              <w:rPr>
                <w:rFonts w:hint="default" w:ascii="Times New Roman" w:hAnsi="Times New Roman" w:eastAsia="微软雅黑" w:cs="Times New Roman"/>
                <w:b/>
                <w:bCs/>
                <w:i w:val="0"/>
                <w:iCs w:val="0"/>
                <w:color w:val="808080"/>
                <w:sz w:val="28"/>
                <w:szCs w:val="28"/>
                <w:u w:val="none"/>
              </w:rPr>
            </w:pPr>
            <w:r>
              <w:rPr>
                <w:rFonts w:hint="default" w:ascii="Times New Roman" w:hAnsi="Times New Roman" w:eastAsia="微软雅黑" w:cs="Times New Roman"/>
                <w:b/>
                <w:bCs/>
                <w:i w:val="0"/>
                <w:iCs w:val="0"/>
                <w:color w:val="808080"/>
                <w:kern w:val="0"/>
                <w:sz w:val="28"/>
                <w:szCs w:val="28"/>
                <w:u w:val="none"/>
                <w:lang w:val="en-US" w:eastAsia="zh-CN" w:bidi="ar"/>
              </w:rPr>
              <w:t>资金情况</w:t>
            </w:r>
          </w:p>
        </w:tc>
      </w:tr>
      <w:tr w14:paraId="670A9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1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4A05">
            <w:pPr>
              <w:jc w:val="center"/>
              <w:rPr>
                <w:rFonts w:hint="default" w:ascii="Times New Roman" w:hAnsi="Times New Roman" w:eastAsia="宋体" w:cs="Times New Roman"/>
                <w:i w:val="0"/>
                <w:iCs w:val="0"/>
                <w:color w:val="000000"/>
                <w:sz w:val="22"/>
                <w:szCs w:val="22"/>
                <w:u w:val="none"/>
              </w:rPr>
            </w:pPr>
          </w:p>
        </w:tc>
        <w:tc>
          <w:tcPr>
            <w:tcW w:w="23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1F0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年初预算数</w:t>
            </w:r>
          </w:p>
        </w:tc>
        <w:tc>
          <w:tcPr>
            <w:tcW w:w="270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4A02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全年（调整）预算数</w:t>
            </w:r>
          </w:p>
        </w:tc>
        <w:tc>
          <w:tcPr>
            <w:tcW w:w="274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AC9B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全年执行数</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C503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执行率</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631A3">
            <w:pPr>
              <w:keepNext w:val="0"/>
              <w:keepLines w:val="0"/>
              <w:widowControl/>
              <w:suppressLineNumbers w:val="0"/>
              <w:jc w:val="lef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执行率权重</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BC9F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执行率得分</w:t>
            </w:r>
          </w:p>
        </w:tc>
      </w:tr>
      <w:tr w14:paraId="7F0BE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nil"/>
            </w:tcBorders>
            <w:shd w:val="clear" w:color="auto" w:fill="auto"/>
            <w:vAlign w:val="center"/>
          </w:tcPr>
          <w:p w14:paraId="34230F7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年度总金额</w:t>
            </w:r>
          </w:p>
        </w:tc>
        <w:tc>
          <w:tcPr>
            <w:tcW w:w="1967" w:type="dxa"/>
            <w:tcBorders>
              <w:top w:val="single" w:color="000000" w:sz="4" w:space="0"/>
              <w:left w:val="nil"/>
              <w:bottom w:val="single" w:color="000000" w:sz="4" w:space="0"/>
              <w:right w:val="single" w:color="000000" w:sz="4" w:space="0"/>
            </w:tcBorders>
            <w:shd w:val="clear" w:color="auto" w:fill="auto"/>
            <w:noWrap/>
            <w:vAlign w:val="center"/>
          </w:tcPr>
          <w:p w14:paraId="7195CE64">
            <w:pPr>
              <w:rPr>
                <w:rFonts w:hint="default" w:ascii="Times New Roman" w:hAnsi="Times New Roman" w:eastAsia="宋体" w:cs="Times New Roman"/>
                <w:i w:val="0"/>
                <w:iCs w:val="0"/>
                <w:color w:val="000000"/>
                <w:sz w:val="22"/>
                <w:szCs w:val="22"/>
                <w:u w:val="none"/>
              </w:rPr>
            </w:pPr>
          </w:p>
        </w:tc>
        <w:tc>
          <w:tcPr>
            <w:tcW w:w="568" w:type="dxa"/>
            <w:tcBorders>
              <w:top w:val="single" w:color="000000" w:sz="4" w:space="0"/>
              <w:left w:val="single" w:color="000000" w:sz="4" w:space="0"/>
              <w:bottom w:val="single" w:color="000000" w:sz="4" w:space="0"/>
              <w:right w:val="nil"/>
            </w:tcBorders>
            <w:shd w:val="clear" w:color="auto" w:fill="auto"/>
            <w:noWrap/>
            <w:vAlign w:val="center"/>
          </w:tcPr>
          <w:p w14:paraId="6B090A2D">
            <w:pPr>
              <w:rPr>
                <w:rFonts w:hint="default" w:ascii="Times New Roman" w:hAnsi="Times New Roman" w:eastAsia="宋体" w:cs="Times New Roman"/>
                <w:i w:val="0"/>
                <w:iCs w:val="0"/>
                <w:color w:val="000000"/>
                <w:sz w:val="22"/>
                <w:szCs w:val="22"/>
                <w:u w:val="none"/>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2C613511">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42,414,851.65 </w:t>
            </w:r>
          </w:p>
        </w:tc>
        <w:tc>
          <w:tcPr>
            <w:tcW w:w="945" w:type="dxa"/>
            <w:tcBorders>
              <w:top w:val="single" w:color="000000" w:sz="4" w:space="0"/>
              <w:left w:val="single" w:color="000000" w:sz="4" w:space="0"/>
              <w:bottom w:val="single" w:color="000000" w:sz="4" w:space="0"/>
              <w:right w:val="nil"/>
            </w:tcBorders>
            <w:shd w:val="clear" w:color="auto" w:fill="auto"/>
            <w:noWrap/>
            <w:vAlign w:val="center"/>
          </w:tcPr>
          <w:p w14:paraId="3DA1B242">
            <w:pPr>
              <w:rPr>
                <w:rFonts w:hint="default" w:ascii="Times New Roman" w:hAnsi="Times New Roman" w:eastAsia="宋体" w:cs="Times New Roman"/>
                <w:i w:val="0"/>
                <w:iCs w:val="0"/>
                <w:color w:val="000000"/>
                <w:sz w:val="22"/>
                <w:szCs w:val="22"/>
                <w:u w:val="none"/>
              </w:rPr>
            </w:pPr>
          </w:p>
        </w:tc>
        <w:tc>
          <w:tcPr>
            <w:tcW w:w="1756" w:type="dxa"/>
            <w:tcBorders>
              <w:top w:val="single" w:color="000000" w:sz="4" w:space="0"/>
              <w:left w:val="nil"/>
              <w:bottom w:val="single" w:color="000000" w:sz="4" w:space="0"/>
              <w:right w:val="single" w:color="000000" w:sz="4" w:space="0"/>
            </w:tcBorders>
            <w:shd w:val="clear" w:color="auto" w:fill="auto"/>
            <w:vAlign w:val="center"/>
          </w:tcPr>
          <w:p w14:paraId="326E2D28">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47,243,000.96 </w:t>
            </w:r>
          </w:p>
        </w:tc>
        <w:tc>
          <w:tcPr>
            <w:tcW w:w="899" w:type="dxa"/>
            <w:tcBorders>
              <w:top w:val="single" w:color="000000" w:sz="4" w:space="0"/>
              <w:left w:val="single" w:color="000000" w:sz="4" w:space="0"/>
              <w:bottom w:val="single" w:color="000000" w:sz="4" w:space="0"/>
              <w:right w:val="nil"/>
            </w:tcBorders>
            <w:shd w:val="clear" w:color="auto" w:fill="auto"/>
            <w:noWrap/>
            <w:vAlign w:val="center"/>
          </w:tcPr>
          <w:p w14:paraId="4BD3C266">
            <w:pPr>
              <w:rPr>
                <w:rFonts w:hint="default" w:ascii="Times New Roman" w:hAnsi="Times New Roman" w:eastAsia="宋体" w:cs="Times New Roman"/>
                <w:i w:val="0"/>
                <w:iCs w:val="0"/>
                <w:color w:val="000000"/>
                <w:sz w:val="22"/>
                <w:szCs w:val="22"/>
                <w:u w:val="none"/>
              </w:rPr>
            </w:pPr>
          </w:p>
        </w:tc>
        <w:tc>
          <w:tcPr>
            <w:tcW w:w="1850" w:type="dxa"/>
            <w:tcBorders>
              <w:top w:val="single" w:color="000000" w:sz="4" w:space="0"/>
              <w:left w:val="nil"/>
              <w:bottom w:val="single" w:color="000000" w:sz="4" w:space="0"/>
              <w:right w:val="single" w:color="000000" w:sz="4" w:space="0"/>
            </w:tcBorders>
            <w:shd w:val="clear" w:color="auto" w:fill="auto"/>
            <w:noWrap/>
            <w:vAlign w:val="center"/>
          </w:tcPr>
          <w:p w14:paraId="430FBD3E">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47,082,900.96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D8EAE">
            <w:pPr>
              <w:rPr>
                <w:rFonts w:hint="default" w:ascii="Times New Roman" w:hAnsi="Times New Roman" w:eastAsia="宋体" w:cs="Times New Roman"/>
                <w:i w:val="0"/>
                <w:iCs w:val="0"/>
                <w:color w:val="000000"/>
                <w:sz w:val="22"/>
                <w:szCs w:val="22"/>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94850">
            <w:pPr>
              <w:rPr>
                <w:rFonts w:hint="default" w:ascii="Times New Roman" w:hAnsi="Times New Roman" w:eastAsia="宋体" w:cs="Times New Roman"/>
                <w:i w:val="0"/>
                <w:iCs w:val="0"/>
                <w:color w:val="000000"/>
                <w:sz w:val="22"/>
                <w:szCs w:val="22"/>
                <w:u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D9DC">
            <w:pPr>
              <w:jc w:val="right"/>
              <w:rPr>
                <w:rFonts w:hint="default" w:ascii="Times New Roman" w:hAnsi="Times New Roman" w:eastAsia="宋体" w:cs="Times New Roman"/>
                <w:i w:val="0"/>
                <w:iCs w:val="0"/>
                <w:color w:val="000000"/>
                <w:sz w:val="22"/>
                <w:szCs w:val="22"/>
                <w:u w:val="none"/>
              </w:rPr>
            </w:pPr>
          </w:p>
        </w:tc>
      </w:tr>
      <w:tr w14:paraId="3F629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nil"/>
            </w:tcBorders>
            <w:shd w:val="clear" w:color="auto" w:fill="auto"/>
            <w:vAlign w:val="center"/>
          </w:tcPr>
          <w:p w14:paraId="5DE5010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其中：财政拨款</w:t>
            </w:r>
          </w:p>
        </w:tc>
        <w:tc>
          <w:tcPr>
            <w:tcW w:w="1967" w:type="dxa"/>
            <w:tcBorders>
              <w:top w:val="single" w:color="000000" w:sz="4" w:space="0"/>
              <w:left w:val="nil"/>
              <w:bottom w:val="single" w:color="000000" w:sz="4" w:space="0"/>
              <w:right w:val="single" w:color="000000" w:sz="4" w:space="0"/>
            </w:tcBorders>
            <w:shd w:val="clear" w:color="auto" w:fill="auto"/>
            <w:noWrap/>
            <w:vAlign w:val="center"/>
          </w:tcPr>
          <w:p w14:paraId="4CA9ABF0">
            <w:pPr>
              <w:rPr>
                <w:rFonts w:hint="default" w:ascii="Times New Roman" w:hAnsi="Times New Roman" w:eastAsia="宋体" w:cs="Times New Roman"/>
                <w:i w:val="0"/>
                <w:iCs w:val="0"/>
                <w:color w:val="000000"/>
                <w:sz w:val="22"/>
                <w:szCs w:val="22"/>
                <w:u w:val="none"/>
              </w:rPr>
            </w:pPr>
          </w:p>
        </w:tc>
        <w:tc>
          <w:tcPr>
            <w:tcW w:w="568" w:type="dxa"/>
            <w:tcBorders>
              <w:top w:val="single" w:color="000000" w:sz="4" w:space="0"/>
              <w:left w:val="single" w:color="000000" w:sz="4" w:space="0"/>
              <w:bottom w:val="single" w:color="000000" w:sz="4" w:space="0"/>
              <w:right w:val="nil"/>
            </w:tcBorders>
            <w:shd w:val="clear" w:color="auto" w:fill="auto"/>
            <w:noWrap/>
            <w:vAlign w:val="center"/>
          </w:tcPr>
          <w:p w14:paraId="794B5799">
            <w:pPr>
              <w:rPr>
                <w:rFonts w:hint="default" w:ascii="Times New Roman" w:hAnsi="Times New Roman" w:eastAsia="宋体" w:cs="Times New Roman"/>
                <w:i w:val="0"/>
                <w:iCs w:val="0"/>
                <w:color w:val="000000"/>
                <w:sz w:val="22"/>
                <w:szCs w:val="22"/>
                <w:u w:val="none"/>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6966E8B">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42,414,851.65 </w:t>
            </w:r>
          </w:p>
        </w:tc>
        <w:tc>
          <w:tcPr>
            <w:tcW w:w="945" w:type="dxa"/>
            <w:tcBorders>
              <w:top w:val="single" w:color="000000" w:sz="4" w:space="0"/>
              <w:left w:val="single" w:color="000000" w:sz="4" w:space="0"/>
              <w:bottom w:val="single" w:color="000000" w:sz="4" w:space="0"/>
              <w:right w:val="nil"/>
            </w:tcBorders>
            <w:shd w:val="clear" w:color="auto" w:fill="auto"/>
            <w:noWrap/>
            <w:vAlign w:val="center"/>
          </w:tcPr>
          <w:p w14:paraId="385CD072">
            <w:pPr>
              <w:rPr>
                <w:rFonts w:hint="default" w:ascii="Times New Roman" w:hAnsi="Times New Roman" w:eastAsia="宋体" w:cs="Times New Roman"/>
                <w:i w:val="0"/>
                <w:iCs w:val="0"/>
                <w:color w:val="000000"/>
                <w:sz w:val="22"/>
                <w:szCs w:val="22"/>
                <w:u w:val="none"/>
              </w:rPr>
            </w:pPr>
          </w:p>
        </w:tc>
        <w:tc>
          <w:tcPr>
            <w:tcW w:w="1756" w:type="dxa"/>
            <w:tcBorders>
              <w:top w:val="single" w:color="000000" w:sz="4" w:space="0"/>
              <w:left w:val="nil"/>
              <w:bottom w:val="single" w:color="000000" w:sz="4" w:space="0"/>
              <w:right w:val="single" w:color="000000" w:sz="4" w:space="0"/>
            </w:tcBorders>
            <w:shd w:val="clear" w:color="auto" w:fill="auto"/>
            <w:vAlign w:val="center"/>
          </w:tcPr>
          <w:p w14:paraId="38257132">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47,243,000.96 </w:t>
            </w:r>
          </w:p>
        </w:tc>
        <w:tc>
          <w:tcPr>
            <w:tcW w:w="899" w:type="dxa"/>
            <w:tcBorders>
              <w:top w:val="single" w:color="000000" w:sz="4" w:space="0"/>
              <w:left w:val="single" w:color="000000" w:sz="4" w:space="0"/>
              <w:bottom w:val="single" w:color="000000" w:sz="4" w:space="0"/>
              <w:right w:val="nil"/>
            </w:tcBorders>
            <w:shd w:val="clear" w:color="auto" w:fill="auto"/>
            <w:noWrap/>
            <w:vAlign w:val="center"/>
          </w:tcPr>
          <w:p w14:paraId="5EFADB08">
            <w:pPr>
              <w:rPr>
                <w:rFonts w:hint="default" w:ascii="Times New Roman" w:hAnsi="Times New Roman" w:eastAsia="宋体" w:cs="Times New Roman"/>
                <w:i w:val="0"/>
                <w:iCs w:val="0"/>
                <w:color w:val="000000"/>
                <w:sz w:val="22"/>
                <w:szCs w:val="22"/>
                <w:u w:val="none"/>
              </w:rPr>
            </w:pPr>
          </w:p>
        </w:tc>
        <w:tc>
          <w:tcPr>
            <w:tcW w:w="1850" w:type="dxa"/>
            <w:tcBorders>
              <w:top w:val="single" w:color="000000" w:sz="4" w:space="0"/>
              <w:left w:val="nil"/>
              <w:bottom w:val="single" w:color="000000" w:sz="4" w:space="0"/>
              <w:right w:val="single" w:color="000000" w:sz="4" w:space="0"/>
            </w:tcBorders>
            <w:shd w:val="clear" w:color="auto" w:fill="auto"/>
            <w:noWrap/>
            <w:vAlign w:val="center"/>
          </w:tcPr>
          <w:p w14:paraId="7EB51E7B">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47,082,900.96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66ED">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99.66</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C962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3F14">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9.97 </w:t>
            </w:r>
          </w:p>
        </w:tc>
      </w:tr>
      <w:tr w14:paraId="04B8B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nil"/>
            </w:tcBorders>
            <w:shd w:val="clear" w:color="auto" w:fill="auto"/>
            <w:vAlign w:val="center"/>
          </w:tcPr>
          <w:p w14:paraId="53AA5AE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一般公共预算</w:t>
            </w:r>
          </w:p>
        </w:tc>
        <w:tc>
          <w:tcPr>
            <w:tcW w:w="1967" w:type="dxa"/>
            <w:tcBorders>
              <w:top w:val="single" w:color="000000" w:sz="4" w:space="0"/>
              <w:left w:val="nil"/>
              <w:bottom w:val="single" w:color="000000" w:sz="4" w:space="0"/>
              <w:right w:val="single" w:color="000000" w:sz="4" w:space="0"/>
            </w:tcBorders>
            <w:shd w:val="clear" w:color="auto" w:fill="auto"/>
            <w:noWrap/>
            <w:vAlign w:val="center"/>
          </w:tcPr>
          <w:p w14:paraId="04D8E3E5">
            <w:pPr>
              <w:rPr>
                <w:rFonts w:hint="default" w:ascii="Times New Roman" w:hAnsi="Times New Roman" w:eastAsia="宋体" w:cs="Times New Roman"/>
                <w:i w:val="0"/>
                <w:iCs w:val="0"/>
                <w:color w:val="000000"/>
                <w:sz w:val="22"/>
                <w:szCs w:val="22"/>
                <w:u w:val="none"/>
              </w:rPr>
            </w:pPr>
          </w:p>
        </w:tc>
        <w:tc>
          <w:tcPr>
            <w:tcW w:w="568" w:type="dxa"/>
            <w:tcBorders>
              <w:top w:val="single" w:color="000000" w:sz="4" w:space="0"/>
              <w:left w:val="single" w:color="000000" w:sz="4" w:space="0"/>
              <w:bottom w:val="single" w:color="000000" w:sz="4" w:space="0"/>
              <w:right w:val="nil"/>
            </w:tcBorders>
            <w:shd w:val="clear" w:color="auto" w:fill="auto"/>
            <w:noWrap/>
            <w:vAlign w:val="center"/>
          </w:tcPr>
          <w:p w14:paraId="7F8E4208">
            <w:pPr>
              <w:rPr>
                <w:rFonts w:hint="default" w:ascii="Times New Roman" w:hAnsi="Times New Roman" w:eastAsia="宋体" w:cs="Times New Roman"/>
                <w:i w:val="0"/>
                <w:iCs w:val="0"/>
                <w:color w:val="000000"/>
                <w:sz w:val="22"/>
                <w:szCs w:val="22"/>
                <w:u w:val="none"/>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50584BF">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42,214,851.65 </w:t>
            </w:r>
          </w:p>
        </w:tc>
        <w:tc>
          <w:tcPr>
            <w:tcW w:w="945" w:type="dxa"/>
            <w:tcBorders>
              <w:top w:val="single" w:color="000000" w:sz="4" w:space="0"/>
              <w:left w:val="single" w:color="000000" w:sz="4" w:space="0"/>
              <w:bottom w:val="single" w:color="000000" w:sz="4" w:space="0"/>
              <w:right w:val="nil"/>
            </w:tcBorders>
            <w:shd w:val="clear" w:color="auto" w:fill="auto"/>
            <w:noWrap/>
            <w:vAlign w:val="center"/>
          </w:tcPr>
          <w:p w14:paraId="7F19192F">
            <w:pPr>
              <w:rPr>
                <w:rFonts w:hint="default" w:ascii="Times New Roman" w:hAnsi="Times New Roman" w:eastAsia="宋体" w:cs="Times New Roman"/>
                <w:i w:val="0"/>
                <w:iCs w:val="0"/>
                <w:color w:val="000000"/>
                <w:sz w:val="22"/>
                <w:szCs w:val="22"/>
                <w:u w:val="none"/>
              </w:rPr>
            </w:pPr>
          </w:p>
        </w:tc>
        <w:tc>
          <w:tcPr>
            <w:tcW w:w="1756" w:type="dxa"/>
            <w:tcBorders>
              <w:top w:val="single" w:color="000000" w:sz="4" w:space="0"/>
              <w:left w:val="nil"/>
              <w:bottom w:val="single" w:color="000000" w:sz="4" w:space="0"/>
              <w:right w:val="single" w:color="000000" w:sz="4" w:space="0"/>
            </w:tcBorders>
            <w:shd w:val="clear" w:color="auto" w:fill="auto"/>
            <w:vAlign w:val="center"/>
          </w:tcPr>
          <w:p w14:paraId="169929C5">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46,985,914.48 </w:t>
            </w:r>
          </w:p>
        </w:tc>
        <w:tc>
          <w:tcPr>
            <w:tcW w:w="899" w:type="dxa"/>
            <w:tcBorders>
              <w:top w:val="single" w:color="000000" w:sz="4" w:space="0"/>
              <w:left w:val="single" w:color="000000" w:sz="4" w:space="0"/>
              <w:bottom w:val="single" w:color="000000" w:sz="4" w:space="0"/>
              <w:right w:val="nil"/>
            </w:tcBorders>
            <w:shd w:val="clear" w:color="auto" w:fill="auto"/>
            <w:noWrap/>
            <w:vAlign w:val="center"/>
          </w:tcPr>
          <w:p w14:paraId="143EC01F">
            <w:pPr>
              <w:rPr>
                <w:rFonts w:hint="default" w:ascii="Times New Roman" w:hAnsi="Times New Roman" w:eastAsia="宋体" w:cs="Times New Roman"/>
                <w:i w:val="0"/>
                <w:iCs w:val="0"/>
                <w:color w:val="000000"/>
                <w:sz w:val="22"/>
                <w:szCs w:val="22"/>
                <w:u w:val="none"/>
              </w:rPr>
            </w:pPr>
          </w:p>
        </w:tc>
        <w:tc>
          <w:tcPr>
            <w:tcW w:w="1850" w:type="dxa"/>
            <w:tcBorders>
              <w:top w:val="single" w:color="000000" w:sz="4" w:space="0"/>
              <w:left w:val="nil"/>
              <w:bottom w:val="single" w:color="000000" w:sz="4" w:space="0"/>
              <w:right w:val="single" w:color="000000" w:sz="4" w:space="0"/>
            </w:tcBorders>
            <w:shd w:val="clear" w:color="auto" w:fill="auto"/>
            <w:noWrap/>
            <w:vAlign w:val="center"/>
          </w:tcPr>
          <w:p w14:paraId="615A9DD2">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46,825,814.48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4D8F">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99.66</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2EE7">
            <w:pPr>
              <w:rPr>
                <w:rFonts w:hint="default" w:ascii="Times New Roman" w:hAnsi="Times New Roman" w:eastAsia="宋体" w:cs="Times New Roman"/>
                <w:i w:val="0"/>
                <w:iCs w:val="0"/>
                <w:color w:val="000000"/>
                <w:sz w:val="22"/>
                <w:szCs w:val="22"/>
                <w:u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45AE9">
            <w:pPr>
              <w:jc w:val="right"/>
              <w:rPr>
                <w:rFonts w:hint="default" w:ascii="Times New Roman" w:hAnsi="Times New Roman" w:eastAsia="宋体" w:cs="Times New Roman"/>
                <w:i w:val="0"/>
                <w:iCs w:val="0"/>
                <w:color w:val="000000"/>
                <w:sz w:val="22"/>
                <w:szCs w:val="22"/>
                <w:u w:val="none"/>
              </w:rPr>
            </w:pPr>
          </w:p>
        </w:tc>
      </w:tr>
      <w:tr w14:paraId="4321E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5415"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EAC8">
            <w:pPr>
              <w:keepNext w:val="0"/>
              <w:keepLines w:val="0"/>
              <w:widowControl/>
              <w:suppressLineNumbers w:val="0"/>
              <w:jc w:val="center"/>
              <w:textAlignment w:val="center"/>
              <w:rPr>
                <w:rFonts w:hint="default" w:ascii="Times New Roman" w:hAnsi="Times New Roman" w:eastAsia="微软雅黑" w:cs="Times New Roman"/>
                <w:b/>
                <w:bCs/>
                <w:i w:val="0"/>
                <w:iCs w:val="0"/>
                <w:color w:val="808080"/>
                <w:sz w:val="28"/>
                <w:szCs w:val="28"/>
                <w:u w:val="none"/>
              </w:rPr>
            </w:pPr>
            <w:r>
              <w:rPr>
                <w:rFonts w:hint="default" w:ascii="Times New Roman" w:hAnsi="Times New Roman" w:eastAsia="微软雅黑" w:cs="Times New Roman"/>
                <w:b/>
                <w:bCs/>
                <w:i w:val="0"/>
                <w:iCs w:val="0"/>
                <w:color w:val="808080"/>
                <w:kern w:val="0"/>
                <w:sz w:val="28"/>
                <w:szCs w:val="28"/>
                <w:u w:val="none"/>
                <w:lang w:val="en-US" w:eastAsia="zh-CN" w:bidi="ar"/>
              </w:rPr>
              <w:t>绩效目标</w:t>
            </w:r>
          </w:p>
        </w:tc>
      </w:tr>
      <w:tr w14:paraId="5231F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55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29C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年初绩效目标</w:t>
            </w:r>
          </w:p>
        </w:tc>
        <w:tc>
          <w:tcPr>
            <w:tcW w:w="545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B84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全年（调整）绩效目标</w:t>
            </w:r>
          </w:p>
        </w:tc>
        <w:tc>
          <w:tcPr>
            <w:tcW w:w="341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C1FB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全年目标实际完成情况</w:t>
            </w:r>
          </w:p>
        </w:tc>
      </w:tr>
      <w:tr w14:paraId="6B896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6552"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5CE2062E">
            <w:pPr>
              <w:keepNext w:val="0"/>
              <w:keepLines w:val="0"/>
              <w:widowControl/>
              <w:suppressLineNumbers w:val="0"/>
              <w:jc w:val="left"/>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吸引优秀企业在本地落户，增加辖区内税收收入;辖区内群众对环境整治满意程度达到满意；城镇保持干净卫生的面貌;维护辖区内社会治安的稳定;确保村社区开展服务工作正常开支；村社区群众的满意度;降低交通安全事故，保障群众及财产安全;村镇环境卫生;确保职工家属按时收到补助;承担退役军人关系转接、联络接待、困难帮扶、信息采集、情况反映、立功喜报、悬挂光荣牌和“八一”、春节等节日以及重大变故走访慰问;保障民生生活;残疾人专（兼）职委员补助;保障塘坝镇居民参保工作顺利展开;修缮维护好烈士纪念设施、缅怀英烈、营造尊崇英烈、铭记功勋的浓厚社会氛围;</w:t>
            </w:r>
          </w:p>
        </w:tc>
        <w:tc>
          <w:tcPr>
            <w:tcW w:w="5450"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07D17A1E">
            <w:pPr>
              <w:jc w:val="left"/>
              <w:rPr>
                <w:rFonts w:hint="default" w:ascii="Times New Roman" w:hAnsi="Times New Roman" w:eastAsia="宋体" w:cs="Times New Roman"/>
                <w:i w:val="0"/>
                <w:iCs w:val="0"/>
                <w:color w:val="000000"/>
                <w:sz w:val="22"/>
                <w:szCs w:val="22"/>
                <w:u w:val="none"/>
              </w:rPr>
            </w:pPr>
          </w:p>
        </w:tc>
        <w:tc>
          <w:tcPr>
            <w:tcW w:w="3413"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7B1D95F">
            <w:pPr>
              <w:keepNext w:val="0"/>
              <w:keepLines w:val="0"/>
              <w:widowControl/>
              <w:suppressLineNumbers w:val="0"/>
              <w:jc w:val="left"/>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吸引优秀企业在本地落户，增加辖区内税收收入;辖区内群众对环境整治满意程度达到满意；城镇保持干净卫生的面貌;维护辖区内社会治安的稳定;确保村社区开展服务工作正常开支；村社区群众的满意度;降低交通安全事故，保障群众及财产安全;村镇环境卫生;确保职工家属按时收到补助;承担退役军人关系转接、联络接待、困难帮扶、信息采集、情况反映、立功喜报、悬挂光荣牌和“八一”、春节等节日以及重大变故走访慰问;保障民生生活;残疾人专（兼）职委员补助;保障塘坝镇居民参保工作顺利展开;修缮维护好烈士纪念设施、缅怀英烈、营造尊崇英烈、铭记功勋的浓厚社会氛围;执行4708.29万元</w:t>
            </w:r>
          </w:p>
        </w:tc>
      </w:tr>
      <w:tr w14:paraId="482A1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5415"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67F74">
            <w:pPr>
              <w:keepNext w:val="0"/>
              <w:keepLines w:val="0"/>
              <w:widowControl/>
              <w:suppressLineNumbers w:val="0"/>
              <w:jc w:val="center"/>
              <w:textAlignment w:val="center"/>
              <w:rPr>
                <w:rFonts w:hint="default" w:ascii="Times New Roman" w:hAnsi="Times New Roman" w:eastAsia="微软雅黑" w:cs="Times New Roman"/>
                <w:b/>
                <w:bCs/>
                <w:i w:val="0"/>
                <w:iCs w:val="0"/>
                <w:color w:val="808080"/>
                <w:sz w:val="28"/>
                <w:szCs w:val="28"/>
                <w:u w:val="none"/>
              </w:rPr>
            </w:pPr>
            <w:r>
              <w:rPr>
                <w:rFonts w:hint="default" w:ascii="Times New Roman" w:hAnsi="Times New Roman" w:eastAsia="微软雅黑" w:cs="Times New Roman"/>
                <w:b/>
                <w:bCs/>
                <w:i w:val="0"/>
                <w:iCs w:val="0"/>
                <w:color w:val="808080"/>
                <w:kern w:val="0"/>
                <w:sz w:val="28"/>
                <w:szCs w:val="28"/>
                <w:u w:val="none"/>
                <w:lang w:val="en-US" w:eastAsia="zh-CN" w:bidi="ar"/>
              </w:rPr>
              <w:t>绩效指标</w:t>
            </w:r>
          </w:p>
        </w:tc>
      </w:tr>
      <w:tr w14:paraId="206D6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733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指标名称</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E820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计量单位</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FDE1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指标性质</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453C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指标值</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9F4E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全年完成值</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666D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偏离度（%）</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4D1A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得分系数（%）</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509F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指标权重</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613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指标得分</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271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是否核心指标</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D4F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说明</w:t>
            </w:r>
          </w:p>
        </w:tc>
      </w:tr>
      <w:tr w14:paraId="030E8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45494">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场镇垃圾处理频率</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65D98">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次/年</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2852B">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7AF7">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292FB">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365</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D7D00">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B457">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720D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7537C">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C519">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1777">
            <w:pPr>
              <w:jc w:val="left"/>
              <w:rPr>
                <w:rFonts w:hint="default" w:ascii="Times New Roman" w:hAnsi="Times New Roman" w:eastAsia="宋体" w:cs="Times New Roman"/>
                <w:i w:val="0"/>
                <w:iCs w:val="0"/>
                <w:color w:val="000000"/>
                <w:sz w:val="22"/>
                <w:szCs w:val="22"/>
                <w:u w:val="none"/>
              </w:rPr>
            </w:pPr>
          </w:p>
        </w:tc>
      </w:tr>
      <w:tr w14:paraId="216C1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D1A49">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村（社区）正常运转数</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5C290">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个</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EA0B">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51402">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98F4">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6FE2">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A9A3C">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1BC60">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8474">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F0382">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是</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C425">
            <w:pPr>
              <w:jc w:val="left"/>
              <w:rPr>
                <w:rFonts w:hint="default" w:ascii="Times New Roman" w:hAnsi="Times New Roman" w:eastAsia="宋体" w:cs="Times New Roman"/>
                <w:i w:val="0"/>
                <w:iCs w:val="0"/>
                <w:color w:val="000000"/>
                <w:sz w:val="22"/>
                <w:szCs w:val="22"/>
                <w:u w:val="none"/>
              </w:rPr>
            </w:pPr>
          </w:p>
        </w:tc>
      </w:tr>
      <w:tr w14:paraId="4A425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68A0F">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禁毒社工宣传次数</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D075">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人</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77632">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6A30">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03683">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DEEBC">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42AFE">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0E9C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316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A4797">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EFB6">
            <w:pPr>
              <w:jc w:val="left"/>
              <w:rPr>
                <w:rFonts w:hint="default" w:ascii="Times New Roman" w:hAnsi="Times New Roman" w:eastAsia="宋体" w:cs="Times New Roman"/>
                <w:i w:val="0"/>
                <w:iCs w:val="0"/>
                <w:color w:val="000000"/>
                <w:sz w:val="22"/>
                <w:szCs w:val="22"/>
                <w:u w:val="none"/>
              </w:rPr>
            </w:pPr>
          </w:p>
        </w:tc>
      </w:tr>
      <w:tr w14:paraId="52BE9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C59C">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救助生活困难群众</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1C307">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次</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522E">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A520">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AD630">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350</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EABB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06B7">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B5B91">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CCB58">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167B5">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是</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F029D">
            <w:pPr>
              <w:jc w:val="left"/>
              <w:rPr>
                <w:rFonts w:hint="default" w:ascii="Times New Roman" w:hAnsi="Times New Roman" w:eastAsia="宋体" w:cs="Times New Roman"/>
                <w:i w:val="0"/>
                <w:iCs w:val="0"/>
                <w:color w:val="000000"/>
                <w:sz w:val="22"/>
                <w:szCs w:val="22"/>
                <w:u w:val="none"/>
              </w:rPr>
            </w:pPr>
          </w:p>
        </w:tc>
      </w:tr>
      <w:tr w14:paraId="5EA56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D1F9">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开展各类环境卫生集中整治活动</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AE47E">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次</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64CEF">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34696">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B58A9">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1776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A300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CF21">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84AA">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B375">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7BE89">
            <w:pPr>
              <w:jc w:val="left"/>
              <w:rPr>
                <w:rFonts w:hint="default" w:ascii="Times New Roman" w:hAnsi="Times New Roman" w:eastAsia="宋体" w:cs="Times New Roman"/>
                <w:i w:val="0"/>
                <w:iCs w:val="0"/>
                <w:color w:val="000000"/>
                <w:sz w:val="22"/>
                <w:szCs w:val="22"/>
                <w:u w:val="none"/>
              </w:rPr>
            </w:pPr>
          </w:p>
        </w:tc>
      </w:tr>
      <w:tr w14:paraId="55F74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C8927">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全年招商引资企业数量</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EB780">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个</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E6455">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EE21C">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0D481">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368CB">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774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08C83">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17407">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99F7">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418BA">
            <w:pPr>
              <w:jc w:val="left"/>
              <w:rPr>
                <w:rFonts w:hint="default" w:ascii="Times New Roman" w:hAnsi="Times New Roman" w:eastAsia="宋体" w:cs="Times New Roman"/>
                <w:i w:val="0"/>
                <w:iCs w:val="0"/>
                <w:color w:val="000000"/>
                <w:sz w:val="22"/>
                <w:szCs w:val="22"/>
                <w:u w:val="none"/>
              </w:rPr>
            </w:pPr>
          </w:p>
        </w:tc>
      </w:tr>
      <w:tr w14:paraId="4D3D5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CFFCA">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安全隐患排除率</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99F66">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126ED">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134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7A8F3">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348C4">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4A16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64891">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2FAE">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0F76">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3F25">
            <w:pPr>
              <w:jc w:val="left"/>
              <w:rPr>
                <w:rFonts w:hint="default" w:ascii="Times New Roman" w:hAnsi="Times New Roman" w:eastAsia="宋体" w:cs="Times New Roman"/>
                <w:i w:val="0"/>
                <w:iCs w:val="0"/>
                <w:color w:val="000000"/>
                <w:sz w:val="22"/>
                <w:szCs w:val="22"/>
                <w:u w:val="none"/>
              </w:rPr>
            </w:pPr>
          </w:p>
        </w:tc>
      </w:tr>
      <w:tr w14:paraId="411C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701F">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全年无重大火灾事件发生</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B1EA">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件</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BDFC7">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F4C18">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8406B">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782A3">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E0ABC">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40C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3694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31721">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DEC9A">
            <w:pPr>
              <w:jc w:val="left"/>
              <w:rPr>
                <w:rFonts w:hint="default" w:ascii="Times New Roman" w:hAnsi="Times New Roman" w:eastAsia="宋体" w:cs="Times New Roman"/>
                <w:i w:val="0"/>
                <w:iCs w:val="0"/>
                <w:color w:val="000000"/>
                <w:sz w:val="22"/>
                <w:szCs w:val="22"/>
                <w:u w:val="none"/>
              </w:rPr>
            </w:pPr>
          </w:p>
        </w:tc>
      </w:tr>
      <w:tr w14:paraId="77868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751D">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全年无重大涉毒事件</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8E4B">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件</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2E257">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1A2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95D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9E340">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97E3">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80B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4E4A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1F3B">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54B78">
            <w:pPr>
              <w:jc w:val="left"/>
              <w:rPr>
                <w:rFonts w:hint="default" w:ascii="Times New Roman" w:hAnsi="Times New Roman" w:eastAsia="宋体" w:cs="Times New Roman"/>
                <w:i w:val="0"/>
                <w:iCs w:val="0"/>
                <w:color w:val="000000"/>
                <w:sz w:val="22"/>
                <w:szCs w:val="22"/>
                <w:u w:val="none"/>
              </w:rPr>
            </w:pPr>
          </w:p>
        </w:tc>
      </w:tr>
      <w:tr w14:paraId="63FA3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1068">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引进大型企业个数</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340EA">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个</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5A30">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E66A7">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E481">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4D597">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ACA5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A9E6">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8B733">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535B">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EDF2E">
            <w:pPr>
              <w:jc w:val="left"/>
              <w:rPr>
                <w:rFonts w:hint="default" w:ascii="Times New Roman" w:hAnsi="Times New Roman" w:eastAsia="宋体" w:cs="Times New Roman"/>
                <w:i w:val="0"/>
                <w:iCs w:val="0"/>
                <w:color w:val="000000"/>
                <w:sz w:val="22"/>
                <w:szCs w:val="22"/>
                <w:u w:val="none"/>
              </w:rPr>
            </w:pPr>
          </w:p>
        </w:tc>
      </w:tr>
      <w:tr w14:paraId="32F66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E25B">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各项目完工及时率</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B79A">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92B5">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9E7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B1B3">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E4B7">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41D3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DB1B">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9406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2047E">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3FB2">
            <w:pPr>
              <w:jc w:val="left"/>
              <w:rPr>
                <w:rFonts w:hint="default" w:ascii="Times New Roman" w:hAnsi="Times New Roman" w:eastAsia="宋体" w:cs="Times New Roman"/>
                <w:i w:val="0"/>
                <w:iCs w:val="0"/>
                <w:color w:val="000000"/>
                <w:sz w:val="22"/>
                <w:szCs w:val="22"/>
                <w:u w:val="none"/>
              </w:rPr>
            </w:pPr>
          </w:p>
        </w:tc>
      </w:tr>
      <w:tr w14:paraId="4E000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1C3F6">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保障本地产业发展</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C7F3A">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个</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B36D5">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3AE63">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38D78">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4E4C9">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4E8E2">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6D9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D37C2">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F7EF0">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AB828">
            <w:pPr>
              <w:jc w:val="left"/>
              <w:rPr>
                <w:rFonts w:hint="default" w:ascii="Times New Roman" w:hAnsi="Times New Roman" w:eastAsia="宋体" w:cs="Times New Roman"/>
                <w:i w:val="0"/>
                <w:iCs w:val="0"/>
                <w:color w:val="000000"/>
                <w:sz w:val="22"/>
                <w:szCs w:val="22"/>
                <w:u w:val="none"/>
              </w:rPr>
            </w:pPr>
          </w:p>
        </w:tc>
      </w:tr>
      <w:tr w14:paraId="35B11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88B84">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提高居民群众生活水平</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4D0D4">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26934">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98396">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CEC7">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F566E">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794BD">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43389">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73069">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02BC">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361BB">
            <w:pPr>
              <w:jc w:val="left"/>
              <w:rPr>
                <w:rFonts w:hint="default" w:ascii="Times New Roman" w:hAnsi="Times New Roman" w:eastAsia="宋体" w:cs="Times New Roman"/>
                <w:i w:val="0"/>
                <w:iCs w:val="0"/>
                <w:color w:val="000000"/>
                <w:sz w:val="22"/>
                <w:szCs w:val="22"/>
                <w:u w:val="none"/>
              </w:rPr>
            </w:pPr>
          </w:p>
        </w:tc>
      </w:tr>
      <w:tr w14:paraId="79E27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8A0BC">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提供就业岗位，提升农村收入人数</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991C">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人</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7876">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223D3">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C7E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AA1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8C36">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5C44">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41032">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732F">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55F43">
            <w:pPr>
              <w:jc w:val="left"/>
              <w:rPr>
                <w:rFonts w:hint="default" w:ascii="Times New Roman" w:hAnsi="Times New Roman" w:eastAsia="宋体" w:cs="Times New Roman"/>
                <w:i w:val="0"/>
                <w:iCs w:val="0"/>
                <w:color w:val="000000"/>
                <w:sz w:val="22"/>
                <w:szCs w:val="22"/>
                <w:u w:val="none"/>
              </w:rPr>
            </w:pPr>
          </w:p>
        </w:tc>
      </w:tr>
      <w:tr w14:paraId="7779C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8FE04">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场镇正常运行天数</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F242">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天</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FF65">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D575D">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73DD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365</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E1C00">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C22E">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41C21">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4DC59">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F6ED">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64500">
            <w:pPr>
              <w:jc w:val="left"/>
              <w:rPr>
                <w:rFonts w:hint="default" w:ascii="Times New Roman" w:hAnsi="Times New Roman" w:eastAsia="宋体" w:cs="Times New Roman"/>
                <w:i w:val="0"/>
                <w:iCs w:val="0"/>
                <w:color w:val="000000"/>
                <w:sz w:val="22"/>
                <w:szCs w:val="22"/>
                <w:u w:val="none"/>
              </w:rPr>
            </w:pPr>
          </w:p>
        </w:tc>
      </w:tr>
      <w:tr w14:paraId="399F6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45E93">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群众各项政策知晓率</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853E7">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1485B">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E47B7">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99.9</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5B7DE">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99.9</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1937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C503C">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91146">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68F5">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C617B">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否</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934D4">
            <w:pPr>
              <w:jc w:val="left"/>
              <w:rPr>
                <w:rFonts w:hint="default" w:ascii="Times New Roman" w:hAnsi="Times New Roman" w:eastAsia="宋体" w:cs="Times New Roman"/>
                <w:i w:val="0"/>
                <w:iCs w:val="0"/>
                <w:color w:val="000000"/>
                <w:sz w:val="22"/>
                <w:szCs w:val="22"/>
                <w:u w:val="none"/>
              </w:rPr>
            </w:pPr>
          </w:p>
        </w:tc>
      </w:tr>
      <w:tr w14:paraId="52EA6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A2F8E">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提高村民居住环境整洁率</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F057">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9B78">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26036">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AADE2">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D15F">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03EA">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F5FE4">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9B0F7">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702D">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是</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FF7A6">
            <w:pPr>
              <w:jc w:val="left"/>
              <w:rPr>
                <w:rFonts w:hint="default" w:ascii="Times New Roman" w:hAnsi="Times New Roman" w:eastAsia="宋体" w:cs="Times New Roman"/>
                <w:i w:val="0"/>
                <w:iCs w:val="0"/>
                <w:color w:val="000000"/>
                <w:sz w:val="22"/>
                <w:szCs w:val="22"/>
                <w:u w:val="none"/>
              </w:rPr>
            </w:pPr>
          </w:p>
        </w:tc>
      </w:tr>
      <w:tr w14:paraId="66D6F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3C339">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持续发挥作用</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A60A">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年</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F94FD">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A6963">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D23AC">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D620">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F504E">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EFED">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CD1FC">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37D1">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是</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69039">
            <w:pPr>
              <w:jc w:val="left"/>
              <w:rPr>
                <w:rFonts w:hint="default" w:ascii="Times New Roman" w:hAnsi="Times New Roman" w:eastAsia="宋体" w:cs="Times New Roman"/>
                <w:i w:val="0"/>
                <w:iCs w:val="0"/>
                <w:color w:val="000000"/>
                <w:sz w:val="22"/>
                <w:szCs w:val="22"/>
                <w:u w:val="none"/>
              </w:rPr>
            </w:pPr>
          </w:p>
        </w:tc>
      </w:tr>
      <w:tr w14:paraId="296F9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B1D71">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受益群众满意度</w:t>
            </w:r>
          </w:p>
        </w:tc>
        <w:tc>
          <w:tcPr>
            <w:tcW w:w="1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2C24C">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4323">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0B90">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50C7E">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w:t>
            </w: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7A853">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0AA28">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9D82">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01DC">
            <w:pPr>
              <w:keepNext w:val="0"/>
              <w:keepLines w:val="0"/>
              <w:widowControl/>
              <w:suppressLineNumbers w:val="0"/>
              <w:ind w:firstLineChars="100"/>
              <w:jc w:val="righ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35CE9">
            <w:pPr>
              <w:keepNext w:val="0"/>
              <w:keepLines w:val="0"/>
              <w:widowControl/>
              <w:suppressLineNumbers w:val="0"/>
              <w:ind w:firstLineChars="10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是</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B86B8">
            <w:pPr>
              <w:jc w:val="left"/>
              <w:rPr>
                <w:rFonts w:hint="default" w:ascii="Times New Roman" w:hAnsi="Times New Roman" w:eastAsia="宋体" w:cs="Times New Roman"/>
                <w:i w:val="0"/>
                <w:iCs w:val="0"/>
                <w:color w:val="000000"/>
                <w:sz w:val="22"/>
                <w:szCs w:val="22"/>
                <w:u w:val="none"/>
              </w:rPr>
            </w:pPr>
          </w:p>
        </w:tc>
      </w:tr>
    </w:tbl>
    <w:p w14:paraId="15D8DC6C">
      <w:pPr>
        <w:rPr>
          <w:rFonts w:hint="default" w:ascii="Times New Roman" w:hAnsi="Times New Roman" w:cs="Times New Roman"/>
          <w:sz w:val="18"/>
          <w:szCs w:val="18"/>
        </w:rPr>
        <w:sectPr>
          <w:pgSz w:w="16783" w:h="11850" w:orient="landscape"/>
          <w:pgMar w:top="567" w:right="454" w:bottom="567" w:left="1037" w:header="0" w:footer="283" w:gutter="0"/>
          <w:pgNumType w:fmt="numberInDash"/>
          <w:cols w:space="720" w:num="1"/>
          <w:docGrid w:type="lines" w:linePitch="326" w:charSpace="0"/>
        </w:sectPr>
      </w:pPr>
    </w:p>
    <w:p w14:paraId="5D3C6C85">
      <w:pPr>
        <w:rPr>
          <w:rFonts w:hint="default" w:ascii="Times New Roman" w:hAnsi="Times New Roman" w:eastAsia="宋体" w:cs="Times New Roman"/>
          <w:sz w:val="18"/>
          <w:szCs w:val="18"/>
          <w:lang w:eastAsia="zh-C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sz w:val="18"/>
          <w:szCs w:val="18"/>
        </w:rPr>
        <w:br w:type="textWrapping"/>
      </w:r>
      <w:r>
        <w:rPr>
          <w:rFonts w:hint="default" w:ascii="Times New Roman" w:hAnsi="Times New Roman" w:cs="Times New Roman"/>
        </w:rPr>
        <w:drawing>
          <wp:inline distT="0" distB="0" distL="114300" distR="114300">
            <wp:extent cx="9697720" cy="5487670"/>
            <wp:effectExtent l="0" t="0" r="17780" b="1778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7"/>
                    <a:stretch>
                      <a:fillRect/>
                    </a:stretch>
                  </pic:blipFill>
                  <pic:spPr>
                    <a:xfrm>
                      <a:off x="0" y="0"/>
                      <a:ext cx="9697720" cy="5487670"/>
                    </a:xfrm>
                    <a:prstGeom prst="rect">
                      <a:avLst/>
                    </a:prstGeom>
                    <a:noFill/>
                    <a:ln>
                      <a:noFill/>
                    </a:ln>
                  </pic:spPr>
                </pic:pic>
              </a:graphicData>
            </a:graphic>
          </wp:inline>
        </w:drawing>
      </w:r>
    </w:p>
    <w:p w14:paraId="65489874">
      <w:pPr>
        <w:rPr>
          <w:rFonts w:hint="default" w:ascii="Times New Roman" w:hAnsi="Times New Roman" w:cs="Times New Roman"/>
          <w:sz w:val="18"/>
          <w:szCs w:val="18"/>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564505"/>
            <wp:effectExtent l="0" t="0" r="17780" b="1714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
                    <a:stretch>
                      <a:fillRect/>
                    </a:stretch>
                  </pic:blipFill>
                  <pic:spPr>
                    <a:xfrm>
                      <a:off x="0" y="0"/>
                      <a:ext cx="9697720" cy="5564505"/>
                    </a:xfrm>
                    <a:prstGeom prst="rect">
                      <a:avLst/>
                    </a:prstGeom>
                    <a:noFill/>
                    <a:ln>
                      <a:noFill/>
                    </a:ln>
                  </pic:spPr>
                </pic:pic>
              </a:graphicData>
            </a:graphic>
          </wp:inline>
        </w:drawing>
      </w:r>
    </w:p>
    <w:p w14:paraId="64C2DF49">
      <w:pPr>
        <w:rPr>
          <w:rFonts w:hint="default" w:ascii="Times New Roman" w:hAnsi="Times New Roman" w:cs="Times New Roman"/>
        </w:rPr>
      </w:pPr>
      <w:r>
        <w:rPr>
          <w:rFonts w:hint="default" w:ascii="Times New Roman" w:hAnsi="Times New Roman" w:cs="Times New Roman"/>
        </w:rPr>
        <w:drawing>
          <wp:inline distT="0" distB="0" distL="114300" distR="114300">
            <wp:extent cx="9697720" cy="5382895"/>
            <wp:effectExtent l="0" t="0" r="17780" b="825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9"/>
                    <a:stretch>
                      <a:fillRect/>
                    </a:stretch>
                  </pic:blipFill>
                  <pic:spPr>
                    <a:xfrm>
                      <a:off x="0" y="0"/>
                      <a:ext cx="9697720" cy="5382895"/>
                    </a:xfrm>
                    <a:prstGeom prst="rect">
                      <a:avLst/>
                    </a:prstGeom>
                    <a:noFill/>
                    <a:ln>
                      <a:noFill/>
                    </a:ln>
                  </pic:spPr>
                </pic:pic>
              </a:graphicData>
            </a:graphic>
          </wp:inline>
        </w:drawing>
      </w:r>
    </w:p>
    <w:p w14:paraId="1E9AD052">
      <w:pPr>
        <w:rPr>
          <w:rFonts w:hint="default" w:ascii="Times New Roman" w:hAnsi="Times New Roman" w:cs="Times New Roman"/>
        </w:rPr>
      </w:pPr>
    </w:p>
    <w:p w14:paraId="24EAF446">
      <w:pPr>
        <w:rPr>
          <w:rFonts w:hint="default" w:ascii="Times New Roman" w:hAnsi="Times New Roman" w:cs="Times New Roman"/>
        </w:rPr>
      </w:pPr>
    </w:p>
    <w:p w14:paraId="352380FB">
      <w:pPr>
        <w:rPr>
          <w:rFonts w:hint="default" w:ascii="Times New Roman" w:hAnsi="Times New Roman" w:cs="Times New Roman"/>
        </w:rPr>
      </w:pPr>
    </w:p>
    <w:p w14:paraId="18562B1A">
      <w:pPr>
        <w:rPr>
          <w:rFonts w:hint="default" w:ascii="Times New Roman" w:hAnsi="Times New Roman" w:cs="Times New Roman"/>
        </w:rPr>
      </w:pPr>
    </w:p>
    <w:p w14:paraId="46B04A63">
      <w:pPr>
        <w:rPr>
          <w:rFonts w:hint="default" w:ascii="Times New Roman" w:hAnsi="Times New Roman" w:cs="Times New Roman"/>
        </w:rPr>
      </w:pPr>
    </w:p>
    <w:p w14:paraId="360E5B16">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p>
    <w:p w14:paraId="028DDED1">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410835"/>
            <wp:effectExtent l="0" t="0" r="17780" b="1841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0"/>
                    <a:stretch>
                      <a:fillRect/>
                    </a:stretch>
                  </pic:blipFill>
                  <pic:spPr>
                    <a:xfrm>
                      <a:off x="0" y="0"/>
                      <a:ext cx="9697720" cy="5410835"/>
                    </a:xfrm>
                    <a:prstGeom prst="rect">
                      <a:avLst/>
                    </a:prstGeom>
                    <a:noFill/>
                    <a:ln>
                      <a:noFill/>
                    </a:ln>
                  </pic:spPr>
                </pic:pic>
              </a:graphicData>
            </a:graphic>
          </wp:inline>
        </w:drawing>
      </w:r>
    </w:p>
    <w:p w14:paraId="15D725A7">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515610"/>
            <wp:effectExtent l="0" t="0" r="17780" b="889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1"/>
                    <a:stretch>
                      <a:fillRect/>
                    </a:stretch>
                  </pic:blipFill>
                  <pic:spPr>
                    <a:xfrm>
                      <a:off x="0" y="0"/>
                      <a:ext cx="9697720" cy="5515610"/>
                    </a:xfrm>
                    <a:prstGeom prst="rect">
                      <a:avLst/>
                    </a:prstGeom>
                    <a:noFill/>
                    <a:ln>
                      <a:noFill/>
                    </a:ln>
                  </pic:spPr>
                </pic:pic>
              </a:graphicData>
            </a:graphic>
          </wp:inline>
        </w:drawing>
      </w:r>
    </w:p>
    <w:p w14:paraId="6022145A">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522595"/>
            <wp:effectExtent l="0" t="0" r="17780"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2"/>
                    <a:stretch>
                      <a:fillRect/>
                    </a:stretch>
                  </pic:blipFill>
                  <pic:spPr>
                    <a:xfrm>
                      <a:off x="0" y="0"/>
                      <a:ext cx="9697720" cy="5522595"/>
                    </a:xfrm>
                    <a:prstGeom prst="rect">
                      <a:avLst/>
                    </a:prstGeom>
                    <a:noFill/>
                    <a:ln>
                      <a:noFill/>
                    </a:ln>
                  </pic:spPr>
                </pic:pic>
              </a:graphicData>
            </a:graphic>
          </wp:inline>
        </w:drawing>
      </w:r>
    </w:p>
    <w:p w14:paraId="34FAE10D">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9625" cy="5159375"/>
            <wp:effectExtent l="0" t="0" r="15875" b="317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3"/>
                    <a:stretch>
                      <a:fillRect/>
                    </a:stretch>
                  </pic:blipFill>
                  <pic:spPr>
                    <a:xfrm>
                      <a:off x="0" y="0"/>
                      <a:ext cx="9699625" cy="5159375"/>
                    </a:xfrm>
                    <a:prstGeom prst="rect">
                      <a:avLst/>
                    </a:prstGeom>
                    <a:noFill/>
                    <a:ln>
                      <a:noFill/>
                    </a:ln>
                  </pic:spPr>
                </pic:pic>
              </a:graphicData>
            </a:graphic>
          </wp:inline>
        </w:drawing>
      </w:r>
    </w:p>
    <w:p w14:paraId="7135C06E">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6297295"/>
            <wp:effectExtent l="0" t="0" r="17780" b="8255"/>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4"/>
                    <a:stretch>
                      <a:fillRect/>
                    </a:stretch>
                  </pic:blipFill>
                  <pic:spPr>
                    <a:xfrm>
                      <a:off x="0" y="0"/>
                      <a:ext cx="9697720" cy="6297295"/>
                    </a:xfrm>
                    <a:prstGeom prst="rect">
                      <a:avLst/>
                    </a:prstGeom>
                    <a:noFill/>
                    <a:ln>
                      <a:noFill/>
                    </a:ln>
                  </pic:spPr>
                </pic:pic>
              </a:graphicData>
            </a:graphic>
          </wp:inline>
        </w:drawing>
      </w:r>
    </w:p>
    <w:p w14:paraId="6798710D">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704705" cy="5270500"/>
            <wp:effectExtent l="0" t="0" r="10795" b="635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5"/>
                    <a:stretch>
                      <a:fillRect/>
                    </a:stretch>
                  </pic:blipFill>
                  <pic:spPr>
                    <a:xfrm>
                      <a:off x="0" y="0"/>
                      <a:ext cx="9704705" cy="5270500"/>
                    </a:xfrm>
                    <a:prstGeom prst="rect">
                      <a:avLst/>
                    </a:prstGeom>
                    <a:noFill/>
                    <a:ln>
                      <a:noFill/>
                    </a:ln>
                  </pic:spPr>
                </pic:pic>
              </a:graphicData>
            </a:graphic>
          </wp:inline>
        </w:drawing>
      </w:r>
    </w:p>
    <w:p w14:paraId="520CC858">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368925"/>
            <wp:effectExtent l="0" t="0" r="17780" b="3175"/>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16"/>
                    <a:stretch>
                      <a:fillRect/>
                    </a:stretch>
                  </pic:blipFill>
                  <pic:spPr>
                    <a:xfrm>
                      <a:off x="0" y="0"/>
                      <a:ext cx="9697720" cy="5368925"/>
                    </a:xfrm>
                    <a:prstGeom prst="rect">
                      <a:avLst/>
                    </a:prstGeom>
                    <a:noFill/>
                    <a:ln>
                      <a:noFill/>
                    </a:ln>
                  </pic:spPr>
                </pic:pic>
              </a:graphicData>
            </a:graphic>
          </wp:inline>
        </w:drawing>
      </w:r>
    </w:p>
    <w:p w14:paraId="373B0905">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4949825"/>
            <wp:effectExtent l="0" t="0" r="17780" b="317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7"/>
                    <a:stretch>
                      <a:fillRect/>
                    </a:stretch>
                  </pic:blipFill>
                  <pic:spPr>
                    <a:xfrm>
                      <a:off x="0" y="0"/>
                      <a:ext cx="9697720" cy="4949825"/>
                    </a:xfrm>
                    <a:prstGeom prst="rect">
                      <a:avLst/>
                    </a:prstGeom>
                    <a:noFill/>
                    <a:ln>
                      <a:noFill/>
                    </a:ln>
                  </pic:spPr>
                </pic:pic>
              </a:graphicData>
            </a:graphic>
          </wp:inline>
        </w:drawing>
      </w:r>
    </w:p>
    <w:p w14:paraId="7F6C30E8">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543550"/>
            <wp:effectExtent l="0" t="0" r="17780" b="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18"/>
                    <a:stretch>
                      <a:fillRect/>
                    </a:stretch>
                  </pic:blipFill>
                  <pic:spPr>
                    <a:xfrm>
                      <a:off x="0" y="0"/>
                      <a:ext cx="9697720" cy="5543550"/>
                    </a:xfrm>
                    <a:prstGeom prst="rect">
                      <a:avLst/>
                    </a:prstGeom>
                    <a:noFill/>
                    <a:ln>
                      <a:noFill/>
                    </a:ln>
                  </pic:spPr>
                </pic:pic>
              </a:graphicData>
            </a:graphic>
          </wp:inline>
        </w:drawing>
      </w:r>
    </w:p>
    <w:p w14:paraId="00C1AD76">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229225"/>
            <wp:effectExtent l="0" t="0" r="17780" b="9525"/>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19"/>
                    <a:stretch>
                      <a:fillRect/>
                    </a:stretch>
                  </pic:blipFill>
                  <pic:spPr>
                    <a:xfrm>
                      <a:off x="0" y="0"/>
                      <a:ext cx="9697720" cy="5229225"/>
                    </a:xfrm>
                    <a:prstGeom prst="rect">
                      <a:avLst/>
                    </a:prstGeom>
                    <a:noFill/>
                    <a:ln>
                      <a:noFill/>
                    </a:ln>
                  </pic:spPr>
                </pic:pic>
              </a:graphicData>
            </a:graphic>
          </wp:inline>
        </w:drawing>
      </w:r>
    </w:p>
    <w:p w14:paraId="6E5703DC">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257165"/>
            <wp:effectExtent l="0" t="0" r="17780" b="635"/>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0"/>
                    <a:stretch>
                      <a:fillRect/>
                    </a:stretch>
                  </pic:blipFill>
                  <pic:spPr>
                    <a:xfrm>
                      <a:off x="0" y="0"/>
                      <a:ext cx="9697720" cy="5257165"/>
                    </a:xfrm>
                    <a:prstGeom prst="rect">
                      <a:avLst/>
                    </a:prstGeom>
                    <a:noFill/>
                    <a:ln>
                      <a:noFill/>
                    </a:ln>
                  </pic:spPr>
                </pic:pic>
              </a:graphicData>
            </a:graphic>
          </wp:inline>
        </w:drawing>
      </w:r>
    </w:p>
    <w:p w14:paraId="109E2CB0">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180330"/>
            <wp:effectExtent l="0" t="0" r="17780" b="127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21"/>
                    <a:stretch>
                      <a:fillRect/>
                    </a:stretch>
                  </pic:blipFill>
                  <pic:spPr>
                    <a:xfrm>
                      <a:off x="0" y="0"/>
                      <a:ext cx="9697720" cy="5180330"/>
                    </a:xfrm>
                    <a:prstGeom prst="rect">
                      <a:avLst/>
                    </a:prstGeom>
                    <a:noFill/>
                    <a:ln>
                      <a:noFill/>
                    </a:ln>
                  </pic:spPr>
                </pic:pic>
              </a:graphicData>
            </a:graphic>
          </wp:inline>
        </w:drawing>
      </w:r>
    </w:p>
    <w:p w14:paraId="7FF2CFBC">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180330"/>
            <wp:effectExtent l="0" t="0" r="17780" b="127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22"/>
                    <a:stretch>
                      <a:fillRect/>
                    </a:stretch>
                  </pic:blipFill>
                  <pic:spPr>
                    <a:xfrm>
                      <a:off x="0" y="0"/>
                      <a:ext cx="9697720" cy="5180330"/>
                    </a:xfrm>
                    <a:prstGeom prst="rect">
                      <a:avLst/>
                    </a:prstGeom>
                    <a:noFill/>
                    <a:ln>
                      <a:noFill/>
                    </a:ln>
                  </pic:spPr>
                </pic:pic>
              </a:graphicData>
            </a:graphic>
          </wp:inline>
        </w:drawing>
      </w:r>
    </w:p>
    <w:p w14:paraId="2F79FCEF">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871845"/>
            <wp:effectExtent l="0" t="0" r="17780" b="14605"/>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23"/>
                    <a:stretch>
                      <a:fillRect/>
                    </a:stretch>
                  </pic:blipFill>
                  <pic:spPr>
                    <a:xfrm>
                      <a:off x="0" y="0"/>
                      <a:ext cx="9697720" cy="5871845"/>
                    </a:xfrm>
                    <a:prstGeom prst="rect">
                      <a:avLst/>
                    </a:prstGeom>
                    <a:noFill/>
                    <a:ln>
                      <a:noFill/>
                    </a:ln>
                  </pic:spPr>
                </pic:pic>
              </a:graphicData>
            </a:graphic>
          </wp:inline>
        </w:drawing>
      </w:r>
    </w:p>
    <w:p w14:paraId="03ADFFBC">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382895"/>
            <wp:effectExtent l="0" t="0" r="17780" b="8255"/>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24"/>
                    <a:stretch>
                      <a:fillRect/>
                    </a:stretch>
                  </pic:blipFill>
                  <pic:spPr>
                    <a:xfrm>
                      <a:off x="0" y="0"/>
                      <a:ext cx="9697720" cy="5382895"/>
                    </a:xfrm>
                    <a:prstGeom prst="rect">
                      <a:avLst/>
                    </a:prstGeom>
                    <a:noFill/>
                    <a:ln>
                      <a:noFill/>
                    </a:ln>
                  </pic:spPr>
                </pic:pic>
              </a:graphicData>
            </a:graphic>
          </wp:inline>
        </w:drawing>
      </w:r>
    </w:p>
    <w:p w14:paraId="0CA84067">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718175"/>
            <wp:effectExtent l="0" t="0" r="17780" b="15875"/>
            <wp:docPr id="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pic:cNvPicPr>
                      <a:picLocks noChangeAspect="1"/>
                    </pic:cNvPicPr>
                  </pic:nvPicPr>
                  <pic:blipFill>
                    <a:blip r:embed="rId25"/>
                    <a:stretch>
                      <a:fillRect/>
                    </a:stretch>
                  </pic:blipFill>
                  <pic:spPr>
                    <a:xfrm>
                      <a:off x="0" y="0"/>
                      <a:ext cx="9697720" cy="5718175"/>
                    </a:xfrm>
                    <a:prstGeom prst="rect">
                      <a:avLst/>
                    </a:prstGeom>
                    <a:noFill/>
                    <a:ln>
                      <a:noFill/>
                    </a:ln>
                  </pic:spPr>
                </pic:pic>
              </a:graphicData>
            </a:graphic>
          </wp:inline>
        </w:drawing>
      </w:r>
    </w:p>
    <w:p w14:paraId="7C6D62B8">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704705" cy="5473700"/>
            <wp:effectExtent l="0" t="0" r="10795" b="1270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6"/>
                    <a:stretch>
                      <a:fillRect/>
                    </a:stretch>
                  </pic:blipFill>
                  <pic:spPr>
                    <a:xfrm>
                      <a:off x="0" y="0"/>
                      <a:ext cx="9704705" cy="5473700"/>
                    </a:xfrm>
                    <a:prstGeom prst="rect">
                      <a:avLst/>
                    </a:prstGeom>
                    <a:noFill/>
                    <a:ln>
                      <a:noFill/>
                    </a:ln>
                  </pic:spPr>
                </pic:pic>
              </a:graphicData>
            </a:graphic>
          </wp:inline>
        </w:drawing>
      </w:r>
    </w:p>
    <w:p w14:paraId="4E2BD47C">
      <w:pPr>
        <w:rPr>
          <w:rFonts w:hint="default" w:ascii="Times New Roman" w:hAnsi="Times New Roman" w:cs="Times New Roman"/>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117465"/>
            <wp:effectExtent l="0" t="0" r="17780" b="6985"/>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27"/>
                    <a:stretch>
                      <a:fillRect/>
                    </a:stretch>
                  </pic:blipFill>
                  <pic:spPr>
                    <a:xfrm>
                      <a:off x="0" y="0"/>
                      <a:ext cx="9697720" cy="5117465"/>
                    </a:xfrm>
                    <a:prstGeom prst="rect">
                      <a:avLst/>
                    </a:prstGeom>
                    <a:noFill/>
                    <a:ln>
                      <a:noFill/>
                    </a:ln>
                  </pic:spPr>
                </pic:pic>
              </a:graphicData>
            </a:graphic>
          </wp:inline>
        </w:drawing>
      </w:r>
    </w:p>
    <w:p w14:paraId="3B2AB435">
      <w:pPr>
        <w:rPr>
          <w:rFonts w:hint="default" w:ascii="Times New Roman" w:hAnsi="Times New Roman" w:cs="Times New Roman"/>
        </w:rPr>
      </w:pPr>
      <w:r>
        <w:rPr>
          <w:rFonts w:hint="default" w:ascii="Times New Roman" w:hAnsi="Times New Roman" w:cs="Times New Roman"/>
        </w:rPr>
        <w:drawing>
          <wp:inline distT="0" distB="0" distL="114300" distR="114300">
            <wp:extent cx="9697720" cy="5180330"/>
            <wp:effectExtent l="0" t="0" r="17780" b="1270"/>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pic:cNvPicPr>
                  </pic:nvPicPr>
                  <pic:blipFill>
                    <a:blip r:embed="rId28"/>
                    <a:stretch>
                      <a:fillRect/>
                    </a:stretch>
                  </pic:blipFill>
                  <pic:spPr>
                    <a:xfrm>
                      <a:off x="0" y="0"/>
                      <a:ext cx="9697720" cy="5180330"/>
                    </a:xfrm>
                    <a:prstGeom prst="rect">
                      <a:avLst/>
                    </a:prstGeom>
                    <a:noFill/>
                    <a:ln>
                      <a:noFill/>
                    </a:ln>
                  </pic:spPr>
                </pic:pic>
              </a:graphicData>
            </a:graphic>
          </wp:inline>
        </w:drawing>
      </w:r>
    </w:p>
    <w:p w14:paraId="3607EA37">
      <w:pPr>
        <w:rPr>
          <w:rFonts w:hint="default" w:ascii="Times New Roman" w:hAnsi="Times New Roman" w:cs="Times New Roman"/>
          <w:sz w:val="18"/>
          <w:szCs w:val="18"/>
        </w:rPr>
      </w:pPr>
      <w:r>
        <w:rPr>
          <w:rFonts w:hint="default" w:ascii="Times New Roman" w:hAnsi="Times New Roman" w:cs="Times New Roman"/>
          <w:sz w:val="18"/>
          <w:szCs w:val="18"/>
        </w:rPr>
        <w:br w:type="textWrapping"/>
      </w:r>
      <w:r>
        <w:rPr>
          <w:rFonts w:hint="default" w:ascii="Times New Roman" w:hAnsi="Times New Roman" w:cs="Times New Roman"/>
          <w:sz w:val="18"/>
          <w:szCs w:val="18"/>
        </w:rPr>
        <w:br w:type="textWrapping"/>
      </w:r>
    </w:p>
    <w:p w14:paraId="4C408A39">
      <w:pPr>
        <w:rPr>
          <w:rFonts w:hint="default" w:ascii="Times New Roman" w:hAnsi="Times New Roman" w:cs="Times New Roman"/>
          <w:sz w:val="18"/>
          <w:szCs w:val="18"/>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704070" cy="5081270"/>
            <wp:effectExtent l="0" t="0" r="1143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9704070" cy="5081270"/>
                    </a:xfrm>
                    <a:prstGeom prst="rect">
                      <a:avLst/>
                    </a:prstGeom>
                    <a:noFill/>
                    <a:ln>
                      <a:noFill/>
                    </a:ln>
                  </pic:spPr>
                </pic:pic>
              </a:graphicData>
            </a:graphic>
          </wp:inline>
        </w:drawing>
      </w:r>
    </w:p>
    <w:p w14:paraId="692BC862">
      <w:pPr>
        <w:rPr>
          <w:rFonts w:hint="default" w:ascii="Times New Roman" w:hAnsi="Times New Roman" w:cs="Times New Roman"/>
          <w:sz w:val="18"/>
          <w:szCs w:val="18"/>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024755"/>
            <wp:effectExtent l="0" t="0" r="1778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a:stretch>
                      <a:fillRect/>
                    </a:stretch>
                  </pic:blipFill>
                  <pic:spPr>
                    <a:xfrm>
                      <a:off x="0" y="0"/>
                      <a:ext cx="9697720" cy="5024755"/>
                    </a:xfrm>
                    <a:prstGeom prst="rect">
                      <a:avLst/>
                    </a:prstGeom>
                    <a:noFill/>
                    <a:ln>
                      <a:noFill/>
                    </a:ln>
                  </pic:spPr>
                </pic:pic>
              </a:graphicData>
            </a:graphic>
          </wp:inline>
        </w:drawing>
      </w:r>
    </w:p>
    <w:p w14:paraId="2DF4A645">
      <w:pPr>
        <w:rPr>
          <w:rFonts w:hint="default" w:ascii="Times New Roman" w:hAnsi="Times New Roman" w:cs="Times New Roman"/>
          <w:sz w:val="18"/>
          <w:szCs w:val="18"/>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085" cy="4862195"/>
            <wp:effectExtent l="0" t="0" r="18415"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9697085" cy="4862195"/>
                    </a:xfrm>
                    <a:prstGeom prst="rect">
                      <a:avLst/>
                    </a:prstGeom>
                    <a:noFill/>
                    <a:ln>
                      <a:noFill/>
                    </a:ln>
                  </pic:spPr>
                </pic:pic>
              </a:graphicData>
            </a:graphic>
          </wp:inline>
        </w:drawing>
      </w:r>
    </w:p>
    <w:p w14:paraId="41C785BD">
      <w:pPr>
        <w:rPr>
          <w:rFonts w:hint="default" w:ascii="Times New Roman" w:hAnsi="Times New Roman" w:cs="Times New Roman"/>
          <w:sz w:val="18"/>
          <w:szCs w:val="18"/>
        </w:rPr>
        <w:sectPr>
          <w:pgSz w:w="16783" w:h="11850" w:orient="landscape"/>
          <w:pgMar w:top="567" w:right="454" w:bottom="567" w:left="1037" w:header="0" w:footer="283" w:gutter="0"/>
          <w:pgNumType w:fmt="numberInDash"/>
          <w:cols w:space="720" w:num="1"/>
          <w:docGrid w:type="lines" w:linePitch="326" w:charSpace="0"/>
        </w:sectPr>
      </w:pPr>
      <w:r>
        <w:rPr>
          <w:rFonts w:hint="default" w:ascii="Times New Roman" w:hAnsi="Times New Roman" w:cs="Times New Roman"/>
        </w:rPr>
        <w:drawing>
          <wp:inline distT="0" distB="0" distL="114300" distR="114300">
            <wp:extent cx="9697720" cy="5479415"/>
            <wp:effectExtent l="0" t="0" r="1778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9697720" cy="5479415"/>
                    </a:xfrm>
                    <a:prstGeom prst="rect">
                      <a:avLst/>
                    </a:prstGeom>
                    <a:noFill/>
                    <a:ln>
                      <a:noFill/>
                    </a:ln>
                  </pic:spPr>
                </pic:pic>
              </a:graphicData>
            </a:graphic>
          </wp:inline>
        </w:drawing>
      </w:r>
    </w:p>
    <w:p w14:paraId="37B8FB46">
      <w:pPr>
        <w:rPr>
          <w:rFonts w:hint="default" w:ascii="Times New Roman" w:hAnsi="Times New Roman" w:cs="Times New Roman"/>
          <w:sz w:val="18"/>
          <w:szCs w:val="18"/>
        </w:rPr>
      </w:pPr>
      <w:r>
        <w:rPr>
          <w:rFonts w:hint="default" w:ascii="Times New Roman" w:hAnsi="Times New Roman" w:cs="Times New Roman"/>
        </w:rPr>
        <w:drawing>
          <wp:inline distT="0" distB="0" distL="114300" distR="114300">
            <wp:extent cx="9702165" cy="5359400"/>
            <wp:effectExtent l="0" t="0" r="13335" b="127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9702165" cy="5359400"/>
                    </a:xfrm>
                    <a:prstGeom prst="rect">
                      <a:avLst/>
                    </a:prstGeom>
                    <a:noFill/>
                    <a:ln>
                      <a:noFill/>
                    </a:ln>
                  </pic:spPr>
                </pic:pic>
              </a:graphicData>
            </a:graphic>
          </wp:inline>
        </w:drawing>
      </w:r>
    </w:p>
    <w:sectPr>
      <w:pgSz w:w="16783" w:h="11850" w:orient="landscape"/>
      <w:pgMar w:top="567" w:right="454" w:bottom="567" w:left="1037" w:header="0" w:footer="283" w:gutter="0"/>
      <w:pgNumType w:fmt="numberInDash"/>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3190A">
    <w:pPr>
      <w:pStyle w:val="3"/>
      <w:rPr>
        <w:rFonts w:hint="default"/>
      </w:rPr>
    </w:pPr>
    <w:r>
      <w:rPr>
        <w:rFonts w:hint="default"/>
      </w:rPr>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14:paraId="04F4DF5E">
                <w:pPr>
                  <w:pStyle w:val="3"/>
                  <w:rPr>
                    <w:rFonts w:hint="default"/>
                  </w:rPr>
                </w:pPr>
                <w:r>
                  <w:fldChar w:fldCharType="begin"/>
                </w:r>
                <w:r>
                  <w:instrText xml:space="preserve"> PAGE  \* MERGEFORMAT </w:instrText>
                </w:r>
                <w:r>
                  <w:fldChar w:fldCharType="separate"/>
                </w:r>
                <w:r>
                  <w:rPr>
                    <w:rFonts w:hint="default"/>
                  </w:rPr>
                  <w:t>- 21 -</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40572">
    <w:pPr>
      <w:pStyle w:val="3"/>
      <w:jc w:val="both"/>
      <w:rPr>
        <w:rFonts w:hint="default"/>
      </w:rPr>
    </w:pPr>
    <w:r>
      <w:rPr>
        <w:rFonts w:hint="default"/>
      </w:rPr>
      <w:pict>
        <v:shape id="_x0000_s1028" o:spid="_x0000_s1028" o:spt="202" type="#_x0000_t202" style="position:absolute;left:0pt;margin-top:0pt;height:144pt;width:144pt;mso-position-horizontal:center;mso-position-horizontal-relative:margin;mso-wrap-style:none;z-index:251660288;mso-width-relative:page;mso-height-relative:page;" filled="f" stroked="f" coordsize="21600,21600" o:allowoverlap="f"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YorozAgAAZ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OYorozAgAAZwQAAA4AAAAAAAAAAQAgAAAAHwEAAGRycy9lMm9Eb2MueG1sUEsF&#10;BgAAAAAGAAYAWQEAAMQFAAAAAA==&#10;">
          <v:path/>
          <v:fill on="f" focussize="0,0"/>
          <v:stroke on="f" weight="0.5pt" joinstyle="miter"/>
          <v:imagedata o:title=""/>
          <o:lock v:ext="edit"/>
          <v:textbox inset="0mm,0mm,0mm,0mm" style="mso-fit-shape-to-text:t;">
            <w:txbxContent>
              <w:p w14:paraId="0513ADD9">
                <w:pPr>
                  <w:pStyle w:val="3"/>
                  <w:rPr>
                    <w:rFonts w:hint="default"/>
                  </w:rPr>
                </w:pPr>
                <w:r>
                  <w:t xml:space="preserve"> </w:t>
                </w:r>
                <w:r>
                  <w:fldChar w:fldCharType="begin"/>
                </w:r>
                <w:r>
                  <w:instrText xml:space="preserve">PAGE   \* MERGEFORMAT</w:instrText>
                </w:r>
                <w:r>
                  <w:fldChar w:fldCharType="separate"/>
                </w:r>
                <w:r>
                  <w:rPr>
                    <w:rFonts w:hint="default"/>
                    <w:lang w:val="zh-CN"/>
                  </w:rPr>
                  <w:t>-</w:t>
                </w:r>
                <w:r>
                  <w:rPr>
                    <w:rFonts w:hint="default"/>
                  </w:rPr>
                  <w:t xml:space="preserve"> 30 -</w:t>
                </w:r>
                <w:r>
                  <w:fldChar w:fldCharType="end"/>
                </w:r>
                <w:r>
                  <w:t xml:space="preserve"> </w:t>
                </w:r>
              </w:p>
            </w:txbxContent>
          </v:textbox>
        </v:shape>
      </w:pict>
    </w:r>
    <w:r>
      <w:rPr>
        <w:rFonts w:hint="default"/>
      </w:rPr>
      <w:pict>
        <v:shape id="_x0000_s1027" o:spid="_x0000_s1027" o:spt="202" type="#_x0000_t202" style="position:absolute;left:0pt;margin-top:1160.4pt;height:17.4pt;width:144pt;mso-position-horizontal:center;mso-position-horizontal-relative:margin;mso-position-vertical-relative:page;mso-wrap-style:none;z-index:251659264;mso-width-relative:page;mso-height-relative:page;" filled="f" stroked="f" coordsize="21600,21600" o:allowoverlap="f" o:gfxdata="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A1UVNgAAAAKAQAADwAAAAAAAAABACAAAAAiAAAAZHJzL2Rvd25y&#10;ZXYueG1sUEsBAhQAFAAAAAgAh07iQALFEI03AgAAZgQAAA4AAAAAAAAAAQAgAAAAJwEAAGRycy9l&#10;Mm9Eb2MueG1sUEsFBgAAAAAGAAYAWQEAANAFAAAAAA==&#10;">
          <v:path/>
          <v:fill on="f" focussize="0,0"/>
          <v:stroke on="f" weight="0.5pt" joinstyle="miter"/>
          <v:imagedata o:title=""/>
          <o:lock v:ext="edit"/>
          <v:textbox inset="0mm,0mm,0mm,0mm">
            <w:txbxContent>
              <w:p w14:paraId="57E6E6D8">
                <w:pPr>
                  <w:pStyle w:val="3"/>
                  <w:jc w:val="both"/>
                  <w:rPr>
                    <w:rFonts w:hint="default" w:cs="宋体"/>
                  </w:rPr>
                </w:pPr>
                <w:r>
                  <w:rPr>
                    <w:rFonts w:cs="宋体"/>
                  </w:rPr>
                  <w:t>— 27.1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5E20B">
    <w:pPr>
      <w:pStyle w:val="4"/>
      <w:tabs>
        <w:tab w:val="left" w:pos="1758"/>
        <w:tab w:val="clear" w:pos="4153"/>
        <w:tab w:val="clear" w:pos="8306"/>
      </w:tabs>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18E3A0"/>
    <w:multiLevelType w:val="singleLevel"/>
    <w:tmpl w:val="2718E3A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GQwYWQ1YTE0ZDA0NjgxYzlhMjZlMDExNTFmMWI3MmEifQ=="/>
  </w:docVars>
  <w:rsids>
    <w:rsidRoot w:val="00B03CCD"/>
    <w:rsid w:val="000C01CC"/>
    <w:rsid w:val="000D7702"/>
    <w:rsid w:val="000F6721"/>
    <w:rsid w:val="001632EC"/>
    <w:rsid w:val="00261065"/>
    <w:rsid w:val="002D0E5A"/>
    <w:rsid w:val="002D71F4"/>
    <w:rsid w:val="002E5443"/>
    <w:rsid w:val="0032196C"/>
    <w:rsid w:val="004852DA"/>
    <w:rsid w:val="004C12FF"/>
    <w:rsid w:val="004D0390"/>
    <w:rsid w:val="00550ABE"/>
    <w:rsid w:val="005B023C"/>
    <w:rsid w:val="00600322"/>
    <w:rsid w:val="006137D7"/>
    <w:rsid w:val="00634FA8"/>
    <w:rsid w:val="0063613A"/>
    <w:rsid w:val="0068170B"/>
    <w:rsid w:val="006E2034"/>
    <w:rsid w:val="00732392"/>
    <w:rsid w:val="00792285"/>
    <w:rsid w:val="007A0D2E"/>
    <w:rsid w:val="007A3314"/>
    <w:rsid w:val="007B419D"/>
    <w:rsid w:val="007C5C5B"/>
    <w:rsid w:val="00810F13"/>
    <w:rsid w:val="00826B47"/>
    <w:rsid w:val="00893689"/>
    <w:rsid w:val="00940231"/>
    <w:rsid w:val="00944711"/>
    <w:rsid w:val="009574D5"/>
    <w:rsid w:val="009821E3"/>
    <w:rsid w:val="00984852"/>
    <w:rsid w:val="009B37A6"/>
    <w:rsid w:val="009B67B8"/>
    <w:rsid w:val="00A03B1E"/>
    <w:rsid w:val="00A67739"/>
    <w:rsid w:val="00A820B7"/>
    <w:rsid w:val="00A830E1"/>
    <w:rsid w:val="00AC5566"/>
    <w:rsid w:val="00B03CCD"/>
    <w:rsid w:val="00B104B0"/>
    <w:rsid w:val="00B40138"/>
    <w:rsid w:val="00BF5A85"/>
    <w:rsid w:val="00C307F6"/>
    <w:rsid w:val="00C96B11"/>
    <w:rsid w:val="00C97747"/>
    <w:rsid w:val="00CC6B99"/>
    <w:rsid w:val="00DF7706"/>
    <w:rsid w:val="00E05175"/>
    <w:rsid w:val="00E654E2"/>
    <w:rsid w:val="00E76362"/>
    <w:rsid w:val="00E86B80"/>
    <w:rsid w:val="00F137D3"/>
    <w:rsid w:val="00F13C36"/>
    <w:rsid w:val="00F23C68"/>
    <w:rsid w:val="00F32C53"/>
    <w:rsid w:val="00F73F90"/>
    <w:rsid w:val="00F7623D"/>
    <w:rsid w:val="00F8598B"/>
    <w:rsid w:val="00FA0819"/>
    <w:rsid w:val="00FB7EF0"/>
    <w:rsid w:val="01474EBF"/>
    <w:rsid w:val="01F3521E"/>
    <w:rsid w:val="03B87EA0"/>
    <w:rsid w:val="03E3214F"/>
    <w:rsid w:val="044C50BA"/>
    <w:rsid w:val="05BC6D49"/>
    <w:rsid w:val="06194FF1"/>
    <w:rsid w:val="06A2550B"/>
    <w:rsid w:val="06F80EE2"/>
    <w:rsid w:val="07001CCA"/>
    <w:rsid w:val="075678DB"/>
    <w:rsid w:val="079D7CC7"/>
    <w:rsid w:val="08051BCA"/>
    <w:rsid w:val="086C12F4"/>
    <w:rsid w:val="08BA052C"/>
    <w:rsid w:val="08DB07BA"/>
    <w:rsid w:val="0969353F"/>
    <w:rsid w:val="098305D0"/>
    <w:rsid w:val="098A0877"/>
    <w:rsid w:val="0A5C4B69"/>
    <w:rsid w:val="0A86124A"/>
    <w:rsid w:val="0AB54CC0"/>
    <w:rsid w:val="0B9335CE"/>
    <w:rsid w:val="0C7927C4"/>
    <w:rsid w:val="0C9B098C"/>
    <w:rsid w:val="0D673E11"/>
    <w:rsid w:val="0DDA54E4"/>
    <w:rsid w:val="0E3A5F83"/>
    <w:rsid w:val="0E74421A"/>
    <w:rsid w:val="0EA46639"/>
    <w:rsid w:val="0EC6180C"/>
    <w:rsid w:val="0F497FB6"/>
    <w:rsid w:val="0F836721"/>
    <w:rsid w:val="0FA25D96"/>
    <w:rsid w:val="107B59E5"/>
    <w:rsid w:val="10EC0126"/>
    <w:rsid w:val="10F70B9A"/>
    <w:rsid w:val="111445C7"/>
    <w:rsid w:val="114278C6"/>
    <w:rsid w:val="1158083A"/>
    <w:rsid w:val="11643A4B"/>
    <w:rsid w:val="11ED0F98"/>
    <w:rsid w:val="11F03528"/>
    <w:rsid w:val="12C921C4"/>
    <w:rsid w:val="12F52ECF"/>
    <w:rsid w:val="13871C70"/>
    <w:rsid w:val="13A71CB4"/>
    <w:rsid w:val="13AF1D43"/>
    <w:rsid w:val="13CE1647"/>
    <w:rsid w:val="13DA0C25"/>
    <w:rsid w:val="13FD55AB"/>
    <w:rsid w:val="14200702"/>
    <w:rsid w:val="14907817"/>
    <w:rsid w:val="163A6CEE"/>
    <w:rsid w:val="173708E3"/>
    <w:rsid w:val="174C19C7"/>
    <w:rsid w:val="17C374FC"/>
    <w:rsid w:val="189079DC"/>
    <w:rsid w:val="189B0D0B"/>
    <w:rsid w:val="18B43F7C"/>
    <w:rsid w:val="194A1770"/>
    <w:rsid w:val="19B906A4"/>
    <w:rsid w:val="1B6F15B6"/>
    <w:rsid w:val="1BAA2EDC"/>
    <w:rsid w:val="1C5C0973"/>
    <w:rsid w:val="1CA55E64"/>
    <w:rsid w:val="1D014A01"/>
    <w:rsid w:val="1D022362"/>
    <w:rsid w:val="1D1B04B0"/>
    <w:rsid w:val="1D6534C4"/>
    <w:rsid w:val="1DBD6767"/>
    <w:rsid w:val="1DC52125"/>
    <w:rsid w:val="1DD26311"/>
    <w:rsid w:val="1E374ACB"/>
    <w:rsid w:val="1E5E27E3"/>
    <w:rsid w:val="1EA33588"/>
    <w:rsid w:val="1ECF0A66"/>
    <w:rsid w:val="1EF67CA4"/>
    <w:rsid w:val="1F020D3A"/>
    <w:rsid w:val="1F2C5189"/>
    <w:rsid w:val="1F4B0B02"/>
    <w:rsid w:val="1FBB35CD"/>
    <w:rsid w:val="1FCD26AF"/>
    <w:rsid w:val="20642787"/>
    <w:rsid w:val="21556F04"/>
    <w:rsid w:val="22403BD3"/>
    <w:rsid w:val="23DA37D9"/>
    <w:rsid w:val="24B92327"/>
    <w:rsid w:val="24C14514"/>
    <w:rsid w:val="2533755C"/>
    <w:rsid w:val="25791755"/>
    <w:rsid w:val="26396DF4"/>
    <w:rsid w:val="27167136"/>
    <w:rsid w:val="27B23302"/>
    <w:rsid w:val="29310A5F"/>
    <w:rsid w:val="29C37A35"/>
    <w:rsid w:val="2A076083"/>
    <w:rsid w:val="2A73162E"/>
    <w:rsid w:val="2B167953"/>
    <w:rsid w:val="2B200583"/>
    <w:rsid w:val="2B220436"/>
    <w:rsid w:val="2B8209DE"/>
    <w:rsid w:val="2C6762A3"/>
    <w:rsid w:val="2D8B754F"/>
    <w:rsid w:val="2EBF7B3E"/>
    <w:rsid w:val="2EDE1934"/>
    <w:rsid w:val="2FCA4B37"/>
    <w:rsid w:val="2FE029D7"/>
    <w:rsid w:val="2FF06E00"/>
    <w:rsid w:val="30562E26"/>
    <w:rsid w:val="30586FEC"/>
    <w:rsid w:val="30EC7046"/>
    <w:rsid w:val="315F0B22"/>
    <w:rsid w:val="319D022C"/>
    <w:rsid w:val="31C90022"/>
    <w:rsid w:val="31D84415"/>
    <w:rsid w:val="32285F6F"/>
    <w:rsid w:val="32770556"/>
    <w:rsid w:val="329C0913"/>
    <w:rsid w:val="32AA0460"/>
    <w:rsid w:val="3337290D"/>
    <w:rsid w:val="33E31118"/>
    <w:rsid w:val="33EF7674"/>
    <w:rsid w:val="342D7BC6"/>
    <w:rsid w:val="34475F39"/>
    <w:rsid w:val="352930DB"/>
    <w:rsid w:val="35573069"/>
    <w:rsid w:val="355F6038"/>
    <w:rsid w:val="358C217E"/>
    <w:rsid w:val="35937598"/>
    <w:rsid w:val="36910587"/>
    <w:rsid w:val="36C9128A"/>
    <w:rsid w:val="372E3953"/>
    <w:rsid w:val="37841E99"/>
    <w:rsid w:val="37BF1123"/>
    <w:rsid w:val="383C3F15"/>
    <w:rsid w:val="38BE4696"/>
    <w:rsid w:val="3939115E"/>
    <w:rsid w:val="39B82A39"/>
    <w:rsid w:val="39C42CA8"/>
    <w:rsid w:val="39DC4FD6"/>
    <w:rsid w:val="39F03D7A"/>
    <w:rsid w:val="39F33306"/>
    <w:rsid w:val="3A2C1C67"/>
    <w:rsid w:val="3B1705E5"/>
    <w:rsid w:val="3B18334B"/>
    <w:rsid w:val="3B36794F"/>
    <w:rsid w:val="3C566AD6"/>
    <w:rsid w:val="3C6A5B02"/>
    <w:rsid w:val="3D2757A1"/>
    <w:rsid w:val="3D3D4FC4"/>
    <w:rsid w:val="3DDF3AB1"/>
    <w:rsid w:val="3E1D0952"/>
    <w:rsid w:val="3E42660A"/>
    <w:rsid w:val="3E7555B1"/>
    <w:rsid w:val="3E787ED9"/>
    <w:rsid w:val="3EEC37F3"/>
    <w:rsid w:val="3F032E93"/>
    <w:rsid w:val="3F0527E5"/>
    <w:rsid w:val="3F4814B0"/>
    <w:rsid w:val="3F5E5D98"/>
    <w:rsid w:val="3F694D83"/>
    <w:rsid w:val="3F885DCC"/>
    <w:rsid w:val="3FCD675E"/>
    <w:rsid w:val="3FD86860"/>
    <w:rsid w:val="4004000C"/>
    <w:rsid w:val="40D54604"/>
    <w:rsid w:val="411B6CE5"/>
    <w:rsid w:val="412070D7"/>
    <w:rsid w:val="41314E40"/>
    <w:rsid w:val="41E0734B"/>
    <w:rsid w:val="426554D0"/>
    <w:rsid w:val="426C1EA8"/>
    <w:rsid w:val="42736402"/>
    <w:rsid w:val="42E86A87"/>
    <w:rsid w:val="43307B09"/>
    <w:rsid w:val="43470647"/>
    <w:rsid w:val="438D0E97"/>
    <w:rsid w:val="43BB152F"/>
    <w:rsid w:val="44494994"/>
    <w:rsid w:val="44C37687"/>
    <w:rsid w:val="45CB699A"/>
    <w:rsid w:val="465B470D"/>
    <w:rsid w:val="469D6AD4"/>
    <w:rsid w:val="471E6C84"/>
    <w:rsid w:val="4748792B"/>
    <w:rsid w:val="475D719D"/>
    <w:rsid w:val="47674801"/>
    <w:rsid w:val="48225EF7"/>
    <w:rsid w:val="488F422B"/>
    <w:rsid w:val="48E36915"/>
    <w:rsid w:val="495C4A24"/>
    <w:rsid w:val="497135DF"/>
    <w:rsid w:val="4A1605D9"/>
    <w:rsid w:val="4A263DF2"/>
    <w:rsid w:val="4A6F6675"/>
    <w:rsid w:val="4ABF0746"/>
    <w:rsid w:val="4B0502DF"/>
    <w:rsid w:val="4B135857"/>
    <w:rsid w:val="4B7951CB"/>
    <w:rsid w:val="4B7C315C"/>
    <w:rsid w:val="4CCF773C"/>
    <w:rsid w:val="4DAC4ACA"/>
    <w:rsid w:val="4DBE01D2"/>
    <w:rsid w:val="4EFC6D10"/>
    <w:rsid w:val="4F0C6BA3"/>
    <w:rsid w:val="4F10477D"/>
    <w:rsid w:val="4F186D58"/>
    <w:rsid w:val="4FEA65B7"/>
    <w:rsid w:val="5042146E"/>
    <w:rsid w:val="50F06B6E"/>
    <w:rsid w:val="52234D33"/>
    <w:rsid w:val="52261ABA"/>
    <w:rsid w:val="522F6E0C"/>
    <w:rsid w:val="52463BA1"/>
    <w:rsid w:val="5298794F"/>
    <w:rsid w:val="52F163D4"/>
    <w:rsid w:val="531A2DB4"/>
    <w:rsid w:val="53C0244D"/>
    <w:rsid w:val="53DD4D4E"/>
    <w:rsid w:val="53E578CE"/>
    <w:rsid w:val="541330F0"/>
    <w:rsid w:val="54272666"/>
    <w:rsid w:val="543B029D"/>
    <w:rsid w:val="54861779"/>
    <w:rsid w:val="552256E1"/>
    <w:rsid w:val="554E5773"/>
    <w:rsid w:val="555A3CBC"/>
    <w:rsid w:val="5582012B"/>
    <w:rsid w:val="558E4E05"/>
    <w:rsid w:val="55BE2E85"/>
    <w:rsid w:val="55D82B6C"/>
    <w:rsid w:val="561D52C4"/>
    <w:rsid w:val="5651697D"/>
    <w:rsid w:val="56530F5D"/>
    <w:rsid w:val="56692AE5"/>
    <w:rsid w:val="567700D3"/>
    <w:rsid w:val="56FF7E9E"/>
    <w:rsid w:val="578867FC"/>
    <w:rsid w:val="5842572D"/>
    <w:rsid w:val="5A3B59D6"/>
    <w:rsid w:val="5AD134D8"/>
    <w:rsid w:val="5B6503B1"/>
    <w:rsid w:val="5C0F7EC4"/>
    <w:rsid w:val="5C263CE4"/>
    <w:rsid w:val="5C5D2777"/>
    <w:rsid w:val="5CF66BF3"/>
    <w:rsid w:val="5D290C69"/>
    <w:rsid w:val="5F2D4A41"/>
    <w:rsid w:val="60C74F6C"/>
    <w:rsid w:val="61025A59"/>
    <w:rsid w:val="613D5BBC"/>
    <w:rsid w:val="61536C39"/>
    <w:rsid w:val="61E64F4A"/>
    <w:rsid w:val="623E0993"/>
    <w:rsid w:val="62944DD7"/>
    <w:rsid w:val="6319381F"/>
    <w:rsid w:val="63236436"/>
    <w:rsid w:val="63C25DC5"/>
    <w:rsid w:val="63C62057"/>
    <w:rsid w:val="64571EF5"/>
    <w:rsid w:val="64CB0157"/>
    <w:rsid w:val="64FB113D"/>
    <w:rsid w:val="65036946"/>
    <w:rsid w:val="654A25FE"/>
    <w:rsid w:val="656152C6"/>
    <w:rsid w:val="6587477F"/>
    <w:rsid w:val="658C3A08"/>
    <w:rsid w:val="65C031CA"/>
    <w:rsid w:val="65CE6852"/>
    <w:rsid w:val="66267C04"/>
    <w:rsid w:val="663F505A"/>
    <w:rsid w:val="66967186"/>
    <w:rsid w:val="66EE5541"/>
    <w:rsid w:val="67924660"/>
    <w:rsid w:val="683200C2"/>
    <w:rsid w:val="68407834"/>
    <w:rsid w:val="6883293E"/>
    <w:rsid w:val="688412AD"/>
    <w:rsid w:val="68EB1B71"/>
    <w:rsid w:val="69475C96"/>
    <w:rsid w:val="6AAD2300"/>
    <w:rsid w:val="6B474EF5"/>
    <w:rsid w:val="6BBF53FD"/>
    <w:rsid w:val="6C560CAE"/>
    <w:rsid w:val="6C576495"/>
    <w:rsid w:val="6D903FF5"/>
    <w:rsid w:val="6DA955B8"/>
    <w:rsid w:val="6DE346AB"/>
    <w:rsid w:val="6DE5391A"/>
    <w:rsid w:val="6EFD1324"/>
    <w:rsid w:val="6F5A53AC"/>
    <w:rsid w:val="6FAC003D"/>
    <w:rsid w:val="6FE55E12"/>
    <w:rsid w:val="6FFB2E76"/>
    <w:rsid w:val="708F6F7F"/>
    <w:rsid w:val="70D94BD3"/>
    <w:rsid w:val="71C34D91"/>
    <w:rsid w:val="72DB435C"/>
    <w:rsid w:val="72E2613A"/>
    <w:rsid w:val="72F771F4"/>
    <w:rsid w:val="734150D5"/>
    <w:rsid w:val="736650B0"/>
    <w:rsid w:val="73934AD2"/>
    <w:rsid w:val="750837F0"/>
    <w:rsid w:val="754758CF"/>
    <w:rsid w:val="761275E6"/>
    <w:rsid w:val="764F62AB"/>
    <w:rsid w:val="765C45EC"/>
    <w:rsid w:val="768A7619"/>
    <w:rsid w:val="7707688C"/>
    <w:rsid w:val="772E1EBA"/>
    <w:rsid w:val="77EB79F7"/>
    <w:rsid w:val="796D60A4"/>
    <w:rsid w:val="79A031D5"/>
    <w:rsid w:val="7A1525F7"/>
    <w:rsid w:val="7B420052"/>
    <w:rsid w:val="7B861484"/>
    <w:rsid w:val="7BD06A28"/>
    <w:rsid w:val="7C3A7C0B"/>
    <w:rsid w:val="7C5248E4"/>
    <w:rsid w:val="7C566698"/>
    <w:rsid w:val="7C5866A3"/>
    <w:rsid w:val="7D7406BB"/>
    <w:rsid w:val="7DE94331"/>
    <w:rsid w:val="7F446A19"/>
    <w:rsid w:val="7F7452B9"/>
    <w:rsid w:val="7F8401D1"/>
    <w:rsid w:val="7FAC32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9"/>
    <w:rPr>
      <w:rFonts w:hint="eastAsia" w:ascii="宋体" w:hAnsi="宋体" w:eastAsia="宋体" w:cs="Times New Roman"/>
      <w:sz w:val="24"/>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qFormat/>
    <w:uiPriority w:val="0"/>
    <w:rPr>
      <w:sz w:val="18"/>
      <w:szCs w:val="18"/>
    </w:rPr>
  </w:style>
  <w:style w:type="paragraph" w:styleId="3">
    <w:name w:val="footer"/>
    <w:basedOn w:val="1"/>
    <w:qFormat/>
    <w:uiPriority w:val="0"/>
    <w:pPr>
      <w:tabs>
        <w:tab w:val="center" w:pos="4153"/>
        <w:tab w:val="right" w:pos="8306"/>
      </w:tabs>
      <w:snapToGrid w:val="0"/>
    </w:pPr>
    <w:rPr>
      <w:sz w:val="18"/>
      <w:szCs w:val="18"/>
    </w:rPr>
  </w:style>
  <w:style w:type="paragraph" w:styleId="4">
    <w:name w:val="header"/>
    <w:basedOn w:val="1"/>
    <w:qFormat/>
    <w:uiPriority w:val="0"/>
    <w:pPr>
      <w:tabs>
        <w:tab w:val="center" w:pos="4153"/>
        <w:tab w:val="right" w:pos="8306"/>
      </w:tabs>
      <w:snapToGrid w:val="0"/>
      <w:jc w:val="center"/>
    </w:pPr>
    <w:rPr>
      <w:sz w:val="18"/>
      <w:szCs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6">
    <w:name w:val="Normal (Web)"/>
    <w:basedOn w:val="1"/>
    <w:unhideWhenUsed/>
    <w:qFormat/>
    <w:uiPriority w:val="0"/>
    <w:pPr>
      <w:spacing w:before="100" w:beforeAutospacing="1" w:after="100" w:afterAutospacing="1"/>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qFormat/>
    <w:uiPriority w:val="0"/>
    <w:rPr>
      <w:b/>
    </w:rPr>
  </w:style>
  <w:style w:type="paragraph" w:customStyle="1" w:styleId="11">
    <w:name w:val="列出段落1"/>
    <w:basedOn w:val="1"/>
    <w:qFormat/>
    <w:uiPriority w:val="99"/>
    <w:pPr>
      <w:ind w:firstLine="420" w:firstLineChars="200"/>
    </w:pPr>
    <w:rPr>
      <w:rFonts w:hint="default"/>
    </w:rPr>
  </w:style>
  <w:style w:type="paragraph" w:customStyle="1" w:styleId="12">
    <w:name w:val="普通(网站) Char"/>
    <w:qFormat/>
    <w:uiPriority w:val="0"/>
    <w:pPr>
      <w:spacing w:before="100" w:beforeAutospacing="1" w:after="100" w:afterAutospacing="1"/>
    </w:pPr>
    <w:rPr>
      <w:rFonts w:ascii="宋体" w:hAnsi="宋体" w:eastAsia="宋体" w:cs="Times New Roman"/>
      <w:sz w:val="24"/>
      <w:szCs w:val="24"/>
      <w:lang w:val="en-US" w:eastAsia="zh-CN" w:bidi="ar-SA"/>
    </w:rPr>
  </w:style>
  <w:style w:type="character" w:customStyle="1" w:styleId="13">
    <w:name w:val="21"/>
    <w:qFormat/>
    <w:uiPriority w:val="0"/>
    <w:rPr>
      <w:rFonts w:hint="default" w:ascii="Wingdings" w:hAnsi="Wingdings" w:cs="Wingdings"/>
      <w:b/>
      <w:bCs/>
    </w:rPr>
  </w:style>
  <w:style w:type="paragraph" w:customStyle="1" w:styleId="14">
    <w:name w:val="列出段落2"/>
    <w:qFormat/>
    <w:uiPriority w:val="99"/>
    <w:pPr>
      <w:ind w:firstLine="420" w:firstLineChars="200"/>
    </w:pPr>
    <w:rPr>
      <w:rFonts w:ascii="宋体" w:hAnsi="宋体" w:eastAsia="宋体" w:cs="Times New Roman"/>
      <w:sz w:val="24"/>
      <w:szCs w:val="24"/>
      <w:lang w:val="en-US" w:eastAsia="zh-CN" w:bidi="ar-SA"/>
    </w:rPr>
  </w:style>
  <w:style w:type="character" w:customStyle="1" w:styleId="15">
    <w:name w:val="批注框文本 Char"/>
    <w:basedOn w:val="9"/>
    <w:link w:val="2"/>
    <w:qFormat/>
    <w:uiPriority w:val="0"/>
    <w:rPr>
      <w:rFonts w:ascii="宋体" w:hAnsi="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emf"/><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3933</Words>
  <Characters>22421</Characters>
  <Lines>186</Lines>
  <Paragraphs>52</Paragraphs>
  <TotalTime>0</TotalTime>
  <ScaleCrop>false</ScaleCrop>
  <LinksUpToDate>false</LinksUpToDate>
  <CharactersWithSpaces>26302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2025-06-26T07:40:00Z</dcterms:created>
  <dc:creator>Administrator</dc:creator>
  <cp:lastModifiedBy>Administrator</cp:lastModifiedBy>
  <dcterms:modified xsi:type="dcterms:W3CDTF">2025-09-12T03:52:36Z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BB46EABDBB2749749395447164B066B3_12</vt:lpwstr>
  </property>
  <property fmtid="{D5CDD505-2E9C-101B-9397-08002B2CF9AE}" pid="4" name="KSOTemplateDocerSaveRecord">
    <vt:lpwstr>eyJoZGlkIjoiZjJkNDE4ODE3NzMzOTBhNWZhOThkNTQxNTAxNmMzY2YifQ==</vt:lpwstr>
  </property>
</Properties>
</file>