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C6947">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重庆市潼南区塘坝镇农业服务中心</w:t>
      </w:r>
    </w:p>
    <w:p w14:paraId="2B7C47C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2024年度决算公开说明</w:t>
      </w:r>
    </w:p>
    <w:p w14:paraId="0CAE3239">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0" w:name="_GoBack"/>
      <w:bookmarkEnd w:id="0"/>
    </w:p>
    <w:p w14:paraId="3449404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21E7976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1．主要职能</w:t>
      </w:r>
    </w:p>
    <w:p w14:paraId="0375BF2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重庆市潼南区塘坝镇农业服务中心主要承担农业、畜牧业、林业、水利行业技术推广、信息服务、资源环境保护、灾害和动物疫情防治、扶贫开发服务等职责。</w:t>
      </w:r>
    </w:p>
    <w:p w14:paraId="101F6E1F">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2．机构情况</w:t>
      </w:r>
    </w:p>
    <w:p w14:paraId="5ED228E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重庆市潼南区塘坝镇农业服务中心属于重庆市潼南区塘坝镇人民政府二级预算单位，单位类型是公益一类事业单位，决算编报类型为单户表，按照政府会计准则制度填报决算数据 ，年末共有事业编制人员23名。</w:t>
      </w:r>
    </w:p>
    <w:p w14:paraId="398B26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646A508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C2C2CBC">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1491.58万元。收、支与2023年度相比，减少170.90万元，下降10.28%，主要原因是本单位本年度较上年度村居五险减少30.85万，村级运转减少103万，交通劝导减少12.24万，本土人才减少80.37万，</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rPr>
        <w:t>减少10.28%。</w:t>
      </w:r>
    </w:p>
    <w:p w14:paraId="72377720">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2024年度收入合计1491.58万元，与2023年度相比，减少170.90万元，下降10.28%，主要原因是本单位本年度较上年度村居五险减少30.85万，村级运转减少103万，交通劝导减少12.24万，本土人才减少80.37万，</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rPr>
        <w:t>减少10.28%。其中：财政拨款收入1491.58万元，占100.00%。</w:t>
      </w:r>
    </w:p>
    <w:p w14:paraId="6F4D4AA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1491.58万元，与2023年度相比，减少170.90万元，下降10.28%，主要原因是本单位本年度较上年度村居五险减少30.85万，村级运转减少103万，交通劝导减少12.24万，本土人才减少80.37万，支出减少10.28%。其中：基本支出748.58万元，占50.19%；项目支出743.00万元，占49.81%。</w:t>
      </w:r>
    </w:p>
    <w:p w14:paraId="4E48DAA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693B3C7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1A1383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2024年度财政拨款收、支总计均为1491.58万元。与2023年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相比，财政拨款收、支总计各减少170.90万元，下降10.28%。主要原因是本单位本年度较上年度村居五险减少30.85万，村级运转减少103万，交通劝导减少12.24万，本土人才减少80.37万，</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rPr>
        <w:t>减少10.28%。</w:t>
      </w:r>
    </w:p>
    <w:p w14:paraId="72E57EA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2B311A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2024年度一般公共预算财政拨款收入1491.58万元，与2023年度相比，减少170.90万元，下降10.28%。主要原因是本单位本年度较上年度村居五险减少30.85万，村级运转减少103万，交通劝导减少12.24万，本土人才减少80.37万，</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rPr>
        <w:t>减少10.28%。较年初预算数减少53.28万元，下降3.45%。主要原因是</w:t>
      </w:r>
      <w:r>
        <w:rPr>
          <w:rFonts w:hint="default" w:ascii="Times New Roman" w:hAnsi="Times New Roman" w:eastAsia="方正仿宋_GBK" w:cs="Times New Roman"/>
          <w:sz w:val="32"/>
          <w:szCs w:val="32"/>
          <w:shd w:val="clear" w:color="auto" w:fill="FFFFFF"/>
          <w:lang w:val="en-US" w:eastAsia="zh-CN"/>
        </w:rPr>
        <w:t>本年度公务用车在本级预算，村居五险、交通劝导员等项目年初预算减少，预算收入减少。</w:t>
      </w:r>
      <w:r>
        <w:rPr>
          <w:rFonts w:hint="default" w:ascii="Times New Roman" w:hAnsi="Times New Roman" w:eastAsia="方正仿宋_GBK" w:cs="Times New Roman"/>
          <w:sz w:val="32"/>
          <w:szCs w:val="32"/>
          <w:shd w:val="clear" w:color="auto" w:fill="FFFFFF"/>
        </w:rPr>
        <w:t>此外，年初财政拨款结转和结余0.00万元。</w:t>
      </w:r>
    </w:p>
    <w:p w14:paraId="4DAD52C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1491.58万元，与2023年度相比，减少170.90万元，下降10.28%。主要原因是本单位本年度较上年度村居五险减少30.85万，村级运转减少103万，交通劝导减少12.24万，本土人才减少80.37万，收入减少10.28%。较年初预算数减少53.28万元，下降3.45%。主要原因是本年度公务用车在本级预算，村居五险、交通劝导员等项目年初预算减少，预算</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减少。</w:t>
      </w:r>
    </w:p>
    <w:p w14:paraId="4197C90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42F69F5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就业支出188.53万元，占12.64%，较年初预算数增加32.50万元，增长20.83%，主要原因是</w:t>
      </w:r>
      <w:r>
        <w:rPr>
          <w:rFonts w:hint="default" w:ascii="Times New Roman" w:hAnsi="Times New Roman" w:eastAsia="方正仿宋_GBK" w:cs="Times New Roman"/>
          <w:sz w:val="32"/>
          <w:szCs w:val="32"/>
          <w:shd w:val="clear" w:color="auto" w:fill="FFFFFF"/>
          <w:lang w:val="en-US" w:eastAsia="zh-CN"/>
        </w:rPr>
        <w:t>部门人员调进调出、工资普调变动。</w:t>
      </w:r>
    </w:p>
    <w:p w14:paraId="6DC52AF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）卫生健康支出32.41万元，占2.17%，较年初预算数减少4.35万元，下降11.83%，主要原因是部门人员调进调出、工资普调变动。</w:t>
      </w:r>
    </w:p>
    <w:p w14:paraId="28FB56E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）农林水支出1245.32万元，占83.49%，较年初预算数减少81.43万元，下降6.14%，主要原因是</w:t>
      </w:r>
      <w:r>
        <w:rPr>
          <w:rFonts w:hint="default" w:ascii="Times New Roman" w:hAnsi="Times New Roman" w:eastAsia="方正仿宋_GBK" w:cs="Times New Roman"/>
          <w:sz w:val="32"/>
          <w:szCs w:val="32"/>
          <w:shd w:val="clear" w:color="auto" w:fill="FFFFFF"/>
          <w:lang w:val="en-US" w:eastAsia="zh-CN"/>
        </w:rPr>
        <w:t>部门人员调进调出、工资普调变动。</w:t>
      </w:r>
    </w:p>
    <w:p w14:paraId="154808A1">
      <w:pPr>
        <w:spacing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25.32万元，占1.70%，较年初预算数无增减，主要原因是</w:t>
      </w:r>
      <w:r>
        <w:rPr>
          <w:rFonts w:hint="default" w:ascii="Times New Roman" w:hAnsi="Times New Roman" w:eastAsia="方正仿宋_GBK" w:cs="Times New Roman"/>
          <w:sz w:val="32"/>
          <w:szCs w:val="32"/>
          <w:shd w:val="clear" w:color="auto" w:fill="FFFFFF"/>
          <w:lang w:val="en-US" w:eastAsia="zh-CN"/>
        </w:rPr>
        <w:t>公积金整体无变动。</w:t>
      </w:r>
    </w:p>
    <w:p w14:paraId="4ADAF39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1835B31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B9C382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2024年度一般公共财政拨款基本支出748.58万元。</w:t>
      </w:r>
    </w:p>
    <w:p w14:paraId="50A3AA1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55E05D5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人员经费676.27万元，与2023年度相比，增加46.10万元，增长7.32%，主要原因是</w:t>
      </w:r>
      <w:r>
        <w:rPr>
          <w:rFonts w:hint="default" w:ascii="Times New Roman" w:hAnsi="Times New Roman" w:eastAsia="方正仿宋_GBK" w:cs="Times New Roman"/>
          <w:sz w:val="32"/>
          <w:szCs w:val="32"/>
          <w:shd w:val="clear" w:color="auto" w:fill="FFFFFF"/>
          <w:lang w:val="en-US" w:eastAsia="zh-CN"/>
        </w:rPr>
        <w:t>年初人员退休，年中新增人员，导致人员经费总体减少。</w:t>
      </w:r>
      <w:r>
        <w:rPr>
          <w:rFonts w:hint="default" w:ascii="Times New Roman" w:hAnsi="Times New Roman" w:eastAsia="方正仿宋_GBK" w:cs="Times New Roman"/>
          <w:sz w:val="32"/>
          <w:szCs w:val="32"/>
          <w:shd w:val="clear" w:color="auto" w:fill="FFFFFF"/>
        </w:rPr>
        <w:t>人员经费用途主要包括在编干部职工的工资福利支出、住房公积金、社会保险费等。</w:t>
      </w:r>
    </w:p>
    <w:p w14:paraId="6975586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公用经费72.31万元，与2023年度相比，减少14.36万元，下降16.57%，主要原因是公用经费合并支出，同时调出一名人员，公用经费减少，办公费、差旅费、水电费、邮电费等开支减少，支出减少16.5</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%。公用经费用途主要包括开支办公费、水电费、邮电费、差旅费、广告宣传费、其他商品和服务支出等。</w:t>
      </w:r>
    </w:p>
    <w:p w14:paraId="66D277D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61A6054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本单位2024年度无政府性基金预算财政拨款收支。</w:t>
      </w:r>
    </w:p>
    <w:p w14:paraId="6516E6B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117C8C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本单位2024年度无国有资本经营预算财政拨款支出。</w:t>
      </w:r>
    </w:p>
    <w:p w14:paraId="7DA887C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365C414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5844B6D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2024年度“三公”经费支出共计10.00万元，较年初预算数无增减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较上年支出数增加3.00万元，增长42.86%，主要原因是上年度公务接待由本级及下属7个事业单位共同预算，本年度由本级和本单位预算，预算增加3万元，</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rPr>
        <w:t>增加，增加42.86%。</w:t>
      </w:r>
    </w:p>
    <w:p w14:paraId="2C068E0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F4495A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14:paraId="42D9C40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val="en-US" w:eastAsia="zh-CN"/>
        </w:rPr>
        <w:t>用。</w:t>
      </w:r>
    </w:p>
    <w:p w14:paraId="09C9A35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w:t>
      </w:r>
      <w:r>
        <w:rPr>
          <w:rFonts w:hint="default" w:ascii="Times New Roman" w:hAnsi="Times New Roman" w:eastAsia="方正仿宋_GBK" w:cs="Times New Roman"/>
          <w:sz w:val="32"/>
          <w:szCs w:val="32"/>
          <w:shd w:val="clear" w:color="auto" w:fill="FFFFFF"/>
          <w:lang w:val="en-US" w:eastAsia="zh-CN"/>
        </w:rPr>
        <w:t>费用。</w:t>
      </w:r>
    </w:p>
    <w:p w14:paraId="115699C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公务接待费10.00万元，主要用于接待</w:t>
      </w:r>
      <w:r>
        <w:rPr>
          <w:rFonts w:hint="default" w:ascii="Times New Roman" w:hAnsi="Times New Roman" w:eastAsia="方正仿宋_GBK" w:cs="Times New Roman"/>
          <w:sz w:val="32"/>
          <w:szCs w:val="32"/>
          <w:shd w:val="clear" w:color="auto" w:fill="FFFFFF"/>
          <w:lang w:val="en-US" w:eastAsia="zh-CN"/>
        </w:rPr>
        <w:t>区外及区内各单位到本单位视察、指导、学习等。</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较上年支出数增加3.00万元，增长42.86%，主要原因是</w:t>
      </w:r>
      <w:r>
        <w:rPr>
          <w:rFonts w:hint="default" w:ascii="Times New Roman" w:hAnsi="Times New Roman" w:eastAsia="方正仿宋_GBK" w:cs="Times New Roman"/>
          <w:sz w:val="32"/>
          <w:szCs w:val="32"/>
          <w:shd w:val="clear" w:color="auto" w:fill="FFFFFF"/>
          <w:lang w:val="en-US" w:eastAsia="zh-CN"/>
        </w:rPr>
        <w:t>上年度公务接待由本级及下属7个事业单位共同预算，本年度由本级和本单位预算，预算增加3万元，支出增加，增加42.86%。</w:t>
      </w:r>
    </w:p>
    <w:p w14:paraId="0CE7151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81737D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因公出国（境）共计0个团组，0人；公务用车购置0辆，公务车保有量为0辆；国内公务接待140批次1150人，其中：国内外事接待0批次，0人；国（境）外公务接待0批次，0人。2024年本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人均接待费86.96元，车均购置费0万元，车均维护费0万元。</w:t>
      </w:r>
    </w:p>
    <w:p w14:paraId="4BA8E8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07E351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B57979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本年度会议费支出1.19万元，与2023年度相比，增加1.19万元，增长100.00%，主要原因是上年度会议费由本级支付，本年度由本单位支付部分1.19万元，会议费支出增加100%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本年度培训费支出0.45万元，与2023年度相比，增加0.39万元，增长650.00%，主要原因是上年度培训费主要由本级和农服支付，本年度由本单位支付部分0.45万元，培训费支出增加65</w:t>
      </w:r>
      <w:r>
        <w:rPr>
          <w:rFonts w:hint="default"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w:t>
      </w:r>
    </w:p>
    <w:p w14:paraId="2D3C849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5E1196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0068169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710459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7DD192C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4AE462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2024年度我单位未发生政府采购事项，无相关经费支出。</w:t>
      </w:r>
    </w:p>
    <w:p w14:paraId="77F96FC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31EB0B8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000000" w:themeColor="text1"/>
          <w:sz w:val="32"/>
          <w:szCs w:val="32"/>
          <w:highlight w:val="yellow"/>
        </w:rPr>
      </w:pPr>
      <w:r>
        <w:rPr>
          <w:rFonts w:hint="default" w:ascii="Times New Roman" w:hAnsi="Times New Roman" w:eastAsia="方正仿宋_GBK" w:cs="Times New Roman"/>
          <w:color w:val="000000" w:themeColor="text1"/>
          <w:sz w:val="32"/>
          <w:szCs w:val="32"/>
          <w:shd w:val="clear" w:color="auto" w:fill="FFFFFF"/>
          <w:lang w:val="en-US" w:eastAsia="zh-CN"/>
        </w:rPr>
        <w:t>无。</w:t>
      </w:r>
    </w:p>
    <w:p w14:paraId="73988CC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2024年度绩效情况说明</w:t>
      </w:r>
    </w:p>
    <w:p w14:paraId="20D53595">
      <w:pPr>
        <w:pStyle w:val="16"/>
        <w:autoSpaceDE w:val="0"/>
        <w:ind w:firstLine="640"/>
        <w:rPr>
          <w:rStyle w:val="10"/>
          <w:rFonts w:hint="default" w:ascii="Times New Roman" w:hAnsi="Times New Roman" w:eastAsia="楷体" w:cs="Times New Roman"/>
          <w:sz w:val="32"/>
          <w:szCs w:val="32"/>
          <w:shd w:val="clear" w:color="auto" w:fill="FFFFFF"/>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（一）预算绩效管理工作开展情况</w:t>
      </w:r>
    </w:p>
    <w:p w14:paraId="31BFB87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 根据预算绩效管理要求，我单位对部门整体开展了绩效自评，经核实，本部门202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 xml:space="preserve">年度无项目支出。 </w:t>
      </w:r>
    </w:p>
    <w:p w14:paraId="2D3608FF">
      <w:pPr>
        <w:pStyle w:val="16"/>
        <w:autoSpaceDE w:val="0"/>
        <w:ind w:firstLine="640"/>
        <w:rPr>
          <w:rStyle w:val="10"/>
          <w:rFonts w:hint="default" w:ascii="Times New Roman" w:hAnsi="Times New Roman" w:eastAsia="楷体" w:cs="Times New Roman"/>
          <w:sz w:val="32"/>
          <w:szCs w:val="32"/>
          <w:shd w:val="clear" w:color="auto" w:fill="FFFFFF"/>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（二）绩效自评结果</w:t>
      </w:r>
    </w:p>
    <w:p w14:paraId="600077D8">
      <w:pPr>
        <w:pStyle w:val="6"/>
        <w:snapToGrid w:val="0"/>
        <w:spacing w:before="0" w:beforeAutospacing="0" w:after="0" w:afterAutospacing="0" w:line="600" w:lineRule="exact"/>
        <w:ind w:firstLine="960" w:firstLineChars="3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1.绩效目标自评表：无 </w:t>
      </w:r>
    </w:p>
    <w:p w14:paraId="0DAE5BB3">
      <w:pPr>
        <w:pStyle w:val="6"/>
        <w:snapToGrid w:val="0"/>
        <w:spacing w:before="0" w:beforeAutospacing="0" w:after="0" w:afterAutospacing="0" w:line="600" w:lineRule="exact"/>
        <w:ind w:firstLine="960" w:firstLineChars="3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2.绩效自评报告或案例：无</w:t>
      </w:r>
    </w:p>
    <w:p w14:paraId="0C89F88C">
      <w:pPr>
        <w:pStyle w:val="6"/>
        <w:snapToGrid w:val="0"/>
        <w:spacing w:before="0" w:beforeAutospacing="0" w:after="0" w:afterAutospacing="0" w:line="600" w:lineRule="exact"/>
        <w:ind w:firstLine="960" w:firstLineChars="3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3.关于绩效自评结果的说明：无 </w:t>
      </w:r>
    </w:p>
    <w:p w14:paraId="3F7B5975">
      <w:pPr>
        <w:pStyle w:val="16"/>
        <w:autoSpaceDE w:val="0"/>
        <w:ind w:firstLine="640"/>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 xml:space="preserve">（三）重点绩效评价结果：无 </w:t>
      </w:r>
    </w:p>
    <w:p w14:paraId="221BDCE3">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3D357E1E">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6DEEF34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1D7EEB6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28C7AD2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0F824F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1A5B925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FCD425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7D9666E">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F574D2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880E1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C31797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C27628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2DD111">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8A691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A5FBB1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6130E5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9C5BC8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DD8C4C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71B99309">
      <w:pPr>
        <w:pStyle w:val="6"/>
        <w:numPr>
          <w:ilvl w:val="0"/>
          <w:numId w:val="0"/>
        </w:numPr>
        <w:shd w:val="clear" w:color="auto" w:fill="FFFFFF"/>
        <w:spacing w:line="240" w:lineRule="auto"/>
        <w:ind w:leftChars="0" w:firstLine="640" w:firstLineChars="20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986"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bidi="ar-SA"/>
        </w:rPr>
        <w:t>本单位决算公开信息反馈和联系方式： 023-44340000</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8C0FB2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7827E9">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2F1DEF58">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BF70D0E">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A1058C9">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D19FC97">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6A877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060D42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5670275">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重庆市潼南区塘坝镇产业发展服务中心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2FE57B2">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2829AF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127C18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48A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7B53D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16335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D58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A3A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0F1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7211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2A45F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23C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AC1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1,491.58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3A6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9A4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CE94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1D5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DE5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D3E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336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C29B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E9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0FE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C28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7327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4A70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272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DF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C6F0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027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B739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0CE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C47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0D5C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316D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9B7A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E57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0F0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6E97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9B7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D976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49D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0ED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5C6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A5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D1D0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799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96E8D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47F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03B0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188.53</w:t>
            </w:r>
            <w:r>
              <w:rPr>
                <w:rFonts w:hint="default" w:ascii="Times New Roman" w:hAnsi="Times New Roman" w:cs="Times New Roman"/>
                <w:color w:val="000000"/>
                <w:sz w:val="20"/>
                <w:u w:color="auto"/>
              </w:rPr>
              <w:t xml:space="preserve"> </w:t>
            </w:r>
          </w:p>
        </w:tc>
      </w:tr>
      <w:tr w14:paraId="4E5AC7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56E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DD59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F7F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B73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32.41</w:t>
            </w:r>
            <w:r>
              <w:rPr>
                <w:rFonts w:hint="default" w:ascii="Times New Roman" w:hAnsi="Times New Roman" w:cs="Times New Roman"/>
                <w:color w:val="000000"/>
                <w:sz w:val="20"/>
                <w:u w:color="auto"/>
              </w:rPr>
              <w:t xml:space="preserve"> </w:t>
            </w:r>
          </w:p>
        </w:tc>
      </w:tr>
      <w:tr w14:paraId="7C028B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4163">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82BD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3C4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EC9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E3BF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88D0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1772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AFF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EC9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C75A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7110">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6666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9718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7E8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1,245.32</w:t>
            </w:r>
            <w:r>
              <w:rPr>
                <w:rFonts w:hint="default" w:ascii="Times New Roman" w:hAnsi="Times New Roman" w:cs="Times New Roman"/>
                <w:color w:val="000000"/>
                <w:sz w:val="20"/>
                <w:u w:color="auto"/>
              </w:rPr>
              <w:t xml:space="preserve"> </w:t>
            </w:r>
          </w:p>
        </w:tc>
      </w:tr>
      <w:tr w14:paraId="716DE6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2F0F">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89B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FEC2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746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6D45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8F6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8509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02F2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A82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845A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B4E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BCC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030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A49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4787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905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2BB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DD1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87A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8FB2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FE0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132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981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7AA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C434A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4DF7">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A540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4A3F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24F0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4DA1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2C7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AD0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4F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477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r>
      <w:tr w14:paraId="77C98A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F0B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181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E45B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6F50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09B77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FDF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A81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47BF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F84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7C9F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998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14C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1CCA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F1A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1638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18B4">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880B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37A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3D8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51C2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757F">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0CC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CA20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1BF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BB40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FEB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356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CBE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428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60E3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B90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8F4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35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328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1594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9157">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F037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1,491.58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A4652">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DD17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1,491.58</w:t>
            </w:r>
            <w:r>
              <w:rPr>
                <w:rFonts w:hint="default" w:ascii="Times New Roman" w:hAnsi="Times New Roman" w:cs="Times New Roman"/>
                <w:color w:val="000000"/>
                <w:sz w:val="20"/>
                <w:u w:color="auto"/>
              </w:rPr>
              <w:t xml:space="preserve"> </w:t>
            </w:r>
          </w:p>
        </w:tc>
      </w:tr>
      <w:tr w14:paraId="26A909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DB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8FD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BB7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D483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ED3B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521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84C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A37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DED5B0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41B88B">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6B5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322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1,491.58</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EC8F6B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8088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1,491.58</w:t>
            </w:r>
            <w:r>
              <w:rPr>
                <w:rFonts w:hint="default" w:ascii="Times New Roman" w:hAnsi="Times New Roman" w:cs="Times New Roman"/>
                <w:color w:val="000000"/>
                <w:sz w:val="20"/>
                <w:u w:color="auto"/>
              </w:rPr>
              <w:t xml:space="preserve"> </w:t>
            </w:r>
          </w:p>
        </w:tc>
      </w:tr>
    </w:tbl>
    <w:p w14:paraId="2B3284E5">
      <w:pPr>
        <w:rPr>
          <w:rFonts w:hint="default" w:ascii="Times New Roman" w:hAnsi="Times New Roman" w:cs="Times New Roman"/>
          <w:sz w:val="21"/>
          <w:szCs w:val="21"/>
        </w:rPr>
      </w:pPr>
    </w:p>
    <w:p w14:paraId="54FB5569">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74CAD6D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FCC765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4B0766F5">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520C73CF">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重庆市潼南区塘坝镇产业发展服务中心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3B025D31">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432D33A">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E125362">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7B669E91">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16C1400">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3160384">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1E3D2B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6471F67D">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06649969">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E6C48A0">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4C9F023">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6662379">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08A0859">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05E6386">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981514C">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E45708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B567E3">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6E248C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53F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74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7D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1B12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E4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90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D4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A04B908">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7C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1F32A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80BF">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BB55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1515">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9D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3E6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02B2">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9A46">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7AE2">
            <w:pPr>
              <w:jc w:val="center"/>
              <w:rPr>
                <w:rFonts w:hint="default" w:ascii="Times New Roman" w:hAnsi="Times New Roman" w:cs="Times New Roman"/>
                <w:b/>
                <w:color w:val="000000"/>
                <w:sz w:val="20"/>
                <w:szCs w:val="20"/>
              </w:rPr>
            </w:pPr>
          </w:p>
        </w:tc>
      </w:tr>
      <w:tr w14:paraId="2F6B09D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6665">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C4E46A">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D8D00">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D801">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405C">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AA72">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78B6">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27F0D">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3432">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9593">
            <w:pPr>
              <w:jc w:val="center"/>
              <w:rPr>
                <w:rFonts w:hint="default" w:ascii="Times New Roman" w:hAnsi="Times New Roman" w:cs="Times New Roman"/>
                <w:b/>
                <w:color w:val="000000"/>
                <w:sz w:val="20"/>
                <w:szCs w:val="20"/>
              </w:rPr>
            </w:pPr>
          </w:p>
        </w:tc>
      </w:tr>
      <w:tr w14:paraId="2177764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6E41">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B6D850">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C1CD">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5820">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910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97BB">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50C5">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C5C8">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083D">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34A5">
            <w:pPr>
              <w:jc w:val="center"/>
              <w:rPr>
                <w:rFonts w:hint="default" w:ascii="Times New Roman" w:hAnsi="Times New Roman" w:cs="Times New Roman"/>
                <w:b/>
                <w:color w:val="000000"/>
                <w:sz w:val="20"/>
                <w:szCs w:val="20"/>
              </w:rPr>
            </w:pPr>
          </w:p>
        </w:tc>
      </w:tr>
      <w:tr w14:paraId="3BBD8A12">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4134">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61B33A">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49CE">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4894">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0B98">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3AC4">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6348">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B3AA">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CFC5">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2B62">
            <w:pPr>
              <w:jc w:val="center"/>
              <w:rPr>
                <w:rFonts w:hint="default" w:ascii="Times New Roman" w:hAnsi="Times New Roman" w:cs="Times New Roman"/>
                <w:b/>
                <w:color w:val="000000"/>
                <w:sz w:val="20"/>
                <w:szCs w:val="20"/>
              </w:rPr>
            </w:pPr>
          </w:p>
        </w:tc>
      </w:tr>
      <w:tr w14:paraId="5745FCDD">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E2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13F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1,491.58</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8A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1,491.58</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1E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7B7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326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46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320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88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B17FCB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CC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AE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8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BD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FF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A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7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9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BA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DA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1EEF4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6D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71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D8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35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68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9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1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E9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5D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8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59EF0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1B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8C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8F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A3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A5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BB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8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B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2D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75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E00CE2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75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F26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AF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00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45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03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AA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A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0F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8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4222B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C5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864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6D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C2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A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B4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3D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E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79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4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90A45E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1E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53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C2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C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A0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42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30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24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68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65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D52D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6BA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5D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2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31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8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E1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8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6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3A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69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2D52AC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79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43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A4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2B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0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F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5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33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FF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7C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5D46A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C1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6D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AC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30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51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2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A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8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2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72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5715AB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BE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495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3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1,245.32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E5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1,245.32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50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5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6C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E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8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38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AD9B3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D3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48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7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2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6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8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F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39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7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D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F0D69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E2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DFC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5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B0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52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6F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6A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9B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FA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3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951E8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F6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E6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1E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6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A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BD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9F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04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6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8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D1BF3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16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261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AB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0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19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E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36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90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83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20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AA503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6A5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D2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3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B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2D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1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59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C8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4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E3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F4485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40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5E7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3B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BD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15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C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E7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E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0B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51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B8039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B1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748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1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7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58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9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7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03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6F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90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725D5AF">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14:paraId="6D293FC4">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29"/>
        <w:gridCol w:w="1642"/>
        <w:gridCol w:w="1692"/>
        <w:gridCol w:w="1624"/>
        <w:gridCol w:w="1557"/>
        <w:gridCol w:w="1692"/>
        <w:gridCol w:w="1949"/>
      </w:tblGrid>
      <w:tr w14:paraId="0AC2E3C8">
        <w:trPr>
          <w:trHeight w:val="532"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DAA742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DFD8294">
        <w:tblPrEx>
          <w:tblCellMar>
            <w:top w:w="0" w:type="dxa"/>
            <w:left w:w="0" w:type="dxa"/>
            <w:bottom w:w="0" w:type="dxa"/>
            <w:right w:w="0" w:type="dxa"/>
          </w:tblCellMar>
        </w:tblPrEx>
        <w:trPr>
          <w:trHeight w:val="342" w:hRule="atLeast"/>
        </w:trPr>
        <w:tc>
          <w:tcPr>
            <w:tcW w:w="2222" w:type="pct"/>
            <w:gridSpan w:val="3"/>
            <w:vMerge w:val="restart"/>
            <w:tcBorders>
              <w:top w:val="nil"/>
              <w:left w:val="nil"/>
              <w:right w:val="nil"/>
            </w:tcBorders>
            <w:shd w:val="clear" w:color="auto" w:fill="auto"/>
            <w:noWrap/>
            <w:tcMar>
              <w:top w:w="15" w:type="dxa"/>
              <w:left w:w="15" w:type="dxa"/>
              <w:right w:w="15" w:type="dxa"/>
            </w:tcMar>
            <w:vAlign w:val="bottom"/>
          </w:tcPr>
          <w:p w14:paraId="4B981BB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重庆市潼南区塘坝镇产业发展服务中心 </w:t>
            </w:r>
          </w:p>
        </w:tc>
        <w:tc>
          <w:tcPr>
            <w:tcW w:w="552" w:type="pct"/>
            <w:tcBorders>
              <w:top w:val="nil"/>
              <w:left w:val="nil"/>
              <w:bottom w:val="nil"/>
              <w:right w:val="nil"/>
            </w:tcBorders>
            <w:shd w:val="clear" w:color="auto" w:fill="auto"/>
            <w:noWrap/>
            <w:tcMar>
              <w:top w:w="15" w:type="dxa"/>
              <w:left w:w="15" w:type="dxa"/>
              <w:right w:w="15" w:type="dxa"/>
            </w:tcMar>
            <w:vAlign w:val="bottom"/>
          </w:tcPr>
          <w:p w14:paraId="185F7AD0">
            <w:pPr>
              <w:rPr>
                <w:rFonts w:hint="default" w:ascii="Times New Roman" w:hAnsi="Times New Roman" w:cs="Times New Roman"/>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50E61F79">
            <w:pPr>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1FBB88F">
            <w:pPr>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4DCBFCD">
            <w:pPr>
              <w:rPr>
                <w:rFonts w:hint="default" w:ascii="Times New Roman" w:hAnsi="Times New Roman" w:cs="Times New Roman"/>
                <w:color w:val="000000"/>
                <w:sz w:val="20"/>
                <w:szCs w:val="20"/>
              </w:rPr>
            </w:pPr>
          </w:p>
        </w:tc>
        <w:tc>
          <w:tcPr>
            <w:tcW w:w="631" w:type="pct"/>
            <w:tcBorders>
              <w:top w:val="nil"/>
              <w:left w:val="nil"/>
              <w:bottom w:val="nil"/>
              <w:right w:val="nil"/>
            </w:tcBorders>
            <w:shd w:val="clear" w:color="auto" w:fill="auto"/>
            <w:noWrap/>
            <w:tcMar>
              <w:top w:w="15" w:type="dxa"/>
              <w:left w:w="15" w:type="dxa"/>
              <w:right w:w="15" w:type="dxa"/>
            </w:tcMar>
            <w:vAlign w:val="bottom"/>
          </w:tcPr>
          <w:p w14:paraId="2AA9EC3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488DC469">
        <w:tblPrEx>
          <w:tblCellMar>
            <w:top w:w="0" w:type="dxa"/>
            <w:left w:w="0" w:type="dxa"/>
            <w:bottom w:w="0" w:type="dxa"/>
            <w:right w:w="0" w:type="dxa"/>
          </w:tblCellMar>
        </w:tblPrEx>
        <w:trPr>
          <w:trHeight w:val="342" w:hRule="atLeast"/>
        </w:trPr>
        <w:tc>
          <w:tcPr>
            <w:tcW w:w="2222" w:type="pct"/>
            <w:gridSpan w:val="3"/>
            <w:vMerge w:val="continue"/>
            <w:tcBorders>
              <w:left w:val="nil"/>
              <w:bottom w:val="nil"/>
              <w:right w:val="nil"/>
            </w:tcBorders>
            <w:shd w:val="clear" w:color="auto" w:fill="auto"/>
            <w:noWrap/>
            <w:tcMar>
              <w:top w:w="15" w:type="dxa"/>
              <w:left w:w="15" w:type="dxa"/>
              <w:right w:w="15" w:type="dxa"/>
            </w:tcMar>
            <w:vAlign w:val="bottom"/>
          </w:tcPr>
          <w:p w14:paraId="1337CF49">
            <w:pPr>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CCB9CCD">
            <w:pPr>
              <w:rPr>
                <w:rFonts w:hint="default" w:ascii="Times New Roman" w:hAnsi="Times New Roman" w:cs="Times New Roman"/>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5A58DAD4">
            <w:pPr>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A89FAAD">
            <w:pPr>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E8CB8F5">
            <w:pPr>
              <w:rPr>
                <w:rFonts w:hint="default" w:ascii="Times New Roman" w:hAnsi="Times New Roman" w:cs="Times New Roman"/>
                <w:color w:val="000000"/>
                <w:sz w:val="20"/>
                <w:szCs w:val="20"/>
              </w:rPr>
            </w:pPr>
          </w:p>
        </w:tc>
        <w:tc>
          <w:tcPr>
            <w:tcW w:w="631" w:type="pct"/>
            <w:tcBorders>
              <w:top w:val="nil"/>
              <w:left w:val="nil"/>
              <w:bottom w:val="nil"/>
              <w:right w:val="nil"/>
            </w:tcBorders>
            <w:shd w:val="clear" w:color="auto" w:fill="auto"/>
            <w:noWrap/>
            <w:tcMar>
              <w:top w:w="15" w:type="dxa"/>
              <w:left w:w="15" w:type="dxa"/>
              <w:right w:w="15" w:type="dxa"/>
            </w:tcMar>
            <w:vAlign w:val="bottom"/>
          </w:tcPr>
          <w:p w14:paraId="7FA3953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58728EB">
        <w:tblPrEx>
          <w:tblCellMar>
            <w:top w:w="0" w:type="dxa"/>
            <w:left w:w="0" w:type="dxa"/>
            <w:bottom w:w="0" w:type="dxa"/>
            <w:right w:w="0" w:type="dxa"/>
          </w:tblCellMar>
        </w:tblPrEx>
        <w:trPr>
          <w:trHeight w:val="362" w:hRule="atLeast"/>
        </w:trPr>
        <w:tc>
          <w:tcPr>
            <w:tcW w:w="16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BA53D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0D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EF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0C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4C4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D0C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9F7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7D9F3B77">
        <w:tblPrEx>
          <w:tblCellMar>
            <w:top w:w="0" w:type="dxa"/>
            <w:left w:w="0" w:type="dxa"/>
            <w:bottom w:w="0" w:type="dxa"/>
            <w:right w:w="0" w:type="dxa"/>
          </w:tblCellMar>
        </w:tblPrEx>
        <w:trPr>
          <w:trHeight w:val="338" w:hRule="atLeast"/>
        </w:trPr>
        <w:tc>
          <w:tcPr>
            <w:tcW w:w="53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F609">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7EC20C0">
            <w:pPr>
              <w:spacing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40D8">
            <w:pPr>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9C6F">
            <w:pPr>
              <w:spacing w:line="240" w:lineRule="auto"/>
              <w:jc w:val="center"/>
              <w:rPr>
                <w:rFonts w:hint="default" w:ascii="Times New Roman" w:hAnsi="Times New Roman" w:cs="Times New Roman"/>
                <w:b/>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3877">
            <w:pPr>
              <w:spacing w:line="240" w:lineRule="auto"/>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44A8">
            <w:pPr>
              <w:spacing w:line="240" w:lineRule="auto"/>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0030">
            <w:pPr>
              <w:spacing w:line="240" w:lineRule="auto"/>
              <w:jc w:val="center"/>
              <w:rPr>
                <w:rFonts w:hint="default" w:ascii="Times New Roman" w:hAnsi="Times New Roman" w:cs="Times New Roman"/>
                <w:b/>
                <w:color w:val="000000"/>
                <w:sz w:val="20"/>
                <w:szCs w:val="20"/>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2925">
            <w:pPr>
              <w:spacing w:line="240" w:lineRule="auto"/>
              <w:jc w:val="center"/>
              <w:rPr>
                <w:rFonts w:hint="default" w:ascii="Times New Roman" w:hAnsi="Times New Roman" w:cs="Times New Roman"/>
                <w:b/>
                <w:color w:val="000000"/>
                <w:sz w:val="20"/>
                <w:szCs w:val="20"/>
              </w:rPr>
            </w:pPr>
          </w:p>
        </w:tc>
      </w:tr>
      <w:tr w14:paraId="4D305C9A">
        <w:tblPrEx>
          <w:tblCellMar>
            <w:top w:w="0" w:type="dxa"/>
            <w:left w:w="0" w:type="dxa"/>
            <w:bottom w:w="0" w:type="dxa"/>
            <w:right w:w="0" w:type="dxa"/>
          </w:tblCellMar>
        </w:tblPrEx>
        <w:trPr>
          <w:trHeight w:val="338"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7D96">
            <w:pPr>
              <w:jc w:val="center"/>
              <w:rPr>
                <w:rFonts w:hint="default" w:ascii="Times New Roman" w:hAnsi="Times New Roman" w:cs="Times New Roman"/>
                <w:b/>
                <w:color w:val="000000"/>
                <w:sz w:val="20"/>
                <w:szCs w:val="20"/>
              </w:rPr>
            </w:pPr>
          </w:p>
        </w:tc>
        <w:tc>
          <w:tcPr>
            <w:tcW w:w="115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BC86D7">
            <w:pPr>
              <w:jc w:val="center"/>
              <w:rPr>
                <w:rFonts w:hint="default" w:ascii="Times New Roman" w:hAnsi="Times New Roman" w:cs="Times New Roman"/>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01A8">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1E21">
            <w:pPr>
              <w:jc w:val="center"/>
              <w:rPr>
                <w:rFonts w:hint="default" w:ascii="Times New Roman" w:hAnsi="Times New Roman" w:cs="Times New Roman"/>
                <w:b/>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AD63">
            <w:pPr>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32158">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B980">
            <w:pPr>
              <w:jc w:val="center"/>
              <w:rPr>
                <w:rFonts w:hint="default" w:ascii="Times New Roman" w:hAnsi="Times New Roman" w:cs="Times New Roman"/>
                <w:b/>
                <w:color w:val="000000"/>
                <w:sz w:val="20"/>
                <w:szCs w:val="20"/>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7970">
            <w:pPr>
              <w:jc w:val="center"/>
              <w:rPr>
                <w:rFonts w:hint="default" w:ascii="Times New Roman" w:hAnsi="Times New Roman" w:cs="Times New Roman"/>
                <w:b/>
                <w:color w:val="000000"/>
                <w:sz w:val="20"/>
                <w:szCs w:val="20"/>
              </w:rPr>
            </w:pPr>
          </w:p>
        </w:tc>
      </w:tr>
      <w:tr w14:paraId="5A9742D0">
        <w:tblPrEx>
          <w:tblCellMar>
            <w:top w:w="0" w:type="dxa"/>
            <w:left w:w="0" w:type="dxa"/>
            <w:bottom w:w="0" w:type="dxa"/>
            <w:right w:w="0" w:type="dxa"/>
          </w:tblCellMar>
        </w:tblPrEx>
        <w:trPr>
          <w:trHeight w:val="338"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2B9F">
            <w:pPr>
              <w:jc w:val="center"/>
              <w:rPr>
                <w:rFonts w:hint="default" w:ascii="Times New Roman" w:hAnsi="Times New Roman" w:cs="Times New Roman"/>
                <w:b/>
                <w:color w:val="000000"/>
                <w:sz w:val="20"/>
                <w:szCs w:val="20"/>
              </w:rPr>
            </w:pPr>
          </w:p>
        </w:tc>
        <w:tc>
          <w:tcPr>
            <w:tcW w:w="115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14C68F">
            <w:pPr>
              <w:jc w:val="center"/>
              <w:rPr>
                <w:rFonts w:hint="default" w:ascii="Times New Roman" w:hAnsi="Times New Roman" w:cs="Times New Roman"/>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BB76">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384B0">
            <w:pPr>
              <w:jc w:val="center"/>
              <w:rPr>
                <w:rFonts w:hint="default" w:ascii="Times New Roman" w:hAnsi="Times New Roman" w:cs="Times New Roman"/>
                <w:b/>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BAB1">
            <w:pPr>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B252">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6FE8">
            <w:pPr>
              <w:jc w:val="center"/>
              <w:rPr>
                <w:rFonts w:hint="default" w:ascii="Times New Roman" w:hAnsi="Times New Roman" w:cs="Times New Roman"/>
                <w:b/>
                <w:color w:val="000000"/>
                <w:sz w:val="20"/>
                <w:szCs w:val="20"/>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04EE">
            <w:pPr>
              <w:jc w:val="center"/>
              <w:rPr>
                <w:rFonts w:hint="default" w:ascii="Times New Roman" w:hAnsi="Times New Roman" w:cs="Times New Roman"/>
                <w:b/>
                <w:color w:val="000000"/>
                <w:sz w:val="20"/>
                <w:szCs w:val="20"/>
              </w:rPr>
            </w:pPr>
          </w:p>
        </w:tc>
      </w:tr>
      <w:tr w14:paraId="731E9E18">
        <w:tblPrEx>
          <w:tblCellMar>
            <w:top w:w="0" w:type="dxa"/>
            <w:left w:w="0" w:type="dxa"/>
            <w:bottom w:w="0" w:type="dxa"/>
            <w:right w:w="0" w:type="dxa"/>
          </w:tblCellMar>
        </w:tblPrEx>
        <w:trPr>
          <w:trHeight w:val="312" w:hRule="atLeast"/>
        </w:trPr>
        <w:tc>
          <w:tcPr>
            <w:tcW w:w="53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18D1">
            <w:pPr>
              <w:jc w:val="center"/>
              <w:rPr>
                <w:rFonts w:hint="default" w:ascii="Times New Roman" w:hAnsi="Times New Roman" w:cs="Times New Roman"/>
                <w:b/>
                <w:color w:val="000000"/>
                <w:sz w:val="20"/>
                <w:szCs w:val="20"/>
              </w:rPr>
            </w:pPr>
          </w:p>
        </w:tc>
        <w:tc>
          <w:tcPr>
            <w:tcW w:w="115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072256">
            <w:pPr>
              <w:jc w:val="center"/>
              <w:rPr>
                <w:rFonts w:hint="default" w:ascii="Times New Roman" w:hAnsi="Times New Roman" w:cs="Times New Roman"/>
                <w:b/>
                <w:color w:val="000000"/>
                <w:sz w:val="20"/>
                <w:szCs w:val="20"/>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C918">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364B">
            <w:pPr>
              <w:jc w:val="center"/>
              <w:rPr>
                <w:rFonts w:hint="default" w:ascii="Times New Roman" w:hAnsi="Times New Roman" w:cs="Times New Roman"/>
                <w:b/>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8EFD">
            <w:pPr>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2261">
            <w:pPr>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969D">
            <w:pPr>
              <w:jc w:val="center"/>
              <w:rPr>
                <w:rFonts w:hint="default" w:ascii="Times New Roman" w:hAnsi="Times New Roman" w:cs="Times New Roman"/>
                <w:b/>
                <w:color w:val="000000"/>
                <w:sz w:val="20"/>
                <w:szCs w:val="20"/>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9C74">
            <w:pPr>
              <w:jc w:val="center"/>
              <w:rPr>
                <w:rFonts w:hint="default" w:ascii="Times New Roman" w:hAnsi="Times New Roman" w:cs="Times New Roman"/>
                <w:b/>
                <w:color w:val="000000"/>
                <w:sz w:val="20"/>
                <w:szCs w:val="20"/>
              </w:rPr>
            </w:pPr>
          </w:p>
        </w:tc>
      </w:tr>
      <w:tr w14:paraId="16220232">
        <w:tblPrEx>
          <w:tblCellMar>
            <w:top w:w="0" w:type="dxa"/>
            <w:left w:w="0" w:type="dxa"/>
            <w:bottom w:w="0" w:type="dxa"/>
            <w:right w:w="0" w:type="dxa"/>
          </w:tblCellMar>
        </w:tblPrEx>
        <w:trPr>
          <w:trHeight w:val="362" w:hRule="atLeast"/>
        </w:trPr>
        <w:tc>
          <w:tcPr>
            <w:tcW w:w="16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1B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0B5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1,491.58</w:t>
            </w:r>
            <w:r>
              <w:rPr>
                <w:rFonts w:hint="default" w:ascii="Times New Roman" w:hAnsi="Times New Roman" w:cs="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7B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748.58</w:t>
            </w:r>
            <w:r>
              <w:rPr>
                <w:rFonts w:hint="default" w:ascii="Times New Roman" w:hAnsi="Times New Roman" w:cs="Times New Roman"/>
                <w:b/>
                <w:color w:val="000000"/>
                <w:sz w:val="20"/>
                <w:u w:color="auto"/>
              </w:rPr>
              <w:t xml:space="preserve"> </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DA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743.00</w:t>
            </w:r>
            <w:r>
              <w:rPr>
                <w:rFonts w:hint="default" w:ascii="Times New Roman" w:hAnsi="Times New Roman" w:cs="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C39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AE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AA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9651C8C">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8A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3C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8E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C3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E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E0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98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771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29DAE55">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B4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12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2D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E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04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7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B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2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8933616">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F2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18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65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D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E1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8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0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4B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20424BB">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29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2B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56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A8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1E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A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19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73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3F2B71">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1F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3A3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9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75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9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81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42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DC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B289A5A">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D1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43B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54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35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0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54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47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BA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7E4E714">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6C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35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C1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0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91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3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4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D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3FE8568">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DE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75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E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8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8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D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A0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61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17A6AF1">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C2B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63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3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CB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7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7B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A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8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DBCBB1F">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D6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DA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95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1,245.32</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C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D8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9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24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56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18D3110">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4A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BF3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AA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82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98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9B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C7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97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E0DBE2">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401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D3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4F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3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46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51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8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EA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39C394">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7DE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FE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F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F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FC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5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A1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D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C84DBB0">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EF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C8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99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09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5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0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A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A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08AB3DD">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79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F5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CA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3C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95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EB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F9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E8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2DDF4C">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73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DB5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4B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4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DA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5F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B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83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E6E7DE">
        <w:tblPrEx>
          <w:tblCellMar>
            <w:top w:w="0" w:type="dxa"/>
            <w:left w:w="0" w:type="dxa"/>
            <w:bottom w:w="0" w:type="dxa"/>
            <w:right w:w="0" w:type="dxa"/>
          </w:tblCellMar>
        </w:tblPrEx>
        <w:trPr>
          <w:trHeight w:val="382"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DC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BFB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A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D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B3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52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DF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C7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754F0C9">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FBAFB02">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7F188BC3">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BCA1B5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7E568D">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55EAD0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65B778A">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6DC4F9E">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C2E45F">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CE09D6">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96D3D0">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35868D7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B8533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94FD7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48C485">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DFA950">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ADE1C6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C901A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DDA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C5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7C57ED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8BF9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35E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67BB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CFA3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0E51E4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897D">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B5F3">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CA6AC">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36A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07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818D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60F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CA463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A4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1F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204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A1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9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43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B2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1090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258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64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C63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1F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C2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93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3C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6AE5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776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9E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97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21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3D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AA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83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AE0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C5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00ECB">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F2E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C5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21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79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F4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D837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432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3422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AD9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90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8F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C7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9E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0DE5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1D0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3A615C">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7F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E4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39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BF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76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CB20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722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15EC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034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3C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BF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14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84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EFB7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96A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2B45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AF0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9E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188.53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38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188.53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63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35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3D49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F32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71A0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C9A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29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32.41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F1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32.41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34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3A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B22D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2C2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EBA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2F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0F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3F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7B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52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2A63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074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E6C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E58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33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BD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19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30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EA9C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721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F53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5EA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32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1,245.32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AD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1,245.32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63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0B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7042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3C9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AB6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649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72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A3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29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2B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FFBA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74D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8E1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447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B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29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7C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E3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3562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989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1B6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90A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4B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ED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69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42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561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9A2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408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24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78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A0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1A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E0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F055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C38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94A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703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CA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69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88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50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8F2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929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669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421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B3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A6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06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19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0EF5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5BF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748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9AD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B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1E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A1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EF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0F62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D4C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2C4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1C3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A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4B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AC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70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70DC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4C1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F53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7DF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50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82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37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CF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A56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136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176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053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E6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8E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1F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1C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2F3A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306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38B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3B2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8B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B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1E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19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9ABF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0DD7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A10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B5C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FE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09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96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05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311E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FFCB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A19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FA8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79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F5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CC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FA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C8F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817A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A28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AD1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EE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D5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9F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1B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821D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81BE">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70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9AE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BF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83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75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34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81EE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CC3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CC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9C2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9A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30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1F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E5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6C1D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EF8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5B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FD127">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6D8A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BFF2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F0A16">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6D1ED4">
            <w:pPr>
              <w:spacing w:line="200" w:lineRule="exact"/>
              <w:rPr>
                <w:rFonts w:hint="default" w:ascii="Times New Roman" w:hAnsi="Times New Roman" w:cs="Times New Roman"/>
                <w:color w:val="000000"/>
                <w:sz w:val="18"/>
                <w:szCs w:val="18"/>
              </w:rPr>
            </w:pPr>
          </w:p>
        </w:tc>
      </w:tr>
      <w:tr w14:paraId="662AB9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3E4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B2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BDB1">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75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85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BBE1">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955C">
            <w:pPr>
              <w:spacing w:line="200" w:lineRule="exact"/>
              <w:jc w:val="right"/>
              <w:rPr>
                <w:rFonts w:hint="default" w:ascii="Times New Roman" w:hAnsi="Times New Roman" w:cs="Times New Roman"/>
                <w:color w:val="000000"/>
                <w:sz w:val="18"/>
                <w:szCs w:val="18"/>
              </w:rPr>
            </w:pPr>
          </w:p>
        </w:tc>
      </w:tr>
      <w:tr w14:paraId="64860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87F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ED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7657">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3742">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2A3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4552">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8FEE">
            <w:pPr>
              <w:spacing w:line="200" w:lineRule="exact"/>
              <w:jc w:val="right"/>
              <w:rPr>
                <w:rFonts w:hint="default" w:ascii="Times New Roman" w:hAnsi="Times New Roman" w:cs="Times New Roman"/>
                <w:color w:val="000000"/>
                <w:sz w:val="18"/>
                <w:szCs w:val="18"/>
              </w:rPr>
            </w:pPr>
          </w:p>
        </w:tc>
      </w:tr>
      <w:tr w14:paraId="0D78D5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F24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FA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F0D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DA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3D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1,491.58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6B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DC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7F774D56">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0490771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97C926">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6AEAE23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244708C6">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重庆市潼南区塘坝镇产业发展服务中心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9B48987">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5C3B0B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93C6255">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18595A3">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3923EBC">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D235AF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9F9CF34">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706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B68F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FB0223A">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1DD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887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79E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BB21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EBAC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5F1C17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7A1E">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045D3">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617A9">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D687D">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8C87">
            <w:pPr>
              <w:jc w:val="center"/>
              <w:rPr>
                <w:rFonts w:hint="default" w:ascii="Times New Roman" w:hAnsi="Times New Roman" w:cs="Times New Roman"/>
                <w:b/>
                <w:color w:val="000000"/>
                <w:sz w:val="20"/>
                <w:szCs w:val="20"/>
              </w:rPr>
            </w:pPr>
          </w:p>
        </w:tc>
      </w:tr>
      <w:tr w14:paraId="294763D8">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C523">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E3303">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BBCB8">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E0CEC">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F25DC">
            <w:pPr>
              <w:jc w:val="center"/>
              <w:rPr>
                <w:rFonts w:hint="default" w:ascii="Times New Roman" w:hAnsi="Times New Roman" w:cs="Times New Roman"/>
                <w:b/>
                <w:color w:val="000000"/>
                <w:sz w:val="20"/>
                <w:szCs w:val="20"/>
              </w:rPr>
            </w:pPr>
          </w:p>
        </w:tc>
      </w:tr>
      <w:tr w14:paraId="7AAC9468">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F49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42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1,491.58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1C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748.58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65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743.00</w:t>
            </w:r>
            <w:r>
              <w:rPr>
                <w:rFonts w:hint="default" w:ascii="Times New Roman" w:hAnsi="Times New Roman" w:cs="Times New Roman"/>
                <w:b/>
                <w:color w:val="000000"/>
                <w:sz w:val="20"/>
                <w:u w:color="auto"/>
              </w:rPr>
              <w:t xml:space="preserve"> </w:t>
            </w:r>
          </w:p>
        </w:tc>
      </w:tr>
      <w:tr w14:paraId="2798A9B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78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053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08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EF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24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F7850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A4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C5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4D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2A4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188.53</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5D8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33CD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E0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3FB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E0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15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55.73</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126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669B7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63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45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A4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0B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30.23</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50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2099A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AA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72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4F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86C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102.58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AC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3061C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6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22B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DB8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BE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51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3E58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791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0B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51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A0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32.41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54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E0B124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BF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3D5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96F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E69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14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1DC50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F2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775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94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929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11.61</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13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5C2E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73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B34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A9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1,245.32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8D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A9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r>
      <w:tr w14:paraId="14201F4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AED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F9E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00A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9C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502.32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D8B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A4F0E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88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20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62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1B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502.32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47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BB0E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3A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00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AF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B85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8F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743.00</w:t>
            </w:r>
            <w:r>
              <w:rPr>
                <w:rFonts w:hint="default" w:ascii="Times New Roman" w:hAnsi="Times New Roman" w:cs="Times New Roman"/>
                <w:b/>
                <w:color w:val="000000"/>
                <w:sz w:val="20"/>
                <w:u w:color="auto"/>
              </w:rPr>
              <w:t xml:space="preserve"> </w:t>
            </w:r>
          </w:p>
        </w:tc>
      </w:tr>
      <w:tr w14:paraId="69F032F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5B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38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E9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CC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9B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743.00</w:t>
            </w:r>
            <w:r>
              <w:rPr>
                <w:rFonts w:hint="default" w:ascii="Times New Roman" w:hAnsi="Times New Roman" w:cs="Times New Roman"/>
                <w:color w:val="000000"/>
                <w:sz w:val="20"/>
                <w:u w:color="auto"/>
              </w:rPr>
              <w:t xml:space="preserve"> </w:t>
            </w:r>
          </w:p>
        </w:tc>
      </w:tr>
      <w:tr w14:paraId="029680D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91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6A8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B7D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73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28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6BEE4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86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CE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753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526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25.32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C9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0BAB33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CD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CA8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52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BFF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09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FD3DAC5">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1FCFF94">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1B2196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6A4EED4">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E4E330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6A02DA2">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重庆市潼南区塘坝镇产业发展服务中心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045045D8">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3131B87">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A7819FF">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1649A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6499B20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B3F5A5C">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789CE0F">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D083A5">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D2CFFAD">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B8E69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236AF2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38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CC7E3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D43A26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0C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323B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FE90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FB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B41C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1CA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0FB2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100B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D5E5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CDC73D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A2A1">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4EB72">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5C4C7">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F3F90">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D33D1">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26F7F">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B46F">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CEE34">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66B17">
            <w:pPr>
              <w:spacing w:line="200" w:lineRule="exact"/>
              <w:jc w:val="center"/>
              <w:rPr>
                <w:rFonts w:hint="default" w:ascii="Times New Roman" w:hAnsi="Times New Roman" w:cs="Times New Roman"/>
                <w:b/>
                <w:color w:val="000000"/>
                <w:sz w:val="18"/>
                <w:szCs w:val="18"/>
              </w:rPr>
            </w:pPr>
          </w:p>
        </w:tc>
      </w:tr>
      <w:tr w14:paraId="777EDF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9AA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B5D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CB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565.97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65C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548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A4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72.31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613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1E7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C3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A424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2B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B2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50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123.28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16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B1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32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63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4E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70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B2B7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1C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91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F7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19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03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5F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BE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0E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1F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3DFF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1B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C7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84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3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08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EB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45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375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DE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37DD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FD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06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B9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B5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DF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A7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65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74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91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0BB8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A4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20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F5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267.15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62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5D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FA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32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C9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81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A10A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74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D5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76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CD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5D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2E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F4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74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DE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C452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18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50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D4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C5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6A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66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2E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37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ED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CB1D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A0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36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89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11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B6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B4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6A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DC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07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238F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3A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A5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57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44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48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13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82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14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E8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6B93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28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64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13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A3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9C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33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99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CD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2C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4069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64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43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FF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0D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D7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AA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40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80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81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3111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3D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4C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92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AB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B1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8A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47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7A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80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76DB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0B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65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74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6B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16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82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F4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7B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45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9A75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153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BE6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B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110.30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60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88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E0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8B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A5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7B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2FA5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7A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6F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AE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1E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80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E1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25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37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7F2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C795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BD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97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82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17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49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FE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71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6A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8B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18F3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3C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4A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8C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5B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AD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68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BB0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6CA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03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C879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95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80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A5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FC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5B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72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19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30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35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AA95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2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91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E6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97.85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16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2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DB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16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BE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2D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7D44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39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08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7E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59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37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24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F9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F4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07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45C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CD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CE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38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C8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3E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AA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BF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BE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8A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0A6C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D5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9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59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D1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1B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36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44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41C5">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83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E2F6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80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CF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E2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66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7F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9B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8D9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7C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D0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2436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05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E9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CC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C5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43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F3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A0F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55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F2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7098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B6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2A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79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B7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81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26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E1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08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70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73DC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D3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C4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0F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12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E7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23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3E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38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05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374C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8C4C">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C306">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54C67">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29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C9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8A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27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94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53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FB91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D792">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93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928AC">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A40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E0B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61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3D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70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4E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0DE4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74D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F35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0E74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D1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4E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F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BC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30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36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A394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EAC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E29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6A5F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B7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3A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50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52C7">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C2F4">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80DF">
            <w:pPr>
              <w:spacing w:line="200" w:lineRule="exact"/>
              <w:jc w:val="right"/>
              <w:rPr>
                <w:rFonts w:hint="default" w:ascii="Times New Roman" w:hAnsi="Times New Roman" w:cs="Times New Roman"/>
                <w:color w:val="000000"/>
                <w:sz w:val="18"/>
                <w:szCs w:val="18"/>
              </w:rPr>
            </w:pPr>
          </w:p>
        </w:tc>
      </w:tr>
      <w:tr w14:paraId="176C8B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475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8B76">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48DB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A2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79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7C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D950">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FC30">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366F">
            <w:pPr>
              <w:spacing w:line="200" w:lineRule="exact"/>
              <w:jc w:val="right"/>
              <w:rPr>
                <w:rFonts w:hint="default" w:ascii="Times New Roman" w:hAnsi="Times New Roman" w:cs="Times New Roman"/>
                <w:color w:val="000000"/>
                <w:sz w:val="18"/>
                <w:szCs w:val="18"/>
              </w:rPr>
            </w:pPr>
          </w:p>
        </w:tc>
      </w:tr>
      <w:tr w14:paraId="4993CF1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0DF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C7F5">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311B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99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0E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61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6262">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644E">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7307">
            <w:pPr>
              <w:spacing w:line="200" w:lineRule="exact"/>
              <w:jc w:val="right"/>
              <w:rPr>
                <w:rFonts w:hint="default" w:ascii="Times New Roman" w:hAnsi="Times New Roman" w:cs="Times New Roman"/>
                <w:color w:val="000000"/>
                <w:sz w:val="18"/>
                <w:szCs w:val="18"/>
              </w:rPr>
            </w:pPr>
          </w:p>
        </w:tc>
      </w:tr>
      <w:tr w14:paraId="72B08203">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0AB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0F861">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676.27</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046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C9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72.31</w:t>
            </w:r>
            <w:r>
              <w:rPr>
                <w:rFonts w:hint="default" w:ascii="Times New Roman" w:hAnsi="Times New Roman" w:cs="Times New Roman"/>
                <w:color w:val="000000"/>
                <w:sz w:val="18"/>
                <w:u w:color="auto"/>
              </w:rPr>
              <w:t xml:space="preserve"> </w:t>
            </w:r>
          </w:p>
        </w:tc>
      </w:tr>
    </w:tbl>
    <w:p w14:paraId="683FC558">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5636CAB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1927F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52137B3">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D8D83F9">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853FCF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50EF6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F80903">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7CCB8E3">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41958F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7C6F3EBD">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03CCBFD6">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007AFA">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608C22">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0AE4B6">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781419B">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C13CFE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5A601C3">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07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902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47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87F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2F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715BE9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024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D8C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B08617">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0ACA">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C5AE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454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95ED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B989">
            <w:pPr>
              <w:jc w:val="center"/>
              <w:rPr>
                <w:rFonts w:hint="default" w:ascii="Times New Roman" w:hAnsi="Times New Roman" w:cs="Times New Roman"/>
                <w:b/>
                <w:color w:val="000000"/>
                <w:sz w:val="20"/>
                <w:szCs w:val="20"/>
              </w:rPr>
            </w:pPr>
          </w:p>
        </w:tc>
      </w:tr>
      <w:tr w14:paraId="6DAACDF0">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CB7E">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7B01">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BACDE9">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CB58">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694AE">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DE960">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F68D3">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F6FD">
            <w:pPr>
              <w:jc w:val="center"/>
              <w:rPr>
                <w:rFonts w:hint="default" w:ascii="Times New Roman" w:hAnsi="Times New Roman" w:cs="Times New Roman"/>
                <w:b/>
                <w:color w:val="000000"/>
                <w:sz w:val="20"/>
                <w:szCs w:val="20"/>
              </w:rPr>
            </w:pPr>
          </w:p>
        </w:tc>
      </w:tr>
      <w:tr w14:paraId="446B1E6E">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9448">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7C2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03C16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71F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9DF4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95ABD">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B2969">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C7F6">
            <w:pPr>
              <w:jc w:val="center"/>
              <w:rPr>
                <w:rFonts w:hint="default" w:ascii="Times New Roman" w:hAnsi="Times New Roman" w:cs="Times New Roman"/>
                <w:b/>
                <w:color w:val="000000"/>
                <w:sz w:val="20"/>
                <w:szCs w:val="20"/>
              </w:rPr>
            </w:pPr>
          </w:p>
        </w:tc>
      </w:tr>
      <w:tr w14:paraId="164E9080">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E5B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3B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5A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DF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DA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D2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8E6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4BFA40A">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DC62">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4F95">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3C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CAB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AF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A0A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87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DE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2C73DC0">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4ED9C00">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742C591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8E88D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8A54FA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A2F9C00">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重庆市潼南区塘坝镇产业发展服务中心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BC7CC3">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4797B8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0A08001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6C6F92C">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7B44712">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78978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AEB8669">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C5FA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7150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96C6BCB">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DD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A42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64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0C8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B89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7F816B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8CDE">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A654E">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4756">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C821B">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6B7B7">
            <w:pPr>
              <w:jc w:val="center"/>
              <w:rPr>
                <w:rFonts w:hint="default" w:ascii="Times New Roman" w:hAnsi="Times New Roman" w:cs="Times New Roman"/>
                <w:b/>
                <w:color w:val="000000"/>
                <w:sz w:val="20"/>
                <w:szCs w:val="20"/>
              </w:rPr>
            </w:pPr>
          </w:p>
        </w:tc>
      </w:tr>
      <w:tr w14:paraId="6C4DBD0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C92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0A88F">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8958">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6756B">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34D09">
            <w:pPr>
              <w:jc w:val="center"/>
              <w:rPr>
                <w:rFonts w:hint="default" w:ascii="Times New Roman" w:hAnsi="Times New Roman" w:cs="Times New Roman"/>
                <w:b/>
                <w:color w:val="000000"/>
                <w:sz w:val="20"/>
                <w:szCs w:val="20"/>
              </w:rPr>
            </w:pPr>
          </w:p>
        </w:tc>
      </w:tr>
      <w:tr w14:paraId="61C93216">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D03F">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311C0">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F105">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24BD9">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6EECE">
            <w:pPr>
              <w:jc w:val="center"/>
              <w:rPr>
                <w:rFonts w:hint="default" w:ascii="Times New Roman" w:hAnsi="Times New Roman" w:cs="Times New Roman"/>
                <w:b/>
                <w:color w:val="000000"/>
                <w:sz w:val="20"/>
                <w:szCs w:val="20"/>
              </w:rPr>
            </w:pPr>
          </w:p>
        </w:tc>
      </w:tr>
      <w:tr w14:paraId="49C06820">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FB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EA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4424">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E93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2141213">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C8F1">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28A8">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496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E992">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39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298E9E8C">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850982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8"/>
        <w:gridCol w:w="2415"/>
        <w:gridCol w:w="2375"/>
        <w:gridCol w:w="3674"/>
        <w:gridCol w:w="2487"/>
      </w:tblGrid>
      <w:tr w14:paraId="3D0926B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A0372B9">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46B24F0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D25E15D">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7055E982">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60D8D34">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37CF6B5F">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0FA5BEE">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7671B54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70A9E22">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重庆市潼南区塘坝镇产业发展服务中心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E7BA649">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9354659">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806D62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3DDC92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704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338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C8D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E6B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450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430CE01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154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659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D71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97B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5C3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D66F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B90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B35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5A3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2B1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301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33CC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508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BE00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91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4DF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26A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B7DC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E5C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2E6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F2A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982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0748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D3A14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ACE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667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9A4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8B2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6BE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668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383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85E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744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2D6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B88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6CE0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D1B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BA5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9E2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7C4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69F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D9A4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652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71B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022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10.00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DCD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86C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009C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E54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1CE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5A1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97F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BFF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384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158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826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DE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71D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5AD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0EAF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FEF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86A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E7FB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6D4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2F5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769E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A18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249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2BC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120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AFE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2F01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6FF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64F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6D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188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129B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76F7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C8E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1BB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B99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53A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C3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2D10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E04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42C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EA8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595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5153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48FFE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E23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32A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EE7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140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B1C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577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7ABD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13C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63F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0ED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84C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724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0165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021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6D3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7AA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1,150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ED3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0D7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28CB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E58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475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139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DF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78E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4A0C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242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D91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A07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A4B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3E1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22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4BC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84E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8DF1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918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506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A8B4C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F59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E2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582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D570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A7BCB">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6AC0C38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9B0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268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414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09DB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35D72">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03B93B2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223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86A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D06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0B56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A55A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20CDCBE8">
      <w:pPr>
        <w:rPr>
          <w:rFonts w:hint="default" w:ascii="Times New Roman" w:hAnsi="Times New Roman" w:cs="Times New Roman"/>
          <w:sz w:val="18"/>
          <w:szCs w:val="18"/>
        </w:rPr>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p>
    <w:p w14:paraId="4C408A39">
      <w:pPr>
        <w:rPr>
          <w:rFonts w:hint="default" w:ascii="Times New Roman" w:hAnsi="Times New Roman"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704070" cy="5081270"/>
            <wp:effectExtent l="0" t="0" r="1143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704070" cy="5081270"/>
                    </a:xfrm>
                    <a:prstGeom prst="rect">
                      <a:avLst/>
                    </a:prstGeom>
                    <a:noFill/>
                    <a:ln>
                      <a:noFill/>
                    </a:ln>
                  </pic:spPr>
                </pic:pic>
              </a:graphicData>
            </a:graphic>
          </wp:inline>
        </w:drawing>
      </w:r>
    </w:p>
    <w:p w14:paraId="692BC862">
      <w:pPr>
        <w:rPr>
          <w:rFonts w:hint="default" w:ascii="Times New Roman" w:hAnsi="Times New Roman"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024755"/>
            <wp:effectExtent l="0" t="0" r="1778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9697720" cy="5024755"/>
                    </a:xfrm>
                    <a:prstGeom prst="rect">
                      <a:avLst/>
                    </a:prstGeom>
                    <a:noFill/>
                    <a:ln>
                      <a:noFill/>
                    </a:ln>
                  </pic:spPr>
                </pic:pic>
              </a:graphicData>
            </a:graphic>
          </wp:inline>
        </w:drawing>
      </w:r>
    </w:p>
    <w:p w14:paraId="2DF4A645">
      <w:pPr>
        <w:rPr>
          <w:rFonts w:hint="default" w:ascii="Times New Roman" w:hAnsi="Times New Roman"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085" cy="4862195"/>
            <wp:effectExtent l="0" t="0" r="18415"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9697085" cy="4862195"/>
                    </a:xfrm>
                    <a:prstGeom prst="rect">
                      <a:avLst/>
                    </a:prstGeom>
                    <a:noFill/>
                    <a:ln>
                      <a:noFill/>
                    </a:ln>
                  </pic:spPr>
                </pic:pic>
              </a:graphicData>
            </a:graphic>
          </wp:inline>
        </w:drawing>
      </w:r>
    </w:p>
    <w:p w14:paraId="41C785BD">
      <w:pPr>
        <w:rPr>
          <w:rFonts w:hint="default" w:ascii="Times New Roman" w:hAnsi="Times New Roman" w:cs="Times New Roman"/>
          <w:sz w:val="18"/>
          <w:szCs w:val="18"/>
        </w:rPr>
        <w:sectPr>
          <w:pgSz w:w="16783" w:h="11850" w:orient="landscape"/>
          <w:pgMar w:top="567" w:right="454" w:bottom="567" w:left="1037" w:header="0" w:footer="283" w:gutter="0"/>
          <w:pgNumType w:fmt="numberInDash"/>
          <w:cols w:space="720" w:num="1"/>
          <w:docGrid w:type="lines" w:linePitch="326" w:charSpace="0"/>
        </w:sectPr>
      </w:pPr>
      <w:r>
        <w:rPr>
          <w:rFonts w:hint="default" w:ascii="Times New Roman" w:hAnsi="Times New Roman" w:cs="Times New Roman"/>
        </w:rPr>
        <w:drawing>
          <wp:inline distT="0" distB="0" distL="114300" distR="114300">
            <wp:extent cx="9697720" cy="5479415"/>
            <wp:effectExtent l="0" t="0" r="1778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9697720" cy="5479415"/>
                    </a:xfrm>
                    <a:prstGeom prst="rect">
                      <a:avLst/>
                    </a:prstGeom>
                    <a:noFill/>
                    <a:ln>
                      <a:noFill/>
                    </a:ln>
                  </pic:spPr>
                </pic:pic>
              </a:graphicData>
            </a:graphic>
          </wp:inline>
        </w:drawing>
      </w:r>
    </w:p>
    <w:p w14:paraId="505C5FE6">
      <w:pPr>
        <w:rPr>
          <w:rFonts w:hint="default" w:ascii="Times New Roman" w:hAnsi="Times New Roman" w:cs="Times New Roman"/>
          <w:sz w:val="18"/>
          <w:szCs w:val="18"/>
        </w:rPr>
      </w:pPr>
      <w:r>
        <w:rPr>
          <w:rFonts w:hint="default" w:ascii="Times New Roman" w:hAnsi="Times New Roman" w:cs="Times New Roman"/>
        </w:rPr>
        <w:drawing>
          <wp:inline distT="0" distB="0" distL="114300" distR="114300">
            <wp:extent cx="9702165" cy="5359400"/>
            <wp:effectExtent l="0" t="0" r="1333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9702165" cy="5359400"/>
                    </a:xfrm>
                    <a:prstGeom prst="rect">
                      <a:avLst/>
                    </a:prstGeom>
                    <a:noFill/>
                    <a:ln>
                      <a:noFill/>
                    </a:ln>
                  </pic:spPr>
                </pic:pic>
              </a:graphicData>
            </a:graphic>
          </wp:inline>
        </w:drawing>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700F">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9524C59">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892F">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BF32A0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F8F523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DF91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B76DA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7B11B5"/>
    <w:rsid w:val="1ECF0A66"/>
    <w:rsid w:val="1EF67CA4"/>
    <w:rsid w:val="1F020D3A"/>
    <w:rsid w:val="1F2C5189"/>
    <w:rsid w:val="1F4B0B02"/>
    <w:rsid w:val="1FBB35CD"/>
    <w:rsid w:val="1FCD26AF"/>
    <w:rsid w:val="20642787"/>
    <w:rsid w:val="21556F04"/>
    <w:rsid w:val="22403BD3"/>
    <w:rsid w:val="235417B6"/>
    <w:rsid w:val="23C948A4"/>
    <w:rsid w:val="24B92327"/>
    <w:rsid w:val="24C14514"/>
    <w:rsid w:val="2533755C"/>
    <w:rsid w:val="25791755"/>
    <w:rsid w:val="26396DF4"/>
    <w:rsid w:val="27167136"/>
    <w:rsid w:val="271B442C"/>
    <w:rsid w:val="27B23302"/>
    <w:rsid w:val="29310A5F"/>
    <w:rsid w:val="29C37A35"/>
    <w:rsid w:val="2A076083"/>
    <w:rsid w:val="2A540E6E"/>
    <w:rsid w:val="2A73162E"/>
    <w:rsid w:val="2B167953"/>
    <w:rsid w:val="2B200583"/>
    <w:rsid w:val="2B8209DE"/>
    <w:rsid w:val="2B821C91"/>
    <w:rsid w:val="2BF81A22"/>
    <w:rsid w:val="2C636760"/>
    <w:rsid w:val="2C6762A3"/>
    <w:rsid w:val="2FCA4B37"/>
    <w:rsid w:val="2FE029D7"/>
    <w:rsid w:val="2FF06E00"/>
    <w:rsid w:val="30586FEC"/>
    <w:rsid w:val="315F0B22"/>
    <w:rsid w:val="31A521C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B11969"/>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A4298"/>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406FE6"/>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BA0FDC"/>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0"/>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3935</Words>
  <Characters>22430</Characters>
  <Lines>186</Lines>
  <Paragraphs>52</Paragraphs>
  <TotalTime>11</TotalTime>
  <ScaleCrop>false</ScaleCrop>
  <LinksUpToDate>false</LinksUpToDate>
  <CharactersWithSpaces>26313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