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7"/>
          <w:rFonts w:hint="default" w:ascii="方正小标宋_GBK" w:hAnsi="方正小标宋_GBK" w:eastAsia="方正小标宋_GBK" w:cs="方正小标宋_GBK"/>
          <w:b w:val="0"/>
          <w:kern w:val="2"/>
          <w:sz w:val="44"/>
          <w:szCs w:val="44"/>
          <w:shd w:val="clear" w:color="auto" w:fill="FFFFFF"/>
          <w:lang w:val="en-US" w:eastAsia="zh-CN" w:bidi="ar-SA"/>
        </w:rPr>
      </w:pPr>
      <w:bookmarkStart w:id="0" w:name="_GoBack"/>
      <w:bookmarkEnd w:id="0"/>
      <w:r>
        <w:rPr>
          <w:rStyle w:val="7"/>
          <w:rFonts w:hint="eastAsia" w:ascii="方正小标宋_GBK" w:hAnsi="方正小标宋_GBK" w:eastAsia="方正小标宋_GBK" w:cs="方正小标宋_GBK"/>
          <w:b w:val="0"/>
          <w:kern w:val="2"/>
          <w:sz w:val="44"/>
          <w:szCs w:val="44"/>
          <w:shd w:val="clear" w:color="auto" w:fill="FFFFFF"/>
          <w:lang w:val="en-US" w:eastAsia="zh-CN" w:bidi="ar-SA"/>
        </w:rPr>
        <w:t>重庆市潼南区太安镇人民政府</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lang w:val="en-US"/>
        </w:rPr>
      </w:pPr>
      <w:r>
        <w:rPr>
          <w:rStyle w:val="7"/>
          <w:rFonts w:hint="eastAsia" w:ascii="方正小标宋_GBK" w:hAnsi="方正小标宋_GBK" w:eastAsia="方正小标宋_GBK" w:cs="方正小标宋_GBK"/>
          <w:b w:val="0"/>
          <w:kern w:val="2"/>
          <w:sz w:val="44"/>
          <w:szCs w:val="44"/>
          <w:shd w:val="clear" w:color="auto" w:fill="FFFFFF"/>
          <w:lang w:val="en-US" w:eastAsia="zh-CN" w:bidi="ar-SA"/>
        </w:rPr>
        <w:t>关于废止一批行政规范性文件的决定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太安府发〔2024〕19号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各村（社区）、党的建设板块、经济发展板块、民生服务板块、平安法治板块：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经</w:t>
      </w:r>
      <w:r>
        <w:rPr>
          <w:rFonts w:hint="eastAsia" w:ascii="Times New Roman" w:hAnsi="Times New Roman" w:eastAsia="方正仿宋_GBK" w:cs="Times New Roman"/>
          <w:kern w:val="0"/>
          <w:sz w:val="32"/>
          <w:szCs w:val="32"/>
          <w:shd w:val="clear" w:color="auto" w:fill="FFFFFF"/>
          <w:lang w:val="en-US" w:eastAsia="zh-CN" w:bidi="ar-SA"/>
        </w:rPr>
        <w:t>2024</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3</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6</w:t>
      </w:r>
      <w:r>
        <w:rPr>
          <w:rFonts w:hint="default" w:ascii="Times New Roman" w:hAnsi="Times New Roman" w:eastAsia="方正仿宋_GBK" w:cs="Times New Roman"/>
          <w:kern w:val="0"/>
          <w:sz w:val="32"/>
          <w:szCs w:val="32"/>
          <w:shd w:val="clear" w:color="auto" w:fill="FFFFFF"/>
          <w:lang w:val="en-US" w:eastAsia="zh-CN" w:bidi="ar-SA"/>
        </w:rPr>
        <w:t>日第</w:t>
      </w:r>
      <w:r>
        <w:rPr>
          <w:rFonts w:hint="eastAsia" w:ascii="Times New Roman" w:hAnsi="Times New Roman" w:eastAsia="方正仿宋_GBK" w:cs="Times New Roman"/>
          <w:kern w:val="0"/>
          <w:sz w:val="32"/>
          <w:szCs w:val="32"/>
          <w:shd w:val="clear" w:color="auto" w:fill="FFFFFF"/>
          <w:lang w:val="en-US" w:eastAsia="zh-CN" w:bidi="ar-SA"/>
        </w:rPr>
        <w:t>一</w:t>
      </w:r>
      <w:r>
        <w:rPr>
          <w:rFonts w:hint="default" w:ascii="Times New Roman" w:hAnsi="Times New Roman" w:eastAsia="方正仿宋_GBK" w:cs="Times New Roman"/>
          <w:kern w:val="0"/>
          <w:sz w:val="32"/>
          <w:szCs w:val="32"/>
          <w:shd w:val="clear" w:color="auto" w:fill="FFFFFF"/>
          <w:lang w:val="en-US" w:eastAsia="zh-CN" w:bidi="ar-SA"/>
        </w:rPr>
        <w:t>期党委会审议通过，决定对</w:t>
      </w:r>
      <w:r>
        <w:rPr>
          <w:rFonts w:hint="eastAsia" w:ascii="Times New Roman" w:hAnsi="Times New Roman" w:eastAsia="方正仿宋_GBK" w:cs="Times New Roman"/>
          <w:kern w:val="0"/>
          <w:sz w:val="32"/>
          <w:szCs w:val="32"/>
          <w:shd w:val="clear" w:color="auto" w:fill="FFFFFF"/>
          <w:lang w:val="en-US" w:eastAsia="zh-CN" w:bidi="ar-SA"/>
        </w:rPr>
        <w:t>2</w:t>
      </w:r>
      <w:r>
        <w:rPr>
          <w:rFonts w:hint="default" w:ascii="Times New Roman" w:hAnsi="Times New Roman" w:eastAsia="方正仿宋_GBK" w:cs="Times New Roman"/>
          <w:kern w:val="0"/>
          <w:sz w:val="32"/>
          <w:szCs w:val="32"/>
          <w:shd w:val="clear" w:color="auto" w:fill="FFFFFF"/>
          <w:lang w:val="en-US" w:eastAsia="zh-CN" w:bidi="ar-SA"/>
        </w:rPr>
        <w:t>件行政规范性文件予以废止，不再作为行政管理的依据。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本决定自公布之日起施行。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重庆市潼南区</w:t>
      </w:r>
      <w:r>
        <w:rPr>
          <w:rFonts w:hint="eastAsia" w:ascii="Times New Roman" w:hAnsi="Times New Roman" w:eastAsia="方正仿宋_GBK" w:cs="Times New Roman"/>
          <w:kern w:val="0"/>
          <w:sz w:val="32"/>
          <w:szCs w:val="32"/>
          <w:shd w:val="clear" w:color="auto" w:fill="FFFFFF"/>
          <w:lang w:val="en-US" w:eastAsia="zh-CN" w:bidi="ar-SA"/>
        </w:rPr>
        <w:t>太安</w:t>
      </w:r>
      <w:r>
        <w:rPr>
          <w:rFonts w:hint="default" w:ascii="Times New Roman" w:hAnsi="Times New Roman" w:eastAsia="方正仿宋_GBK" w:cs="Times New Roman"/>
          <w:kern w:val="0"/>
          <w:sz w:val="32"/>
          <w:szCs w:val="32"/>
          <w:shd w:val="clear" w:color="auto" w:fill="FFFFFF"/>
          <w:lang w:val="en-US" w:eastAsia="zh-CN" w:bidi="ar-SA"/>
        </w:rPr>
        <w:t>镇人民政府</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right="0" w:rightChars="0" w:firstLine="5120" w:firstLineChars="16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w:t>
      </w:r>
      <w:r>
        <w:rPr>
          <w:rFonts w:hint="eastAsia" w:ascii="Times New Roman" w:hAnsi="Times New Roman" w:eastAsia="方正仿宋_GBK" w:cs="Times New Roman"/>
          <w:kern w:val="0"/>
          <w:sz w:val="32"/>
          <w:szCs w:val="32"/>
          <w:shd w:val="clear" w:color="auto" w:fill="FFFFFF"/>
          <w:lang w:val="en-US" w:eastAsia="zh-CN" w:bidi="ar-SA"/>
        </w:rPr>
        <w:t>4</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3</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6</w:t>
      </w:r>
      <w:r>
        <w:rPr>
          <w:rFonts w:hint="default" w:ascii="Times New Roman" w:hAnsi="Times New Roman" w:eastAsia="方正仿宋_GBK" w:cs="Times New Roman"/>
          <w:kern w:val="0"/>
          <w:sz w:val="32"/>
          <w:szCs w:val="32"/>
          <w:shd w:val="clear" w:color="auto" w:fill="FFFFFF"/>
          <w:lang w:val="en-US" w:eastAsia="zh-CN" w:bidi="ar-SA"/>
        </w:rPr>
        <w:t>日</w:t>
      </w:r>
      <w:r>
        <w:rPr>
          <w:rFonts w:hint="default" w:ascii="Times New Roman" w:hAnsi="Times New Roman" w:cs="Times New Roma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spacing w:line="600" w:lineRule="exact"/>
        <w:rPr>
          <w:rFonts w:hint="eastAsia" w:ascii="方正黑体_GBK" w:hAnsi="宋体" w:eastAsia="方正黑体_GBK" w:cs="宋体"/>
          <w:kern w:val="0"/>
          <w:sz w:val="32"/>
          <w:szCs w:val="32"/>
        </w:rPr>
      </w:pPr>
    </w:p>
    <w:p>
      <w:pPr>
        <w:spacing w:line="600" w:lineRule="exact"/>
        <w:rPr>
          <w:rFonts w:hint="eastAsia" w:ascii="方正黑体_GBK" w:hAnsi="宋体" w:eastAsia="方正黑体_GBK" w:cs="宋体"/>
          <w:kern w:val="0"/>
          <w:sz w:val="32"/>
          <w:szCs w:val="32"/>
        </w:rPr>
      </w:pPr>
    </w:p>
    <w:p>
      <w:pPr>
        <w:spacing w:line="600" w:lineRule="exact"/>
        <w:rPr>
          <w:rFonts w:hint="eastAsia" w:ascii="方正黑体_GBK" w:hAnsi="宋体" w:eastAsia="方正黑体_GBK" w:cs="宋体"/>
          <w:kern w:val="0"/>
          <w:sz w:val="32"/>
          <w:szCs w:val="32"/>
        </w:rPr>
      </w:pPr>
    </w:p>
    <w:p>
      <w:pPr>
        <w:spacing w:line="600" w:lineRule="exact"/>
        <w:rPr>
          <w:rFonts w:hint="eastAsia" w:ascii="方正黑体_GBK" w:hAnsi="宋体" w:eastAsia="方正黑体_GBK" w:cs="宋体"/>
          <w:kern w:val="0"/>
          <w:sz w:val="32"/>
          <w:szCs w:val="32"/>
        </w:rPr>
      </w:pPr>
    </w:p>
    <w:p>
      <w:pPr>
        <w:spacing w:line="600" w:lineRule="exact"/>
        <w:rPr>
          <w:rFonts w:hint="eastAsia" w:ascii="方正黑体_GBK" w:hAnsi="宋体" w:eastAsia="方正黑体_GBK" w:cs="宋体"/>
          <w:kern w:val="0"/>
          <w:sz w:val="32"/>
          <w:szCs w:val="32"/>
        </w:rPr>
      </w:pPr>
    </w:p>
    <w:p>
      <w:pPr>
        <w:rPr>
          <w:rFonts w:hint="eastAsia" w:ascii="方正仿宋_GBK" w:hAnsi="方正仿宋_GBK" w:eastAsia="方正仿宋_GBK" w:cs="方正仿宋_GBK"/>
          <w:kern w:val="0"/>
          <w:sz w:val="32"/>
          <w:szCs w:val="32"/>
          <w:shd w:val="clear" w:color="auto" w:fill="FFFFFF"/>
          <w:lang w:val="en-US" w:eastAsia="zh-CN" w:bidi="ar-SA"/>
        </w:rPr>
      </w:pPr>
    </w:p>
    <w:p>
      <w:pPr>
        <w:pStyle w:val="2"/>
        <w:rPr>
          <w:rFonts w:hint="eastAsia"/>
          <w:lang w:val="en-US" w:eastAsia="zh-CN"/>
        </w:rPr>
      </w:pPr>
    </w:p>
    <w:p>
      <w:pPr>
        <w:overflowPunct w:val="0"/>
        <w:spacing w:line="600" w:lineRule="exact"/>
        <w:ind w:right="210" w:rightChars="100"/>
        <w:rPr>
          <w:rFonts w:hint="default" w:ascii="Times New Roman" w:hAnsi="Times New Roman" w:cs="Times New Roman"/>
          <w:lang w:val="en-US" w:eastAsia="zh-CN"/>
        </w:rPr>
      </w:pPr>
      <w:r>
        <w:rPr>
          <w:rFonts w:hint="default" w:ascii="Times New Roman" w:hAnsi="Times New Roman" w:eastAsia="方正仿宋_GBK" w:cs="Times New Roman"/>
          <w:sz w:val="28"/>
          <w:szCs w:val="28"/>
        </w:rPr>
        <w:t>重庆市潼南区</w:t>
      </w:r>
      <w:r>
        <w:rPr>
          <w:rFonts w:hint="eastAsia" w:ascii="Times New Roman" w:hAnsi="Times New Roman" w:eastAsia="方正仿宋_GBK" w:cs="Times New Roman"/>
          <w:sz w:val="28"/>
          <w:szCs w:val="28"/>
          <w:lang w:val="en-US" w:eastAsia="zh-CN"/>
        </w:rPr>
        <w:t>太安</w:t>
      </w:r>
      <w:r>
        <w:rPr>
          <w:rFonts w:hint="default" w:ascii="Times New Roman" w:hAnsi="Times New Roman" w:eastAsia="方正仿宋_GBK" w:cs="Times New Roman"/>
          <w:sz w:val="28"/>
          <w:szCs w:val="28"/>
        </w:rPr>
        <w:t>镇</w:t>
      </w:r>
      <w:r>
        <w:rPr>
          <w:rFonts w:hint="default" w:ascii="Times New Roman" w:hAnsi="Times New Roman" w:eastAsia="方正仿宋_GBK" w:cs="Times New Roman"/>
          <w:sz w:val="28"/>
          <w:szCs w:val="28"/>
          <w:lang w:eastAsia="zh-CN"/>
        </w:rPr>
        <w:t>党政</w:t>
      </w:r>
      <w:r>
        <w:rPr>
          <w:rFonts w:hint="default" w:ascii="Times New Roman" w:hAnsi="Times New Roman" w:eastAsia="方正仿宋_GBK" w:cs="Times New Roman"/>
          <w:sz w:val="28"/>
          <w:szCs w:val="28"/>
        </w:rPr>
        <w:t xml:space="preserve">办公室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日印</w:t>
      </w:r>
      <w:r>
        <w:rPr>
          <w:rFonts w:hint="default" w:ascii="Times New Roman" w:hAnsi="Times New Roman" w:cs="Times New Roman"/>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438150</wp:posOffset>
                </wp:positionV>
                <wp:extent cx="5615940" cy="0"/>
                <wp:effectExtent l="0" t="4445" r="0" b="508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top:34.5pt;height:0pt;width:442.2pt;mso-position-horizontal:center;mso-position-horizontal-relative:margin;z-index:251659264;mso-width-relative:page;mso-height-relative:page;" filled="f" stroked="t" coordsize="21600,21600" o:gfxdata="UEsDBAoAAAAAAIdO4kAAAAAAAAAAAAAAAAAEAAAAZHJzL1BLAwQUAAAACACHTuJAHjAYFtQAAAAG&#10;AQAADwAAAGRycy9kb3ducmV2LnhtbE2PT0/DMAzF70h8h8hIXKYt2ZimUpruAPTGhQHa1WtMW9E4&#10;XZP9gU+PEQc4Wc/Peu/nYn32vTrSGLvAFuYzA4q4Dq7jxsLrSzXNQMWE7LAPTBY+KcK6vLwoMHfh&#10;xM903KRGSQjHHC20KQ251rFuyWOchYFYvPcwekwix0a7EU8S7nu9MGalPXYsDS0OdN9S/bE5eAux&#10;eqN99TWpJ2Z70wRa7B+eHtHa66u5uQOV6Jz+juEHX9ChFKZdOLCLqrcgjyQLq1uZ4mbZcglq97vQ&#10;ZaH/45ffUEsDBBQAAAAIAIdO4kArOGVT6QEAALgDAAAOAAAAZHJzL2Uyb0RvYy54bWytU8FuEzEQ&#10;vSPxD5bvZJMoqegqmx4SlUuBSC0fMPF6sxa2x7KdbPIT/AASNzhx5M7ftHwGY28SSrn0wB4sj2fm&#10;zbw3s7OrvdFsJ31QaCs+Ggw5k1Zgreym4h/url+95ixEsDVotLLiBxn41fzli1nnSjnGFnUtPSMQ&#10;G8rOVbyN0ZVFEUQrDYQBOmnJ2aA3EMn0m6L20BG60cV4OLwoOvS18yhkCPS67J38iOifA4hNo4Rc&#10;otgaaWOP6qWGSJRCq1zg89xt00gR3zdNkJHpihPTmE8qQvd1Oov5DMqNB9cqcWwBntPCE04GlKWi&#10;Z6glRGBbr/6BMkp4DNjEgUBT9ESyIsRiNHyizW0LTmYuJHVwZ9HD/4MV73Yrz1Rd8QlnFgwN/OHz&#10;j/tPX3/9/ELnw/dvbJJE6lwoKXZhVz7RFHt7625QfAzM4qIFu5G52buDI4RRyij+SklGcFRq3b3F&#10;mmJgGzErtm+8SZCkBdvnwRzOg5H7yAQ9Ti9G08sJzUycfAWUp0TnQ3wj0bB0qbhWNmkGJexuQkyN&#10;QHkKSc8Wr5XWee7asq7il9PxNCcE1KpOzhQW/Ga90J7tIG1O/jIr8jwO87i1dV9E25Qn89IdK59Y&#10;9/qtsT6s/EkaGmju7bh8aWMe21nAPz/c/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eMBgW1AAA&#10;AAYBAAAPAAAAAAAAAAEAIAAAACIAAABkcnMvZG93bnJldi54bWxQSwECFAAUAAAACACHTuJAKzhl&#10;U+kBAAC4AwAADgAAAAAAAAABACAAAAAjAQAAZHJzL2Uyb0RvYy54bWxQSwUGAAAAAAYABgBZAQAA&#10;fgUAAAAA&#10;">
                <v:fill on="f" focussize="0,0"/>
                <v:stroke color="#000000" joinstyle="round"/>
                <v:imagedata o:title=""/>
                <o:lock v:ext="edit" aspectratio="f"/>
              </v:line>
            </w:pict>
          </mc:Fallback>
        </mc:AlternateContent>
      </w:r>
      <w:r>
        <w:rPr>
          <w:rFonts w:hint="default" w:ascii="Times New Roman" w:hAnsi="Times New Roman" w:cs="Times New Roman"/>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24765</wp:posOffset>
                </wp:positionV>
                <wp:extent cx="5615940" cy="0"/>
                <wp:effectExtent l="0" t="4445" r="0" b="508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top:1.95pt;height:0pt;width:442.2pt;mso-position-horizontal:center;z-index:251660288;mso-width-relative:page;mso-height-relative:page;" filled="f" stroked="t" coordsize="21600,21600" o:gfxdata="UEsDBAoAAAAAAIdO4kAAAAAAAAAAAAAAAAAEAAAAZHJzL1BLAwQUAAAACACHTuJAXA0nM9MAAAAE&#10;AQAADwAAAGRycy9kb3ducmV2LnhtbE2PS0/DMBCE70j8B2uRuFSt3YdQCNn0AOTGhQLqdRsvSUS8&#10;TmP3Ab8ewwWOoxnNfFOsz65XRx5D5wVhPjOgWGpvO2kQXl+qaQYqRBJLvRdG+OQA6/LyoqDc+pM8&#10;83ETG5VKJOSE0MY45FqHumVHYeYHluS9+9FRTHJstB3plMpdrxfG3GhHnaSFlga+b7n+2BwcQqje&#10;eF99TeqJ2S4bz4v9w9MjIV5fzc0dqMjn+BeGH/yEDmVi2vmD2KB6hHQkIixvQSUzy1YrULtfrctC&#10;/4cvvwFQSwMEFAAAAAgAh07iQBhytVTqAQAAuAMAAA4AAABkcnMvZTJvRG9jLnhtbK1TvY4TMRDu&#10;kXgHyz3ZJEdO3CqbKxIdzQGR7ngAx+vNWtgey+Nkk5fgBZDooKKk5204HoOxNwn301zBFpbHM/PN&#10;fN/MTi931rCtCqjBVXw0GHKmnIRau3XFP95evXrDGUbhamHAqYrvFfLL2csX086XagwtmFoFRiAO&#10;y85XvI3Rl0WBslVW4AC8cuRsIFgRyQzrog6iI3RrivFweF50EGofQCpEel30Tn5ADM8BhKbRUi1A&#10;bqxysUcNyohIlLDVHvksd9s0SsYPTYMqMlNxYhrzSUXovkpnMZuKch2Eb7U8tCCe08IjTlZoR0VP&#10;UAsRBdsE/QTKahkAoYkDCbboiWRFiMVo+Eibm1Z4lbmQ1OhPouP/g5Xvt8vAdF3xM86csDTwuy8/&#10;f3/+9ufXVzrvfnxnZ0mkzmNJsXO3DImm3Lkbfw3yEzIH81a4tcrN3u49IYxSRvEgJRnoqdSqewc1&#10;xYhNhKzYrgk2QZIWbJcHsz8NRu0ik/Q4OR9NLl7TzOTRV4jymOgDxrcKLEuXihvtkmaiFNtrjKkR&#10;UR5D0rODK21MnrtxrKv4xWQ8yQkIRtfJmcIwrFdzE9hWpM3JX2ZFnvthATau7osYl/JUXrpD5SPr&#10;Xr8V1PtlOEpDA829HZYvbcx9Owv474eb/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DScz0wAA&#10;AAQBAAAPAAAAAAAAAAEAIAAAACIAAABkcnMvZG93bnJldi54bWxQSwECFAAUAAAACACHTuJAGHK1&#10;VOoBAAC4AwAADgAAAAAAAAABACAAAAAiAQAAZHJzL2Uyb0RvYy54bWxQSwUGAAAAAAYABgBZAQAA&#10;fgUAAAAA&#10;">
                <v:fill on="f" focussize="0,0"/>
                <v:stroke color="#000000" joinstyle="round"/>
                <v:imagedata o:title=""/>
                <o:lock v:ext="edit" aspectratio="f"/>
              </v:line>
            </w:pict>
          </mc:Fallback>
        </mc:AlternateContent>
      </w:r>
      <w:r>
        <w:rPr>
          <w:rFonts w:hint="eastAsia" w:ascii="Times New Roman" w:hAnsi="Times New Roman" w:eastAsia="方正仿宋_GBK" w:cs="Times New Roman"/>
          <w:sz w:val="28"/>
          <w:szCs w:val="28"/>
          <w:lang w:val="en-US" w:eastAsia="zh-CN"/>
        </w:rPr>
        <w:t>发</w:t>
      </w:r>
    </w:p>
    <w:p/>
    <w:p/>
    <w:p>
      <w:pPr>
        <w:spacing w:line="600" w:lineRule="exact"/>
        <w:rPr>
          <w:rFonts w:ascii="方正黑体_GBK" w:hAnsi="Calibri" w:eastAsia="方正黑体_GBK" w:cs="宋体"/>
          <w:kern w:val="0"/>
          <w:sz w:val="32"/>
          <w:szCs w:val="32"/>
        </w:rPr>
      </w:pPr>
      <w:r>
        <w:rPr>
          <w:rFonts w:hint="eastAsia" w:ascii="方正黑体_GBK" w:hAnsi="宋体" w:eastAsia="方正黑体_GBK" w:cs="宋体"/>
          <w:kern w:val="0"/>
          <w:sz w:val="32"/>
          <w:szCs w:val="32"/>
        </w:rPr>
        <w:t>附件</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潼南区</w:t>
      </w:r>
      <w:r>
        <w:rPr>
          <w:rFonts w:hint="eastAsia" w:ascii="方正小标宋_GBK" w:hAnsi="方正小标宋_GBK" w:eastAsia="方正小标宋_GBK" w:cs="方正小标宋_GBK"/>
          <w:sz w:val="44"/>
          <w:szCs w:val="44"/>
          <w:lang w:val="en-US" w:eastAsia="zh-CN"/>
        </w:rPr>
        <w:t>太安镇</w:t>
      </w:r>
      <w:r>
        <w:rPr>
          <w:rFonts w:hint="eastAsia" w:ascii="方正小标宋_GBK" w:hAnsi="方正小标宋_GBK" w:eastAsia="方正小标宋_GBK" w:cs="方正小标宋_GBK"/>
          <w:sz w:val="44"/>
          <w:szCs w:val="44"/>
        </w:rPr>
        <w:t>废止规范性文件目录</w:t>
      </w:r>
    </w:p>
    <w:p>
      <w:pPr>
        <w:spacing w:line="600" w:lineRule="exact"/>
        <w:rPr>
          <w:rFonts w:ascii="方正小标宋_GBK" w:hAnsi="方正小标宋_GBK" w:eastAsia="方正小标宋_GBK" w:cs="方正小标宋_GBK"/>
          <w:sz w:val="44"/>
          <w:szCs w:val="44"/>
        </w:rPr>
      </w:pPr>
    </w:p>
    <w:tbl>
      <w:tblPr>
        <w:tblStyle w:val="5"/>
        <w:tblW w:w="8874" w:type="dxa"/>
        <w:jc w:val="center"/>
        <w:tblLayout w:type="fixed"/>
        <w:tblCellMar>
          <w:top w:w="15" w:type="dxa"/>
          <w:left w:w="15" w:type="dxa"/>
          <w:bottom w:w="15" w:type="dxa"/>
          <w:right w:w="15" w:type="dxa"/>
        </w:tblCellMar>
      </w:tblPr>
      <w:tblGrid>
        <w:gridCol w:w="636"/>
        <w:gridCol w:w="4043"/>
        <w:gridCol w:w="2653"/>
        <w:gridCol w:w="1542"/>
      </w:tblGrid>
      <w:tr>
        <w:tblPrEx>
          <w:tblCellMar>
            <w:top w:w="15" w:type="dxa"/>
            <w:left w:w="15" w:type="dxa"/>
            <w:bottom w:w="15" w:type="dxa"/>
            <w:right w:w="15" w:type="dxa"/>
          </w:tblCellMar>
        </w:tblPrEx>
        <w:trPr>
          <w:trHeight w:val="39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方正黑体_GBK" w:hAnsi="宋体" w:eastAsia="方正黑体_GBK" w:cs="宋体"/>
                <w:sz w:val="21"/>
                <w:szCs w:val="21"/>
              </w:rPr>
            </w:pPr>
            <w:r>
              <w:rPr>
                <w:rFonts w:hint="eastAsia" w:ascii="方正黑体_GBK" w:hAnsi="宋体" w:eastAsia="方正黑体_GBK" w:cs="宋体"/>
                <w:kern w:val="0"/>
                <w:sz w:val="21"/>
                <w:szCs w:val="21"/>
              </w:rPr>
              <w:t>序号</w:t>
            </w:r>
          </w:p>
        </w:tc>
        <w:tc>
          <w:tcPr>
            <w:tcW w:w="404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方正黑体_GBK" w:hAnsi="宋体" w:eastAsia="方正黑体_GBK" w:cs="宋体"/>
                <w:sz w:val="21"/>
                <w:szCs w:val="21"/>
              </w:rPr>
            </w:pPr>
            <w:r>
              <w:rPr>
                <w:rFonts w:hint="eastAsia" w:ascii="方正黑体_GBK" w:hAnsi="宋体" w:eastAsia="方正黑体_GBK" w:cs="宋体"/>
                <w:kern w:val="0"/>
                <w:sz w:val="21"/>
                <w:szCs w:val="21"/>
              </w:rPr>
              <w:t>文件名称</w:t>
            </w:r>
          </w:p>
        </w:tc>
        <w:tc>
          <w:tcPr>
            <w:tcW w:w="265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方正黑体_GBK" w:hAnsi="宋体" w:eastAsia="方正黑体_GBK" w:cs="宋体"/>
                <w:sz w:val="21"/>
                <w:szCs w:val="21"/>
              </w:rPr>
            </w:pPr>
            <w:r>
              <w:rPr>
                <w:rFonts w:hint="eastAsia" w:ascii="方正黑体_GBK" w:hAnsi="宋体" w:eastAsia="方正黑体_GBK" w:cs="宋体"/>
                <w:kern w:val="0"/>
                <w:sz w:val="21"/>
                <w:szCs w:val="21"/>
              </w:rPr>
              <w:t>文件号</w:t>
            </w:r>
          </w:p>
        </w:tc>
        <w:tc>
          <w:tcPr>
            <w:tcW w:w="15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方正黑体_GBK" w:hAnsi="宋体" w:eastAsia="方正黑体_GBK" w:cs="宋体"/>
                <w:sz w:val="21"/>
                <w:szCs w:val="21"/>
              </w:rPr>
            </w:pPr>
            <w:r>
              <w:rPr>
                <w:rFonts w:hint="eastAsia" w:ascii="方正黑体_GBK" w:hAnsi="宋体" w:eastAsia="方正黑体_GBK" w:cs="宋体"/>
                <w:kern w:val="0"/>
                <w:sz w:val="21"/>
                <w:szCs w:val="21"/>
              </w:rPr>
              <w:t>备注</w:t>
            </w:r>
          </w:p>
        </w:tc>
      </w:tr>
      <w:tr>
        <w:tblPrEx>
          <w:tblCellMar>
            <w:top w:w="15" w:type="dxa"/>
            <w:left w:w="15" w:type="dxa"/>
            <w:bottom w:w="15" w:type="dxa"/>
            <w:right w:w="15" w:type="dxa"/>
          </w:tblCellMar>
        </w:tblPrEx>
        <w:trPr>
          <w:trHeight w:val="39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方正仿宋_GBK" w:hAnsi="Calibri" w:eastAsia="方正仿宋_GBK" w:cs="方正仿宋_GBK"/>
                <w:sz w:val="21"/>
                <w:szCs w:val="21"/>
              </w:rPr>
            </w:pPr>
            <w:r>
              <w:rPr>
                <w:rFonts w:hint="default" w:ascii="Times New Roman" w:hAnsi="Times New Roman" w:eastAsia="方正仿宋_GBK" w:cs="Times New Roman"/>
                <w:sz w:val="21"/>
                <w:szCs w:val="21"/>
              </w:rPr>
              <w:t>1</w:t>
            </w:r>
          </w:p>
        </w:tc>
        <w:tc>
          <w:tcPr>
            <w:tcW w:w="404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方正仿宋_GBK" w:hAnsi="Calibri" w:eastAsia="方正仿宋_GBK" w:cs="方正仿宋_GBK"/>
                <w:sz w:val="21"/>
                <w:szCs w:val="21"/>
              </w:rPr>
            </w:pPr>
            <w:r>
              <w:rPr>
                <w:rFonts w:hint="eastAsia" w:ascii="方正仿宋_GBK" w:hAnsi="方正仿宋_GBK" w:eastAsia="方正仿宋_GBK" w:cs="方正仿宋_GBK"/>
                <w:sz w:val="21"/>
                <w:szCs w:val="21"/>
              </w:rPr>
              <w:t>重庆市潼南区太安镇人民政府关于印发《</w:t>
            </w:r>
            <w:r>
              <w:rPr>
                <w:rFonts w:hint="eastAsia" w:ascii="方正仿宋_GBK" w:hAnsi="方正仿宋_GBK" w:eastAsia="方正仿宋_GBK" w:cs="方正仿宋_GBK"/>
                <w:sz w:val="21"/>
                <w:szCs w:val="21"/>
                <w:lang w:val="en-US" w:eastAsia="zh-CN"/>
              </w:rPr>
              <w:t>太安镇全民反诈专项行动方案</w:t>
            </w:r>
            <w:r>
              <w:rPr>
                <w:rFonts w:hint="eastAsia" w:ascii="方正仿宋_GBK" w:hAnsi="方正仿宋_GBK" w:eastAsia="方正仿宋_GBK" w:cs="方正仿宋_GBK"/>
                <w:sz w:val="21"/>
                <w:szCs w:val="21"/>
              </w:rPr>
              <w:t>》的通知</w:t>
            </w:r>
          </w:p>
        </w:tc>
        <w:tc>
          <w:tcPr>
            <w:tcW w:w="26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方正仿宋_GBK" w:hAnsi="Calibri" w:eastAsia="方正仿宋_GBK" w:cs="方正仿宋_GBK"/>
                <w:sz w:val="21"/>
                <w:szCs w:val="21"/>
              </w:rPr>
            </w:pPr>
            <w:r>
              <w:rPr>
                <w:rFonts w:hint="eastAsia" w:ascii="Times New Roman" w:hAnsi="Times New Roman" w:eastAsia="方正仿宋_GBK" w:cs="Times New Roman"/>
                <w:sz w:val="21"/>
                <w:szCs w:val="21"/>
                <w:lang w:val="en-US" w:eastAsia="zh-CN"/>
              </w:rPr>
              <w:t>太安府发</w:t>
            </w:r>
            <w:r>
              <w:rPr>
                <w:rFonts w:hint="default" w:ascii="Times New Roman" w:hAnsi="Times New Roman" w:eastAsia="方正仿宋_GBK" w:cs="Times New Roman"/>
                <w:sz w:val="21"/>
                <w:szCs w:val="21"/>
              </w:rPr>
              <w:t>〔202</w:t>
            </w:r>
            <w:r>
              <w:rPr>
                <w:rFonts w:hint="eastAsia" w:ascii="Times New Roman" w:hAnsi="Times New Roman" w:eastAsia="方正仿宋_GBK" w:cs="Times New Roman"/>
                <w:sz w:val="21"/>
                <w:szCs w:val="21"/>
                <w:lang w:val="en-US" w:eastAsia="zh-CN"/>
              </w:rPr>
              <w:t>1</w:t>
            </w:r>
            <w:r>
              <w:rPr>
                <w:rFonts w:hint="default" w:ascii="Times New Roman" w:hAnsi="Times New Roman" w:eastAsia="方正仿宋_GBK" w:cs="Times New Roman"/>
                <w:sz w:val="21"/>
                <w:szCs w:val="21"/>
              </w:rPr>
              <w:t>〕</w:t>
            </w:r>
            <w:r>
              <w:rPr>
                <w:rFonts w:hint="eastAsia" w:ascii="Times New Roman" w:hAnsi="Times New Roman" w:eastAsia="方正仿宋_GBK" w:cs="Times New Roman"/>
                <w:sz w:val="21"/>
                <w:szCs w:val="21"/>
                <w:lang w:val="en-US" w:eastAsia="zh-CN"/>
              </w:rPr>
              <w:t>27</w:t>
            </w:r>
            <w:r>
              <w:rPr>
                <w:rFonts w:hint="default" w:ascii="Times New Roman" w:hAnsi="Times New Roman" w:eastAsia="方正仿宋_GBK" w:cs="Times New Roman"/>
                <w:sz w:val="21"/>
                <w:szCs w:val="21"/>
              </w:rPr>
              <w:t>号</w:t>
            </w:r>
          </w:p>
        </w:tc>
        <w:tc>
          <w:tcPr>
            <w:tcW w:w="15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Calibri" w:eastAsia="方正仿宋_GBK" w:cs="方正仿宋_GBK"/>
                <w:sz w:val="21"/>
                <w:szCs w:val="21"/>
              </w:rPr>
            </w:pPr>
          </w:p>
        </w:tc>
      </w:tr>
      <w:tr>
        <w:tblPrEx>
          <w:tblCellMar>
            <w:top w:w="15" w:type="dxa"/>
            <w:left w:w="15" w:type="dxa"/>
            <w:bottom w:w="15" w:type="dxa"/>
            <w:right w:w="15" w:type="dxa"/>
          </w:tblCellMar>
        </w:tblPrEx>
        <w:trPr>
          <w:trHeight w:val="39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2</w:t>
            </w:r>
          </w:p>
        </w:tc>
        <w:tc>
          <w:tcPr>
            <w:tcW w:w="404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重庆市潼南区太安镇人民政府关于深入开展电动车三轮车专项整治行动的通知</w:t>
            </w:r>
          </w:p>
        </w:tc>
        <w:tc>
          <w:tcPr>
            <w:tcW w:w="26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hint="eastAsia" w:ascii="方正仿宋_GBK" w:hAnsi="Calibri" w:eastAsia="方正仿宋_GBK" w:cs="方正仿宋_GBK"/>
                <w:sz w:val="21"/>
                <w:szCs w:val="21"/>
              </w:rPr>
            </w:pPr>
            <w:r>
              <w:rPr>
                <w:rFonts w:hint="eastAsia" w:ascii="方正仿宋_GBK" w:hAnsi="Calibri" w:eastAsia="方正仿宋_GBK" w:cs="方正仿宋_GBK"/>
                <w:sz w:val="21"/>
                <w:szCs w:val="21"/>
                <w:lang w:val="en-US" w:eastAsia="zh-CN"/>
              </w:rPr>
              <w:t>太安府发</w:t>
            </w:r>
            <w:r>
              <w:rPr>
                <w:rFonts w:hint="default" w:ascii="Times New Roman" w:hAnsi="Times New Roman" w:eastAsia="方正仿宋_GBK" w:cs="Times New Roman"/>
                <w:sz w:val="21"/>
                <w:szCs w:val="21"/>
              </w:rPr>
              <w:t>〔202</w:t>
            </w:r>
            <w:r>
              <w:rPr>
                <w:rFonts w:hint="eastAsia" w:ascii="Times New Roman" w:hAnsi="Times New Roman" w:eastAsia="方正仿宋_GBK" w:cs="Times New Roman"/>
                <w:sz w:val="21"/>
                <w:szCs w:val="21"/>
                <w:lang w:val="en-US" w:eastAsia="zh-CN"/>
              </w:rPr>
              <w:t>1</w:t>
            </w:r>
            <w:r>
              <w:rPr>
                <w:rFonts w:hint="default" w:ascii="Times New Roman" w:hAnsi="Times New Roman" w:eastAsia="方正仿宋_GBK" w:cs="Times New Roman"/>
                <w:sz w:val="21"/>
                <w:szCs w:val="21"/>
              </w:rPr>
              <w:t>〕</w:t>
            </w:r>
            <w:r>
              <w:rPr>
                <w:rFonts w:hint="eastAsia" w:ascii="Times New Roman" w:hAnsi="Times New Roman" w:eastAsia="方正仿宋_GBK" w:cs="Times New Roman"/>
                <w:sz w:val="21"/>
                <w:szCs w:val="21"/>
                <w:lang w:val="en-US" w:eastAsia="zh-CN"/>
              </w:rPr>
              <w:t>33</w:t>
            </w:r>
            <w:r>
              <w:rPr>
                <w:rFonts w:hint="default" w:ascii="Times New Roman" w:hAnsi="Times New Roman" w:eastAsia="方正仿宋_GBK" w:cs="Times New Roman"/>
                <w:sz w:val="21"/>
                <w:szCs w:val="21"/>
              </w:rPr>
              <w:t>号</w:t>
            </w:r>
          </w:p>
        </w:tc>
        <w:tc>
          <w:tcPr>
            <w:tcW w:w="15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Calibri" w:eastAsia="方正仿宋_GBK" w:cs="方正仿宋_GBK"/>
                <w:sz w:val="21"/>
                <w:szCs w:val="21"/>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sectPr>
      <w:pgSz w:w="11906" w:h="16838"/>
      <w:pgMar w:top="1984" w:right="1446" w:bottom="164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zYTQwNDBmOGQ1NTBjYzJjMjNhMGM4YzNiMDAxYTkifQ=="/>
  </w:docVars>
  <w:rsids>
    <w:rsidRoot w:val="10C43C24"/>
    <w:rsid w:val="10C43C24"/>
    <w:rsid w:val="4C7638E8"/>
    <w:rsid w:val="5478692D"/>
    <w:rsid w:val="64F31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autoRedefine/>
    <w:qFormat/>
    <w:uiPriority w:val="0"/>
    <w:rPr>
      <w:b/>
      <w:bCs/>
    </w:rPr>
  </w:style>
  <w:style w:type="paragraph" w:customStyle="1" w:styleId="8">
    <w:name w:val="p0"/>
    <w:basedOn w:val="1"/>
    <w:autoRedefine/>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2024-03-11T04:07:00Z</dcterms:created>
  <dc:creator>姜娜</dc:creator>
  <cp:lastModifiedBy>Administrator</cp:lastModifiedBy>
  <dcterms:modified xsi:type="dcterms:W3CDTF">2024-03-11T08:02:05Z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264DB2D47C8D4D5299F1CF647084AD9F_13</vt:lpwstr>
  </property>
</Properties>
</file>