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重庆市潼南区寿桥镇产业发展服务中心</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6"/>
        <w:shd w:val="clear" w:color="auto" w:fill="FFFFFF"/>
        <w:rPr>
          <w:rFonts w:hint="eastAsia" w:ascii="黑体" w:hAnsi="黑体" w:eastAsia="黑体" w:cs="黑体"/>
          <w:sz w:val="32"/>
          <w:szCs w:val="32"/>
        </w:rPr>
      </w:pPr>
      <w:r>
        <w:rPr>
          <w:rStyle w:val="8"/>
          <w:rFonts w:hint="eastAsia"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（一）职能职责</w:t>
      </w:r>
    </w:p>
    <w:p>
      <w:pPr>
        <w:pStyle w:val="6"/>
        <w:shd w:val="clear" w:color="auto" w:fill="FFFFFF"/>
        <w:ind w:firstLine="640" w:firstLineChars="200"/>
        <w:rPr>
          <w:rFonts w:ascii="方正仿宋_GBK" w:hAnsi="方正仿宋_GBK" w:eastAsia="方正仿宋_GBK" w:cs="方正仿宋_GBK"/>
          <w:sz w:val="32"/>
          <w:szCs w:val="32"/>
          <w:shd w:val="clear" w:color="auto" w:fill="FFFFFF"/>
          <w:lang w:val="en-US"/>
        </w:rPr>
      </w:pPr>
      <w:r>
        <w:rPr>
          <w:rFonts w:ascii="方正仿宋_GBK" w:hAnsi="方正仿宋_GBK" w:eastAsia="方正仿宋_GBK" w:cs="方正仿宋_GBK"/>
          <w:sz w:val="32"/>
          <w:szCs w:val="32"/>
          <w:shd w:val="clear" w:color="auto" w:fill="FFFFFF"/>
          <w:lang w:eastAsia="zh-CN"/>
        </w:rPr>
        <w:t>承担产业规划、布局、引进、培育、发展等工作；负责招商引资年度计划和产业发展规划的实施；承担农村经营管理、经济社会统计、扶贫开发、产业扶贫、脱贫攻坚等事务性工作，承担各类招商项目洽谈、推介活动等投资服务具体工作，并履行相关领域的安全生产工作，按规定频次开展安全生产检查和执法工作。</w:t>
      </w:r>
    </w:p>
    <w:p>
      <w:pPr>
        <w:pStyle w:val="6"/>
        <w:shd w:val="clear" w:color="auto" w:fill="FFFFFF"/>
        <w:ind w:firstLine="420"/>
        <w:rPr>
          <w:rFonts w:hint="eastAsia" w:ascii="楷体" w:hAnsi="楷体" w:eastAsia="楷体" w:cs="楷体"/>
          <w:sz w:val="32"/>
          <w:szCs w:val="32"/>
        </w:rPr>
      </w:pPr>
      <w:r>
        <w:rPr>
          <w:rStyle w:val="8"/>
          <w:rFonts w:hint="eastAsia" w:ascii="楷体" w:hAnsi="楷体" w:eastAsia="楷体" w:cs="楷体"/>
          <w:sz w:val="32"/>
          <w:szCs w:val="32"/>
          <w:shd w:val="clear" w:color="auto" w:fill="FFFFFF"/>
        </w:rPr>
        <w:t>（二）机构设置</w:t>
      </w:r>
    </w:p>
    <w:p>
      <w:pPr>
        <w:pStyle w:val="6"/>
        <w:shd w:val="clear" w:color="auto" w:fill="FFFFFF"/>
        <w:ind w:firstLine="640" w:firstLineChars="200"/>
        <w:rPr>
          <w:rFonts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lang w:eastAsia="zh-CN"/>
        </w:rPr>
        <w:t>重庆市潼南区寿桥镇产业发展服务中心为寿桥镇人民政府下属二级预算事业单位，核定编制数</w:t>
      </w:r>
      <w:r>
        <w:rPr>
          <w:rFonts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lang w:eastAsia="zh-CN"/>
        </w:rPr>
        <w:t>人，</w:t>
      </w:r>
      <w:r>
        <w:rPr>
          <w:rFonts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lang w:eastAsia="zh-CN"/>
        </w:rPr>
        <w:t>年</w:t>
      </w:r>
      <w:r>
        <w:rPr>
          <w:rFonts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lang w:eastAsia="zh-CN"/>
        </w:rPr>
        <w:t>月</w:t>
      </w:r>
      <w:r>
        <w:rPr>
          <w:rFonts w:ascii="方正仿宋_GBK" w:hAnsi="方正仿宋_GBK" w:eastAsia="方正仿宋_GBK" w:cs="方正仿宋_GBK"/>
          <w:sz w:val="32"/>
          <w:szCs w:val="32"/>
          <w:shd w:val="clear" w:color="auto" w:fill="FFFFFF"/>
          <w:lang w:val="en-US" w:eastAsia="zh-CN"/>
        </w:rPr>
        <w:t>31</w:t>
      </w:r>
      <w:r>
        <w:rPr>
          <w:rFonts w:ascii="方正仿宋_GBK" w:hAnsi="方正仿宋_GBK" w:eastAsia="方正仿宋_GBK" w:cs="方正仿宋_GBK"/>
          <w:sz w:val="32"/>
          <w:szCs w:val="32"/>
          <w:shd w:val="clear" w:color="auto" w:fill="FFFFFF"/>
          <w:lang w:eastAsia="zh-CN"/>
        </w:rPr>
        <w:t>日实际在编在岗</w:t>
      </w:r>
      <w:r>
        <w:rPr>
          <w:rFonts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lang w:eastAsia="zh-CN"/>
        </w:rPr>
        <w:t>人，其中事业管理人员</w:t>
      </w:r>
      <w:r>
        <w:rPr>
          <w:rFonts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lang w:eastAsia="zh-CN"/>
        </w:rPr>
        <w:t>人。</w:t>
      </w:r>
    </w:p>
    <w:p>
      <w:pPr>
        <w:pStyle w:val="6"/>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二、部门决算情况说明</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lang w:val="en-US" w:eastAsia="zh-CN"/>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2023年度收入总计37.47万元，支出总计</w:t>
      </w:r>
      <w:r>
        <w:rPr>
          <w:rFonts w:ascii="方正仿宋_GBK" w:hAnsi="方正仿宋_GBK" w:eastAsia="方正仿宋_GBK" w:cs="方正仿宋_GBK"/>
          <w:sz w:val="32"/>
          <w:szCs w:val="32"/>
        </w:rPr>
        <w:t>37.47</w:t>
      </w:r>
      <w:r>
        <w:rPr>
          <w:rFonts w:ascii="方正仿宋_GBK" w:hAnsi="方正仿宋_GBK" w:eastAsia="方正仿宋_GBK" w:cs="方正仿宋_GBK"/>
          <w:sz w:val="32"/>
          <w:szCs w:val="32"/>
          <w:shd w:val="clear" w:color="auto" w:fill="FFFFFF"/>
        </w:rPr>
        <w:t>万元。收支较上年决算数增加3.00万元，增长8.70%，主要原因是</w:t>
      </w:r>
      <w:r>
        <w:rPr>
          <w:rFonts w:hint="eastAsia" w:ascii="方正仿宋_GBK" w:hAnsi="方正仿宋_GBK" w:eastAsia="方正仿宋_GBK" w:cs="方正仿宋_GBK"/>
          <w:sz w:val="32"/>
          <w:szCs w:val="32"/>
          <w:shd w:val="clear" w:color="auto" w:fill="FFFFFF"/>
          <w:lang w:eastAsia="zh-CN"/>
        </w:rPr>
        <w:t>职工工资上涨、五险一金缴费基数增加，一名试用期职工转正为</w:t>
      </w:r>
      <w:r>
        <w:rPr>
          <w:rFonts w:hint="eastAsia" w:ascii="方正仿宋_GBK" w:hAnsi="方正仿宋_GBK" w:eastAsia="方正仿宋_GBK" w:cs="方正仿宋_GBK"/>
          <w:sz w:val="32"/>
          <w:szCs w:val="32"/>
          <w:shd w:val="clear" w:color="auto" w:fill="FFFFFF"/>
          <w:lang w:val="en-US" w:eastAsia="zh-CN"/>
        </w:rPr>
        <w:t>9级职员。</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37.47</w:t>
      </w:r>
      <w:r>
        <w:rPr>
          <w:rFonts w:ascii="方正仿宋_GBK" w:hAnsi="方正仿宋_GBK" w:eastAsia="方正仿宋_GBK" w:cs="方正仿宋_GBK"/>
          <w:sz w:val="32"/>
          <w:szCs w:val="32"/>
          <w:shd w:val="clear" w:color="auto" w:fill="FFFFFF"/>
        </w:rPr>
        <w:t>万元，较上年决算数增加3.00万元，增长8.70%，主要原因是</w:t>
      </w:r>
      <w:r>
        <w:rPr>
          <w:rFonts w:hint="eastAsia" w:ascii="方正仿宋_GBK" w:hAnsi="方正仿宋_GBK" w:eastAsia="方正仿宋_GBK" w:cs="方正仿宋_GBK"/>
          <w:sz w:val="32"/>
          <w:szCs w:val="32"/>
          <w:shd w:val="clear" w:color="auto" w:fill="FFFFFF"/>
          <w:lang w:eastAsia="zh-CN"/>
        </w:rPr>
        <w:t>职工工资上涨、五险一金缴费基数增加，一名试用期职工转正为</w:t>
      </w:r>
      <w:r>
        <w:rPr>
          <w:rFonts w:hint="eastAsia" w:ascii="方正仿宋_GBK" w:hAnsi="方正仿宋_GBK" w:eastAsia="方正仿宋_GBK" w:cs="方正仿宋_GBK"/>
          <w:sz w:val="32"/>
          <w:szCs w:val="32"/>
          <w:shd w:val="clear" w:color="auto" w:fill="FFFFFF"/>
          <w:lang w:val="en-US" w:eastAsia="zh-CN"/>
        </w:rPr>
        <w:t>9级职员。</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37.47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37.47</w:t>
      </w:r>
      <w:r>
        <w:rPr>
          <w:rFonts w:ascii="方正仿宋_GBK" w:hAnsi="方正仿宋_GBK" w:eastAsia="方正仿宋_GBK" w:cs="方正仿宋_GBK"/>
          <w:sz w:val="32"/>
          <w:szCs w:val="32"/>
          <w:shd w:val="clear" w:color="auto" w:fill="FFFFFF"/>
        </w:rPr>
        <w:t>万元，较上年决算数增加3.00万元，增长8.70%，主要原因是</w:t>
      </w:r>
      <w:r>
        <w:rPr>
          <w:rFonts w:hint="eastAsia" w:ascii="方正仿宋_GBK" w:hAnsi="方正仿宋_GBK" w:eastAsia="方正仿宋_GBK" w:cs="方正仿宋_GBK"/>
          <w:sz w:val="32"/>
          <w:szCs w:val="32"/>
          <w:shd w:val="clear" w:color="auto" w:fill="FFFFFF"/>
          <w:lang w:eastAsia="zh-CN"/>
        </w:rPr>
        <w:t>职工工资上涨、五险一金缴费基数增加，一名试用期职工转正为</w:t>
      </w:r>
      <w:r>
        <w:rPr>
          <w:rFonts w:hint="eastAsia" w:ascii="方正仿宋_GBK" w:hAnsi="方正仿宋_GBK" w:eastAsia="方正仿宋_GBK" w:cs="方正仿宋_GBK"/>
          <w:sz w:val="32"/>
          <w:szCs w:val="32"/>
          <w:shd w:val="clear" w:color="auto" w:fill="FFFFFF"/>
          <w:lang w:val="en-US" w:eastAsia="zh-CN"/>
        </w:rPr>
        <w:t>9级职员。</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37.47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37.47</w:t>
      </w:r>
      <w:r>
        <w:rPr>
          <w:rFonts w:ascii="方正仿宋_GBK" w:hAnsi="方正仿宋_GBK" w:eastAsia="方正仿宋_GBK" w:cs="方正仿宋_GBK"/>
          <w:sz w:val="32"/>
          <w:szCs w:val="32"/>
          <w:shd w:val="clear" w:color="auto" w:fill="FFFFFF"/>
        </w:rPr>
        <w:t>万元。与2022年相比，财政拨款收、支总计各增加3.00万元，增长8.70%。主要原因是</w:t>
      </w:r>
      <w:r>
        <w:rPr>
          <w:rFonts w:hint="eastAsia" w:ascii="方正仿宋_GBK" w:hAnsi="方正仿宋_GBK" w:eastAsia="方正仿宋_GBK" w:cs="方正仿宋_GBK"/>
          <w:sz w:val="32"/>
          <w:szCs w:val="32"/>
          <w:shd w:val="clear" w:color="auto" w:fill="FFFFFF"/>
          <w:lang w:eastAsia="zh-CN"/>
        </w:rPr>
        <w:t>职工工资上涨、五险一金缴费基数增加，一名试用期职工转正为</w:t>
      </w:r>
      <w:r>
        <w:rPr>
          <w:rFonts w:hint="eastAsia" w:ascii="方正仿宋_GBK" w:hAnsi="方正仿宋_GBK" w:eastAsia="方正仿宋_GBK" w:cs="方正仿宋_GBK"/>
          <w:sz w:val="32"/>
          <w:szCs w:val="32"/>
          <w:shd w:val="clear" w:color="auto" w:fill="FFFFFF"/>
          <w:lang w:val="en-US" w:eastAsia="zh-CN"/>
        </w:rPr>
        <w:t>9级职员。</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37.47</w:t>
      </w:r>
      <w:r>
        <w:rPr>
          <w:rFonts w:ascii="方正仿宋_GBK" w:hAnsi="方正仿宋_GBK" w:eastAsia="方正仿宋_GBK" w:cs="方正仿宋_GBK"/>
          <w:sz w:val="32"/>
          <w:szCs w:val="32"/>
          <w:shd w:val="clear" w:color="auto" w:fill="FFFFFF"/>
        </w:rPr>
        <w:t>万元，较上年决算数增加3.00万元，增长8.70%。主要原因是</w:t>
      </w:r>
      <w:r>
        <w:rPr>
          <w:rFonts w:hint="eastAsia" w:ascii="方正仿宋_GBK" w:hAnsi="方正仿宋_GBK" w:eastAsia="方正仿宋_GBK" w:cs="方正仿宋_GBK"/>
          <w:sz w:val="32"/>
          <w:szCs w:val="32"/>
          <w:shd w:val="clear" w:color="auto" w:fill="FFFFFF"/>
          <w:lang w:eastAsia="zh-CN"/>
        </w:rPr>
        <w:t>职工工资上涨、五险一金缴费基数增加，一名试用期职工转正为</w:t>
      </w:r>
      <w:r>
        <w:rPr>
          <w:rFonts w:hint="eastAsia" w:ascii="方正仿宋_GBK" w:hAnsi="方正仿宋_GBK" w:eastAsia="方正仿宋_GBK" w:cs="方正仿宋_GBK"/>
          <w:sz w:val="32"/>
          <w:szCs w:val="32"/>
          <w:shd w:val="clear" w:color="auto" w:fill="FFFFFF"/>
          <w:lang w:val="en-US" w:eastAsia="zh-CN"/>
        </w:rPr>
        <w:t>9级职员。</w:t>
      </w:r>
      <w:r>
        <w:rPr>
          <w:rFonts w:ascii="方正仿宋_GBK" w:hAnsi="方正仿宋_GBK" w:eastAsia="方正仿宋_GBK" w:cs="方正仿宋_GBK"/>
          <w:sz w:val="32"/>
          <w:szCs w:val="32"/>
          <w:shd w:val="clear" w:color="auto" w:fill="FFFFFF"/>
        </w:rPr>
        <w:t>较年初预算数减少1.87万元，下降4.75%。主要原因是</w:t>
      </w:r>
      <w:r>
        <w:rPr>
          <w:rFonts w:hint="eastAsia" w:ascii="方正仿宋_GBK" w:hAnsi="方正仿宋_GBK" w:eastAsia="方正仿宋_GBK" w:cs="方正仿宋_GBK"/>
          <w:sz w:val="32"/>
          <w:szCs w:val="32"/>
          <w:shd w:val="clear" w:color="auto" w:fill="FFFFFF"/>
          <w:lang w:eastAsia="zh-CN"/>
        </w:rPr>
        <w:t>压缩了公用经费支出。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37.47</w:t>
      </w:r>
      <w:r>
        <w:rPr>
          <w:rFonts w:ascii="方正仿宋_GBK" w:hAnsi="方正仿宋_GBK" w:eastAsia="方正仿宋_GBK" w:cs="方正仿宋_GBK"/>
          <w:sz w:val="32"/>
          <w:szCs w:val="32"/>
          <w:shd w:val="clear" w:color="auto" w:fill="FFFFFF"/>
        </w:rPr>
        <w:t>万元，较上年决算数增加3.00万元，增长8.70%。主要原因是</w:t>
      </w:r>
      <w:r>
        <w:rPr>
          <w:rFonts w:hint="eastAsia" w:ascii="方正仿宋_GBK" w:hAnsi="方正仿宋_GBK" w:eastAsia="方正仿宋_GBK" w:cs="方正仿宋_GBK"/>
          <w:sz w:val="32"/>
          <w:szCs w:val="32"/>
          <w:shd w:val="clear" w:color="auto" w:fill="FFFFFF"/>
          <w:lang w:eastAsia="zh-CN"/>
        </w:rPr>
        <w:t>职工工资上涨、五险一金缴费基数增加，一名试用期职工转正为</w:t>
      </w:r>
      <w:r>
        <w:rPr>
          <w:rFonts w:hint="eastAsia" w:ascii="方正仿宋_GBK" w:hAnsi="方正仿宋_GBK" w:eastAsia="方正仿宋_GBK" w:cs="方正仿宋_GBK"/>
          <w:sz w:val="32"/>
          <w:szCs w:val="32"/>
          <w:shd w:val="clear" w:color="auto" w:fill="FFFFFF"/>
          <w:lang w:val="en-US" w:eastAsia="zh-CN"/>
        </w:rPr>
        <w:t>9级职员。</w:t>
      </w:r>
      <w:r>
        <w:rPr>
          <w:rFonts w:ascii="方正仿宋_GBK" w:hAnsi="方正仿宋_GBK" w:eastAsia="方正仿宋_GBK" w:cs="方正仿宋_GBK"/>
          <w:sz w:val="32"/>
          <w:szCs w:val="32"/>
          <w:shd w:val="clear" w:color="auto" w:fill="FFFFFF"/>
        </w:rPr>
        <w:t>较年初预算数减少1.87万元，下降4.75%。主要原因是</w:t>
      </w:r>
      <w:r>
        <w:rPr>
          <w:rFonts w:hint="eastAsia" w:ascii="方正仿宋_GBK" w:hAnsi="方正仿宋_GBK" w:eastAsia="方正仿宋_GBK" w:cs="方正仿宋_GBK"/>
          <w:sz w:val="32"/>
          <w:szCs w:val="32"/>
          <w:shd w:val="clear" w:color="auto" w:fill="FFFFFF"/>
          <w:lang w:eastAsia="zh-CN"/>
        </w:rPr>
        <w:t>压缩了公用经费支出。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8.84</w:t>
      </w:r>
      <w:r>
        <w:rPr>
          <w:rFonts w:ascii="方正仿宋_GBK" w:hAnsi="方正仿宋_GBK" w:eastAsia="方正仿宋_GBK" w:cs="方正仿宋_GBK"/>
          <w:sz w:val="32"/>
          <w:szCs w:val="32"/>
          <w:shd w:val="clear" w:color="auto" w:fill="FFFFFF"/>
        </w:rPr>
        <w:t>%，较年初预算数增加0.12万元，增长3.76%，主要原因是</w:t>
      </w:r>
      <w:r>
        <w:rPr>
          <w:rFonts w:hint="eastAsia" w:ascii="方正仿宋_GBK" w:hAnsi="方正仿宋_GBK" w:eastAsia="方正仿宋_GBK" w:cs="方正仿宋_GBK"/>
          <w:sz w:val="32"/>
          <w:szCs w:val="32"/>
          <w:shd w:val="clear" w:color="auto" w:fill="FFFFFF"/>
          <w:lang w:eastAsia="zh-CN"/>
        </w:rPr>
        <w:t>五险一金缴费基数增加。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4.59</w:t>
      </w:r>
      <w:r>
        <w:rPr>
          <w:rFonts w:ascii="方正仿宋_GBK" w:hAnsi="方正仿宋_GBK" w:eastAsia="方正仿宋_GBK" w:cs="方正仿宋_GBK"/>
          <w:sz w:val="32"/>
          <w:szCs w:val="32"/>
          <w:shd w:val="clear" w:color="auto" w:fill="FFFFFF"/>
        </w:rPr>
        <w:t>%，较年初预算数减少0.20万元，下降10.42%，主要原因是</w:t>
      </w:r>
      <w:r>
        <w:rPr>
          <w:rFonts w:hint="eastAsia" w:ascii="方正仿宋_GBK" w:hAnsi="方正仿宋_GBK" w:eastAsia="方正仿宋_GBK" w:cs="方正仿宋_GBK"/>
          <w:sz w:val="32"/>
          <w:szCs w:val="32"/>
          <w:shd w:val="clear" w:color="auto" w:fill="FFFFFF"/>
          <w:lang w:eastAsia="zh-CN"/>
        </w:rPr>
        <w:t>财政局收回二次医疗资金。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30.55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81.53</w:t>
      </w:r>
      <w:r>
        <w:rPr>
          <w:rFonts w:ascii="方正仿宋_GBK" w:hAnsi="方正仿宋_GBK" w:eastAsia="方正仿宋_GBK" w:cs="方正仿宋_GBK"/>
          <w:sz w:val="32"/>
          <w:szCs w:val="32"/>
          <w:shd w:val="clear" w:color="auto" w:fill="FFFFFF"/>
        </w:rPr>
        <w:t>%，较年初预算数减少2.09万元，下降6.40%，主要原因是</w:t>
      </w:r>
      <w:r>
        <w:rPr>
          <w:rFonts w:hint="eastAsia" w:ascii="方正仿宋_GBK" w:hAnsi="方正仿宋_GBK" w:eastAsia="方正仿宋_GBK" w:cs="方正仿宋_GBK"/>
          <w:sz w:val="32"/>
          <w:szCs w:val="32"/>
          <w:shd w:val="clear" w:color="auto" w:fill="FFFFFF"/>
          <w:lang w:eastAsia="zh-CN"/>
        </w:rPr>
        <w:t>压缩了公用经费支出。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5.04</w:t>
      </w:r>
      <w:r>
        <w:rPr>
          <w:rFonts w:ascii="方正仿宋_GBK" w:hAnsi="方正仿宋_GBK" w:eastAsia="方正仿宋_GBK" w:cs="方正仿宋_GBK"/>
          <w:sz w:val="32"/>
          <w:szCs w:val="32"/>
          <w:shd w:val="clear" w:color="auto" w:fill="FFFFFF"/>
        </w:rPr>
        <w:t>%，较年初预算数增加0.29万元，增长18.13%，主要原因是</w:t>
      </w:r>
      <w:r>
        <w:rPr>
          <w:rFonts w:hint="eastAsia" w:ascii="方正仿宋_GBK" w:hAnsi="方正仿宋_GBK" w:eastAsia="方正仿宋_GBK" w:cs="方正仿宋_GBK"/>
          <w:sz w:val="32"/>
          <w:szCs w:val="32"/>
          <w:shd w:val="clear" w:color="auto" w:fill="FFFFFF"/>
          <w:lang w:eastAsia="zh-CN"/>
        </w:rPr>
        <w:t>五险一金缴费基数增加。</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keepNext w:val="0"/>
        <w:keepLines w:val="0"/>
        <w:widowControl/>
        <w:suppressLineNumbers w:val="0"/>
        <w:autoSpaceDE w:val="0"/>
        <w:autoSpaceDN/>
        <w:spacing w:before="0" w:beforeAutospacing="1" w:after="0" w:afterAutospacing="1" w:line="600" w:lineRule="exact"/>
        <w:ind w:left="0" w:right="0" w:firstLine="640" w:firstLineChars="200"/>
        <w:jc w:val="both"/>
        <w:rPr>
          <w:rFonts w:hint="eastAsia" w:ascii="方正仿宋_GBK" w:hAnsi="方正仿宋_GBK" w:eastAsia="方正仿宋_GBK" w:cs="方正仿宋_GBK"/>
          <w:sz w:val="32"/>
          <w:szCs w:val="32"/>
          <w:lang w:val="en-US"/>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37.47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33.32</w:t>
      </w:r>
      <w:r>
        <w:rPr>
          <w:rFonts w:ascii="方正仿宋_GBK" w:hAnsi="方正仿宋_GBK" w:eastAsia="方正仿宋_GBK" w:cs="方正仿宋_GBK"/>
          <w:sz w:val="32"/>
          <w:szCs w:val="32"/>
          <w:shd w:val="clear" w:color="auto" w:fill="FFFFFF"/>
        </w:rPr>
        <w:t>万元，较上年决算数减少0.25万元，下降0.74%</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sz w:val="32"/>
          <w:szCs w:val="32"/>
          <w:shd w:val="clear" w:fill="FFFFFF"/>
          <w:lang w:val="en-US" w:eastAsia="zh-CN" w:bidi="ar"/>
        </w:rPr>
        <w:t>基本工资、津贴补贴、绩效工资、养老保险、医疗保险、住房公积金等工资福利支出。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4.15</w:t>
      </w:r>
      <w:r>
        <w:rPr>
          <w:rFonts w:ascii="方正仿宋_GBK" w:hAnsi="方正仿宋_GBK" w:eastAsia="方正仿宋_GBK" w:cs="方正仿宋_GBK"/>
          <w:sz w:val="32"/>
          <w:szCs w:val="32"/>
          <w:shd w:val="clear" w:color="auto" w:fill="FFFFFF"/>
        </w:rPr>
        <w:t>万元，较上年决算数增加3.25万元，增长361.11%，主要原因是</w:t>
      </w:r>
      <w:r>
        <w:rPr>
          <w:rFonts w:hint="eastAsia" w:ascii="方正仿宋_GBK" w:hAnsi="方正仿宋_GBK" w:eastAsia="方正仿宋_GBK" w:cs="方正仿宋_GBK"/>
          <w:sz w:val="32"/>
          <w:szCs w:val="32"/>
          <w:shd w:val="clear" w:color="auto" w:fill="FFFFFF"/>
          <w:lang w:eastAsia="zh-CN"/>
        </w:rPr>
        <w:t>增加了办公费、水电费、网络费支出。</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方正仿宋_GBK"/>
          <w:kern w:val="0"/>
          <w:sz w:val="32"/>
          <w:szCs w:val="32"/>
          <w:shd w:val="clear" w:fill="FFFFFF"/>
          <w:lang w:val="en-US" w:eastAsia="zh-CN" w:bidi="ar"/>
        </w:rPr>
        <w:t>办公费、水电费、差旅费、劳务费等商品和服务支出。</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本部门2023年度无政府性基金预算财政拨款收支。</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三、“三公”经费情况说明</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hint="eastAsia" w:ascii="黑体" w:hAnsi="黑体" w:eastAsia="黑体" w:cs="黑体"/>
          <w:sz w:val="32"/>
          <w:szCs w:val="32"/>
          <w:shd w:val="clear" w:color="auto" w:fill="FFFFFF"/>
        </w:rPr>
        <w:t>四、其他需要说明的事项</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1280" w:firstLineChars="4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6"/>
        <w:numPr>
          <w:ilvl w:val="0"/>
          <w:numId w:val="1"/>
        </w:numPr>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预算绩效管理情况说明</w:t>
      </w:r>
    </w:p>
    <w:p>
      <w:pPr>
        <w:pStyle w:val="6"/>
        <w:widowControl/>
        <w:shd w:val="clear" w:fill="FFFFFF"/>
        <w:rPr>
          <w:rFonts w:hint="eastAsia" w:ascii="方正仿宋_GBK" w:hAnsi="方正仿宋_GBK" w:eastAsia="方正仿宋_GBK" w:cs="方正仿宋_GBK"/>
          <w:bCs w:val="0"/>
          <w:sz w:val="32"/>
          <w:szCs w:val="32"/>
          <w:shd w:val="clear" w:fill="FFFFFF"/>
          <w:lang w:val="en-US"/>
        </w:rPr>
      </w:pPr>
      <w:r>
        <w:rPr>
          <w:rStyle w:val="8"/>
          <w:rFonts w:hint="eastAsia" w:ascii="方正仿宋_GBK" w:hAnsi="方正仿宋_GBK" w:eastAsia="方正仿宋_GBK" w:cs="方正仿宋_GBK"/>
          <w:bCs w:val="0"/>
          <w:sz w:val="32"/>
          <w:szCs w:val="32"/>
          <w:shd w:val="clear" w:fill="FFFFFF"/>
          <w:lang w:eastAsia="zh-CN"/>
        </w:rPr>
        <w:t>（一）预算绩效管理工作开展情况</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根据预算绩效管理要求，我单位对部门整体开展了绩效自评，经核实，本部门</w:t>
      </w:r>
      <w:r>
        <w:rPr>
          <w:rFonts w:hint="eastAsia" w:ascii="方正仿宋_GBK" w:hAnsi="方正仿宋_GBK" w:eastAsia="方正仿宋_GBK" w:cs="方正仿宋_GBK"/>
          <w:sz w:val="32"/>
          <w:szCs w:val="32"/>
          <w:shd w:val="clear" w:fill="FFFFFF"/>
          <w:lang w:val="en-US"/>
        </w:rPr>
        <w:t>2023</w:t>
      </w:r>
      <w:r>
        <w:rPr>
          <w:rFonts w:hint="eastAsia" w:ascii="方正仿宋_GBK" w:hAnsi="方正仿宋_GBK" w:eastAsia="方正仿宋_GBK" w:cs="方正仿宋_GBK"/>
          <w:sz w:val="32"/>
          <w:szCs w:val="32"/>
          <w:shd w:val="clear" w:fill="FFFFFF"/>
          <w:lang w:eastAsia="zh-CN"/>
        </w:rPr>
        <w:t>年度无项目支出。</w:t>
      </w:r>
    </w:p>
    <w:p>
      <w:pPr>
        <w:pStyle w:val="6"/>
        <w:widowControl/>
        <w:shd w:val="clear" w:fill="FFFFFF"/>
        <w:rPr>
          <w:rFonts w:hint="eastAsia" w:ascii="方正仿宋_GBK" w:hAnsi="方正仿宋_GBK" w:eastAsia="方正仿宋_GBK" w:cs="方正仿宋_GBK"/>
          <w:bCs w:val="0"/>
          <w:sz w:val="32"/>
          <w:szCs w:val="32"/>
          <w:shd w:val="clear" w:fill="FFFFFF"/>
          <w:lang w:val="en-US"/>
        </w:rPr>
      </w:pPr>
      <w:r>
        <w:rPr>
          <w:rStyle w:val="8"/>
          <w:rFonts w:hint="eastAsia" w:ascii="方正仿宋_GBK" w:hAnsi="方正仿宋_GBK" w:eastAsia="方正仿宋_GBK" w:cs="方正仿宋_GBK"/>
          <w:bCs w:val="0"/>
          <w:sz w:val="32"/>
          <w:szCs w:val="32"/>
          <w:shd w:val="clear" w:fill="FFFFFF"/>
          <w:lang w:eastAsia="zh-CN"/>
        </w:rPr>
        <w:t>（二）绩效自评结果。</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1.</w:t>
      </w:r>
      <w:r>
        <w:rPr>
          <w:rFonts w:hint="eastAsia" w:ascii="方正仿宋_GBK" w:hAnsi="方正仿宋_GBK" w:eastAsia="方正仿宋_GBK" w:cs="方正仿宋_GBK"/>
          <w:sz w:val="32"/>
          <w:szCs w:val="32"/>
          <w:shd w:val="clear" w:fill="FFFFFF"/>
          <w:lang w:eastAsia="zh-CN"/>
        </w:rPr>
        <w:t>绩效目标自评表：无</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2.</w:t>
      </w:r>
      <w:r>
        <w:rPr>
          <w:rFonts w:hint="eastAsia" w:ascii="方正仿宋_GBK" w:hAnsi="方正仿宋_GBK" w:eastAsia="方正仿宋_GBK" w:cs="方正仿宋_GBK"/>
          <w:sz w:val="32"/>
          <w:szCs w:val="32"/>
          <w:shd w:val="clear" w:fill="FFFFFF"/>
          <w:lang w:eastAsia="zh-CN"/>
        </w:rPr>
        <w:t>绩效自评报告或案例：无</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eastAsia="zh-CN"/>
        </w:rPr>
        <w:t>关于绩效自评结果的说明：无</w:t>
      </w:r>
    </w:p>
    <w:p>
      <w:pPr>
        <w:pStyle w:val="6"/>
        <w:shd w:val="clear" w:color="auto" w:fill="FFFFFF"/>
        <w:rPr>
          <w:rStyle w:val="8"/>
          <w:rFonts w:hint="eastAsia" w:ascii="方正仿宋_GBK" w:hAnsi="方正仿宋_GBK" w:eastAsia="方正仿宋_GBK" w:cs="方正仿宋_GBK"/>
          <w:sz w:val="32"/>
          <w:szCs w:val="32"/>
          <w:shd w:val="clear" w:color="auto" w:fill="FFFFFF"/>
          <w:lang w:val="en-US" w:eastAsia="zh-CN"/>
        </w:rPr>
      </w:pP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hint="eastAsia" w:ascii="黑体" w:hAnsi="黑体" w:eastAsia="黑体" w:cs="黑体"/>
          <w:sz w:val="32"/>
          <w:szCs w:val="32"/>
          <w:shd w:val="clear" w:color="auto" w:fill="FFFFFF"/>
          <w:lang w:val="en-US" w:eastAsia="zh-CN"/>
        </w:rPr>
        <w:t>六、专业名词解释</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w:t>
      </w:r>
      <w:bookmarkStart w:id="0" w:name="_GoBack"/>
      <w:bookmarkEnd w:id="0"/>
      <w:r>
        <w:rPr>
          <w:rFonts w:hint="eastAsia" w:ascii="方正仿宋_GBK" w:hAnsi="方正仿宋_GBK" w:eastAsia="方正仿宋_GBK" w:cs="方正仿宋_GBK"/>
          <w:sz w:val="32"/>
          <w:szCs w:val="32"/>
          <w:shd w:val="clear" w:color="auto" w:fill="FFFFFF"/>
        </w:rPr>
        <w:t>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eastAsia" w:ascii="方正仿宋_GBK" w:hAnsi="方正仿宋_GBK" w:eastAsia="方正仿宋_GBK" w:cs="方正仿宋_GBK"/>
          <w:sz w:val="32"/>
          <w:szCs w:val="32"/>
          <w:shd w:val="clear" w:color="auto" w:fill="FFFFFF"/>
          <w:lang w:val="en-US" w:eastAsia="zh-CN"/>
        </w:rPr>
      </w:pP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hint="eastAsia" w:ascii="黑体" w:hAnsi="黑体" w:eastAsia="黑体" w:cs="黑体"/>
          <w:sz w:val="32"/>
          <w:szCs w:val="32"/>
          <w:shd w:val="clear" w:color="auto" w:fill="FFFFFF"/>
          <w:lang w:val="en-US" w:eastAsia="zh-CN"/>
        </w:rPr>
        <w:t>七、决算公开联系方式及信息反馈渠道</w:t>
      </w:r>
    </w:p>
    <w:p>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02344275516</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sz w:val="21"/>
          <w:szCs w:val="21"/>
        </w:rPr>
      </w:pPr>
    </w:p>
    <w:tbl>
      <w:tblPr>
        <w:tblStyle w:val="9"/>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重庆市潼南区寿桥镇产业发展服务中心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3.31</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1.72</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30.55</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1.89</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重庆市潼南区寿桥镇产业发展服务中心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37.47</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37.47</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2.25</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2.25</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农村合作经济</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1.89</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1.89</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重庆市潼南区寿桥镇产业发展服务中心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37.47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37.47</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3.31</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2.25</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1.72</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30.55</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0.49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农村合作经济</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30.06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1.89</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1.89</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重庆市潼南区寿桥镇产业发展服务中心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3.31</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1.72</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30.55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1.89</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37.47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重庆市潼南区寿桥镇产业发展服务中心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37.47</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37.47</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3.31</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2.25</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2.25</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1.06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1.72</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1.72</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30.55</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30.55</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0.49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农村合作经济</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30.06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1.89</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1.89</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1.89</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1.89</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重庆市潼南区寿桥镇产业发展服务中心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7.82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0.41</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1.45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17.02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2.25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0.14</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1.06</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1.00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0.31</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1.89</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0.95</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0.98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33.32</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4.15</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重庆市潼南区寿桥镇产业发展服务中心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重庆市潼南区寿桥镇产业发展服务中心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重庆市潼南区寿桥镇产业发展服务中心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716592"/>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F35C4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B03458"/>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5"/>
    <w:uiPriority w:val="0"/>
    <w:pPr>
      <w:spacing w:after="120" w:afterLines="0" w:afterAutospacing="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5">
    <w:name w:val="正文文本 Char"/>
    <w:basedOn w:val="7"/>
    <w:link w:val="2"/>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4</TotalTime>
  <ScaleCrop>false</ScaleCrop>
  <LinksUpToDate>false</LinksUpToDate>
  <CharactersWithSpaces>24644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Acer</cp:lastModifiedBy>
  <dcterms:modified xsi:type="dcterms:W3CDTF">2024-09-04T07:03:46Z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