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before="0" w:beforeAutospacing="0"/>
        <w:jc w:val="center"/>
        <w:rPr>
          <w:rFonts w:hint="default" w:ascii="方正小标宋_GBK" w:hAnsi="方正小标宋_GBK" w:eastAsia="方正小标宋_GBK" w:cs="方正小标宋_GBK"/>
          <w:sz w:val="36"/>
          <w:szCs w:val="36"/>
          <w:shd w:val="clear" w:color="auto" w:fill="FFFFFF"/>
        </w:rPr>
      </w:pPr>
      <w:r>
        <w:rPr>
          <w:rFonts w:ascii="方正小标宋_GBK" w:hAnsi="方正小标宋_GBK" w:eastAsia="方正小标宋_GBK" w:cs="方正小标宋_GBK"/>
          <w:sz w:val="36"/>
          <w:szCs w:val="36"/>
        </w:rPr>
        <w:t>重庆市潼南区寿桥镇村镇建设服务中心</w:t>
      </w:r>
      <w:r>
        <w:rPr>
          <w:rFonts w:ascii="方正小标宋_GBK" w:hAnsi="方正小标宋_GBK" w:eastAsia="方正小标宋_GBK" w:cs="方正小标宋_GBK"/>
          <w:sz w:val="36"/>
          <w:szCs w:val="36"/>
          <w:shd w:val="clear" w:color="auto" w:fill="FFFFFF"/>
        </w:rPr>
        <w:t>2023年度决算</w:t>
      </w:r>
      <w:r>
        <w:rPr>
          <w:rFonts w:hint="eastAsia" w:ascii="方正小标宋_GBK" w:hAnsi="方正小标宋_GBK" w:eastAsia="方正小标宋_GBK" w:cs="方正小标宋_GBK"/>
          <w:sz w:val="36"/>
          <w:szCs w:val="36"/>
          <w:shd w:val="clear" w:color="auto" w:fill="FFFFFF"/>
          <w:lang w:eastAsia="zh-CN"/>
        </w:rPr>
        <w:t>公开</w:t>
      </w:r>
      <w:r>
        <w:rPr>
          <w:rFonts w:ascii="方正小标宋_GBK" w:hAnsi="方正小标宋_GBK" w:eastAsia="方正小标宋_GBK" w:cs="方正小标宋_GBK"/>
          <w:sz w:val="36"/>
          <w:szCs w:val="36"/>
          <w:shd w:val="clear" w:color="auto" w:fill="FFFFFF"/>
        </w:rPr>
        <w:t>说明</w:t>
      </w:r>
    </w:p>
    <w:p>
      <w:pPr>
        <w:pStyle w:val="6"/>
        <w:shd w:val="clear" w:color="auto" w:fill="FFFFFF"/>
        <w:rPr>
          <w:rFonts w:hint="eastAsia" w:ascii="黑体" w:hAnsi="黑体" w:eastAsia="黑体" w:cs="黑体"/>
          <w:sz w:val="32"/>
          <w:szCs w:val="32"/>
        </w:rPr>
      </w:pPr>
      <w:r>
        <w:rPr>
          <w:rStyle w:val="8"/>
          <w:rFonts w:hint="eastAsia" w:ascii="黑体" w:hAnsi="黑体" w:eastAsia="黑体" w:cs="黑体"/>
          <w:sz w:val="32"/>
          <w:szCs w:val="32"/>
          <w:shd w:val="clear" w:color="auto" w:fill="FFFFFF"/>
        </w:rPr>
        <w:t>一、部门基本情况</w:t>
      </w:r>
    </w:p>
    <w:p>
      <w:pPr>
        <w:pStyle w:val="6"/>
        <w:shd w:val="clear" w:color="auto" w:fill="FFFFFF"/>
        <w:ind w:firstLine="420"/>
        <w:rPr>
          <w:rFonts w:hint="default" w:ascii="方正仿宋_GBK" w:hAnsi="方正仿宋_GBK" w:eastAsia="方正仿宋_GBK" w:cs="方正仿宋_GBK"/>
          <w:sz w:val="32"/>
          <w:szCs w:val="32"/>
        </w:rPr>
      </w:pPr>
      <w:r>
        <w:rPr>
          <w:rStyle w:val="8"/>
          <w:rFonts w:hint="eastAsia" w:ascii="楷体" w:hAnsi="楷体" w:eastAsia="楷体" w:cs="楷体"/>
          <w:sz w:val="32"/>
          <w:szCs w:val="32"/>
          <w:shd w:val="clear" w:color="auto" w:fill="FFFFFF"/>
        </w:rPr>
        <w:t>（一）职能职责</w:t>
      </w:r>
    </w:p>
    <w:p>
      <w:pPr>
        <w:pStyle w:val="6"/>
        <w:shd w:val="clear" w:color="auto" w:fill="FFFFFF"/>
        <w:ind w:firstLine="640" w:firstLineChars="200"/>
        <w:rPr>
          <w:rFonts w:ascii="方正仿宋_GBK" w:hAnsi="方正仿宋_GBK" w:eastAsia="方正仿宋_GBK" w:cs="方正仿宋_GBK"/>
          <w:sz w:val="32"/>
          <w:szCs w:val="32"/>
          <w:shd w:val="clear" w:color="auto" w:fill="FFFFFF"/>
          <w:lang w:val="en-US"/>
        </w:rPr>
      </w:pPr>
      <w:r>
        <w:rPr>
          <w:rFonts w:ascii="方正仿宋_GBK" w:hAnsi="方正仿宋_GBK" w:eastAsia="方正仿宋_GBK" w:cs="方正仿宋_GBK"/>
          <w:sz w:val="32"/>
          <w:szCs w:val="32"/>
          <w:shd w:val="clear" w:color="auto" w:fill="FFFFFF"/>
          <w:lang w:eastAsia="zh-CN"/>
        </w:rPr>
        <w:t>承担村镇规划、村镇建设、市政公用、市容环卫、环境保护、交通建设等工作，并履行相关领域的安全生产工作，按规定频次开展安全生产检查和执法工作。</w:t>
      </w:r>
    </w:p>
    <w:p>
      <w:pPr>
        <w:pStyle w:val="6"/>
        <w:shd w:val="clear" w:color="auto" w:fill="FFFFFF"/>
        <w:ind w:firstLine="420"/>
        <w:rPr>
          <w:rFonts w:hint="eastAsia" w:ascii="楷体" w:hAnsi="楷体" w:eastAsia="楷体" w:cs="楷体"/>
          <w:sz w:val="32"/>
          <w:szCs w:val="32"/>
        </w:rPr>
      </w:pPr>
      <w:r>
        <w:rPr>
          <w:rStyle w:val="8"/>
          <w:rFonts w:hint="eastAsia" w:ascii="楷体" w:hAnsi="楷体" w:eastAsia="楷体" w:cs="楷体"/>
          <w:sz w:val="32"/>
          <w:szCs w:val="32"/>
          <w:shd w:val="clear" w:color="auto" w:fill="FFFFFF"/>
        </w:rPr>
        <w:t>（二）机构设置</w:t>
      </w:r>
    </w:p>
    <w:p>
      <w:pPr>
        <w:pStyle w:val="6"/>
        <w:shd w:val="clear" w:color="auto" w:fill="FFFFFF"/>
        <w:ind w:firstLine="640" w:firstLineChars="200"/>
        <w:rPr>
          <w:rFonts w:ascii="方正仿宋_GBK" w:hAnsi="方正仿宋_GBK" w:eastAsia="方正仿宋_GBK" w:cs="方正仿宋_GBK"/>
          <w:sz w:val="32"/>
          <w:szCs w:val="32"/>
          <w:shd w:val="clear" w:color="auto" w:fill="FFFFFF"/>
          <w:lang w:val="en-US" w:eastAsia="zh-CN"/>
        </w:rPr>
      </w:pPr>
      <w:r>
        <w:rPr>
          <w:rFonts w:ascii="方正仿宋_GBK" w:hAnsi="方正仿宋_GBK" w:eastAsia="方正仿宋_GBK" w:cs="方正仿宋_GBK"/>
          <w:sz w:val="32"/>
          <w:szCs w:val="32"/>
          <w:shd w:val="clear" w:color="auto" w:fill="FFFFFF"/>
          <w:lang w:eastAsia="zh-CN"/>
        </w:rPr>
        <w:t>重庆市潼南区寿桥镇村镇建设服务中心为寿桥镇人民政府下属二级预算事业单位，核定编制数</w:t>
      </w:r>
      <w:r>
        <w:rPr>
          <w:rFonts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lang w:eastAsia="zh-CN"/>
        </w:rPr>
        <w:t>人，</w:t>
      </w:r>
      <w:r>
        <w:rPr>
          <w:rFonts w:ascii="方正仿宋_GBK" w:hAnsi="方正仿宋_GBK" w:eastAsia="方正仿宋_GBK" w:cs="方正仿宋_GBK"/>
          <w:sz w:val="32"/>
          <w:szCs w:val="32"/>
          <w:shd w:val="clear" w:color="auto" w:fill="FFFFFF"/>
          <w:lang w:val="en-US" w:eastAsia="zh-CN"/>
        </w:rPr>
        <w:t>202</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lang w:eastAsia="zh-CN"/>
        </w:rPr>
        <w:t>年</w:t>
      </w:r>
      <w:r>
        <w:rPr>
          <w:rFonts w:ascii="方正仿宋_GBK" w:hAnsi="方正仿宋_GBK" w:eastAsia="方正仿宋_GBK" w:cs="方正仿宋_GBK"/>
          <w:sz w:val="32"/>
          <w:szCs w:val="32"/>
          <w:shd w:val="clear" w:color="auto" w:fill="FFFFFF"/>
          <w:lang w:val="en-US" w:eastAsia="zh-CN"/>
        </w:rPr>
        <w:t>12</w:t>
      </w:r>
      <w:r>
        <w:rPr>
          <w:rFonts w:ascii="方正仿宋_GBK" w:hAnsi="方正仿宋_GBK" w:eastAsia="方正仿宋_GBK" w:cs="方正仿宋_GBK"/>
          <w:sz w:val="32"/>
          <w:szCs w:val="32"/>
          <w:shd w:val="clear" w:color="auto" w:fill="FFFFFF"/>
          <w:lang w:eastAsia="zh-CN"/>
        </w:rPr>
        <w:t>月</w:t>
      </w:r>
      <w:r>
        <w:rPr>
          <w:rFonts w:ascii="方正仿宋_GBK" w:hAnsi="方正仿宋_GBK" w:eastAsia="方正仿宋_GBK" w:cs="方正仿宋_GBK"/>
          <w:sz w:val="32"/>
          <w:szCs w:val="32"/>
          <w:shd w:val="clear" w:color="auto" w:fill="FFFFFF"/>
          <w:lang w:val="en-US" w:eastAsia="zh-CN"/>
        </w:rPr>
        <w:t>31</w:t>
      </w:r>
      <w:r>
        <w:rPr>
          <w:rFonts w:ascii="方正仿宋_GBK" w:hAnsi="方正仿宋_GBK" w:eastAsia="方正仿宋_GBK" w:cs="方正仿宋_GBK"/>
          <w:sz w:val="32"/>
          <w:szCs w:val="32"/>
          <w:shd w:val="clear" w:color="auto" w:fill="FFFFFF"/>
          <w:lang w:eastAsia="zh-CN"/>
        </w:rPr>
        <w:t>日实际在编在岗</w:t>
      </w:r>
      <w:r>
        <w:rPr>
          <w:rFonts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lang w:eastAsia="zh-CN"/>
        </w:rPr>
        <w:t>人，其中事业管理人员</w:t>
      </w:r>
      <w:r>
        <w:rPr>
          <w:rFonts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lang w:eastAsia="zh-CN"/>
        </w:rPr>
        <w:t>人。</w:t>
      </w:r>
    </w:p>
    <w:p>
      <w:pPr>
        <w:pStyle w:val="6"/>
        <w:shd w:val="clear" w:color="auto" w:fill="FFFFFF"/>
        <w:rPr>
          <w:rStyle w:val="8"/>
          <w:rFonts w:hint="eastAsia" w:ascii="黑体" w:hAnsi="黑体" w:eastAsia="黑体" w:cs="黑体"/>
          <w:sz w:val="32"/>
          <w:szCs w:val="32"/>
          <w:shd w:val="clear" w:color="auto" w:fill="FFFFFF"/>
        </w:rPr>
      </w:pPr>
      <w:r>
        <w:rPr>
          <w:rStyle w:val="8"/>
          <w:rFonts w:hint="eastAsia" w:ascii="黑体" w:hAnsi="黑体" w:eastAsia="黑体" w:cs="黑体"/>
          <w:sz w:val="32"/>
          <w:szCs w:val="32"/>
          <w:shd w:val="clear" w:color="auto" w:fill="FFFFFF"/>
        </w:rPr>
        <w:t>二、部门决算情况说明</w:t>
      </w: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（一）收入支出决算总体情况说明。</w:t>
      </w:r>
    </w:p>
    <w:p>
      <w:pPr>
        <w:pStyle w:val="6"/>
        <w:shd w:val="clear" w:color="auto" w:fill="FFFFFF"/>
        <w:ind w:firstLine="643" w:firstLineChars="200"/>
        <w:rPr>
          <w:rFonts w:hint="eastAsia" w:ascii="方正仿宋_GBK" w:hAnsi="方正仿宋_GBK" w:eastAsia="方正仿宋_GBK" w:cs="方正仿宋_GBK"/>
          <w:sz w:val="32"/>
          <w:szCs w:val="32"/>
          <w:shd w:val="clear" w:color="auto" w:fill="FFFFFF"/>
          <w:lang w:eastAsia="zh-CN"/>
        </w:rPr>
      </w:pPr>
      <w:r>
        <w:rPr>
          <w:rStyle w:val="8"/>
          <w:rFonts w:ascii="方正仿宋_GBK" w:hAnsi="方正仿宋_GBK" w:eastAsia="方正仿宋_GBK" w:cs="方正仿宋_GBK"/>
          <w:sz w:val="32"/>
          <w:szCs w:val="32"/>
          <w:shd w:val="clear" w:color="auto" w:fill="FFFFFF"/>
        </w:rPr>
        <w:t>1.总体情况。</w:t>
      </w:r>
      <w:r>
        <w:rPr>
          <w:rFonts w:ascii="方正仿宋_GBK" w:hAnsi="方正仿宋_GBK" w:eastAsia="方正仿宋_GBK" w:cs="方正仿宋_GBK"/>
          <w:sz w:val="32"/>
          <w:szCs w:val="32"/>
          <w:shd w:val="clear" w:color="auto" w:fill="FFFFFF"/>
        </w:rPr>
        <w:t>2023年度收入总计38.25万元，支出总计</w:t>
      </w:r>
      <w:r>
        <w:rPr>
          <w:rFonts w:ascii="方正仿宋_GBK" w:hAnsi="方正仿宋_GBK" w:eastAsia="方正仿宋_GBK" w:cs="方正仿宋_GBK"/>
          <w:sz w:val="32"/>
          <w:szCs w:val="32"/>
        </w:rPr>
        <w:t>38.25</w:t>
      </w:r>
      <w:r>
        <w:rPr>
          <w:rFonts w:ascii="方正仿宋_GBK" w:hAnsi="方正仿宋_GBK" w:eastAsia="方正仿宋_GBK" w:cs="方正仿宋_GBK"/>
          <w:sz w:val="32"/>
          <w:szCs w:val="32"/>
          <w:shd w:val="clear" w:color="auto" w:fill="FFFFFF"/>
        </w:rPr>
        <w:t>万元。收支较上年决算数增加0.48万元，增长1.27%，主要原因是</w:t>
      </w:r>
      <w:r>
        <w:rPr>
          <w:rFonts w:hint="eastAsia" w:ascii="方正仿宋_GBK" w:hAnsi="方正仿宋_GBK" w:eastAsia="方正仿宋_GBK" w:cs="方正仿宋_GBK"/>
          <w:sz w:val="32"/>
          <w:szCs w:val="32"/>
          <w:shd w:val="clear" w:color="auto" w:fill="FFFFFF"/>
          <w:lang w:eastAsia="zh-CN"/>
        </w:rPr>
        <w:t>职工工资上涨、五险一金基数增加。</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2.收入情况。</w:t>
      </w:r>
      <w:r>
        <w:rPr>
          <w:rFonts w:ascii="方正仿宋_GBK" w:hAnsi="方正仿宋_GBK" w:eastAsia="方正仿宋_GBK" w:cs="方正仿宋_GBK"/>
          <w:sz w:val="32"/>
          <w:szCs w:val="32"/>
          <w:shd w:val="clear" w:color="auto" w:fill="FFFFFF"/>
        </w:rPr>
        <w:t>2023年度收入合计</w:t>
      </w:r>
      <w:r>
        <w:rPr>
          <w:rFonts w:hint="eastAsia" w:ascii="方正仿宋_GBK" w:hAnsi="方正仿宋_GBK" w:eastAsia="方正仿宋_GBK" w:cs="方正仿宋_GBK"/>
          <w:sz w:val="32"/>
          <w:szCs w:val="32"/>
          <w:shd w:val="clear" w:color="auto" w:fill="FFFFFF"/>
        </w:rPr>
        <w:t>38.25</w:t>
      </w:r>
      <w:r>
        <w:rPr>
          <w:rFonts w:ascii="方正仿宋_GBK" w:hAnsi="方正仿宋_GBK" w:eastAsia="方正仿宋_GBK" w:cs="方正仿宋_GBK"/>
          <w:sz w:val="32"/>
          <w:szCs w:val="32"/>
          <w:shd w:val="clear" w:color="auto" w:fill="FFFFFF"/>
        </w:rPr>
        <w:t>万元，较上年决算数增加0.48万元，增长1.27%，主要原因是</w:t>
      </w:r>
      <w:r>
        <w:rPr>
          <w:rFonts w:hint="eastAsia" w:ascii="方正仿宋_GBK" w:hAnsi="方正仿宋_GBK" w:eastAsia="方正仿宋_GBK" w:cs="方正仿宋_GBK"/>
          <w:sz w:val="32"/>
          <w:szCs w:val="32"/>
          <w:shd w:val="clear" w:color="auto" w:fill="FFFFFF"/>
          <w:lang w:eastAsia="zh-CN"/>
        </w:rPr>
        <w:t>职工工资上涨、五险一金基数增加。</w:t>
      </w:r>
      <w:r>
        <w:rPr>
          <w:rFonts w:ascii="方正仿宋_GBK" w:hAnsi="方正仿宋_GBK" w:eastAsia="方正仿宋_GBK" w:cs="方正仿宋_GBK"/>
          <w:sz w:val="32"/>
          <w:szCs w:val="32"/>
          <w:shd w:val="clear" w:color="auto" w:fill="FFFFFF"/>
        </w:rPr>
        <w:t>其中：财政拨款收入</w:t>
      </w:r>
      <w:r>
        <w:rPr>
          <w:rFonts w:ascii="方正仿宋_GBK" w:hAnsi="方正仿宋_GBK" w:eastAsia="方正仿宋_GBK" w:cs="方正仿宋_GBK"/>
          <w:sz w:val="32"/>
          <w:szCs w:val="32"/>
        </w:rPr>
        <w:t>38.25</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100.00</w:t>
      </w:r>
      <w:r>
        <w:rPr>
          <w:rFonts w:ascii="方正仿宋_GBK" w:hAnsi="方正仿宋_GBK" w:eastAsia="方正仿宋_GBK" w:cs="方正仿宋_GBK"/>
          <w:sz w:val="32"/>
          <w:szCs w:val="32"/>
          <w:shd w:val="clear" w:color="auto" w:fill="FFFFFF"/>
        </w:rPr>
        <w:t>%；事业收入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万元，占0.00%；其他收入</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万元，占0.00%。此外，使用非财政拨款结余和专用结余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万元，年初结转和结余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hd w:val="clear" w:color="auto" w:fill="FFFFFF"/>
        <w:ind w:firstLine="643" w:firstLineChars="200"/>
        <w:rPr>
          <w:rFonts w:hint="default" w:ascii="方正仿宋_GBK" w:hAnsi="方正仿宋_GBK" w:eastAsia="方正仿宋_GBK" w:cs="方正仿宋_GBK"/>
          <w:sz w:val="32"/>
          <w:szCs w:val="32"/>
          <w:shd w:val="clear" w:color="auto" w:fill="FFFFFF"/>
        </w:rPr>
      </w:pPr>
      <w:r>
        <w:rPr>
          <w:rStyle w:val="8"/>
          <w:rFonts w:ascii="方正仿宋_GBK" w:hAnsi="方正仿宋_GBK" w:eastAsia="方正仿宋_GBK" w:cs="方正仿宋_GBK"/>
          <w:sz w:val="32"/>
          <w:szCs w:val="32"/>
          <w:shd w:val="clear" w:color="auto" w:fill="FFFFFF"/>
        </w:rPr>
        <w:t>3.支出情况。</w:t>
      </w:r>
      <w:r>
        <w:rPr>
          <w:rFonts w:ascii="方正仿宋_GBK" w:hAnsi="方正仿宋_GBK" w:eastAsia="方正仿宋_GBK" w:cs="方正仿宋_GBK"/>
          <w:sz w:val="32"/>
          <w:szCs w:val="32"/>
          <w:shd w:val="clear" w:color="auto" w:fill="FFFFFF"/>
        </w:rPr>
        <w:t>2023年度支出合计</w:t>
      </w:r>
      <w:r>
        <w:rPr>
          <w:rFonts w:ascii="方正仿宋_GBK" w:hAnsi="方正仿宋_GBK" w:eastAsia="方正仿宋_GBK" w:cs="方正仿宋_GBK"/>
          <w:sz w:val="32"/>
          <w:szCs w:val="32"/>
        </w:rPr>
        <w:t>38.25</w:t>
      </w:r>
      <w:r>
        <w:rPr>
          <w:rFonts w:ascii="方正仿宋_GBK" w:hAnsi="方正仿宋_GBK" w:eastAsia="方正仿宋_GBK" w:cs="方正仿宋_GBK"/>
          <w:sz w:val="32"/>
          <w:szCs w:val="32"/>
          <w:shd w:val="clear" w:color="auto" w:fill="FFFFFF"/>
        </w:rPr>
        <w:t>万元，较上年决算数增加0.48万元，增长1.27%，主要原因是</w:t>
      </w:r>
      <w:r>
        <w:rPr>
          <w:rFonts w:hint="eastAsia" w:ascii="方正仿宋_GBK" w:hAnsi="方正仿宋_GBK" w:eastAsia="方正仿宋_GBK" w:cs="方正仿宋_GBK"/>
          <w:sz w:val="32"/>
          <w:szCs w:val="32"/>
          <w:shd w:val="clear" w:color="auto" w:fill="FFFFFF"/>
          <w:lang w:eastAsia="zh-CN"/>
        </w:rPr>
        <w:t>职工工资上涨、五险一金基数增加。</w:t>
      </w:r>
      <w:r>
        <w:rPr>
          <w:rFonts w:ascii="方正仿宋_GBK" w:hAnsi="方正仿宋_GBK" w:eastAsia="方正仿宋_GBK" w:cs="方正仿宋_GBK"/>
          <w:sz w:val="32"/>
          <w:szCs w:val="32"/>
          <w:shd w:val="clear" w:color="auto" w:fill="FFFFFF"/>
        </w:rPr>
        <w:t>其中：基本支出</w:t>
      </w:r>
      <w:r>
        <w:rPr>
          <w:rFonts w:ascii="方正仿宋_GBK" w:hAnsi="方正仿宋_GBK" w:eastAsia="方正仿宋_GBK" w:cs="方正仿宋_GBK"/>
          <w:sz w:val="32"/>
          <w:szCs w:val="32"/>
        </w:rPr>
        <w:t>38.25</w:t>
      </w:r>
      <w:r>
        <w:rPr>
          <w:rFonts w:ascii="方正仿宋_GBK" w:hAnsi="方正仿宋_GBK" w:eastAsia="方正仿宋_GBK" w:cs="方正仿宋_GBK"/>
          <w:sz w:val="32"/>
          <w:szCs w:val="32"/>
          <w:shd w:val="clear" w:color="auto" w:fill="FFFFFF"/>
        </w:rPr>
        <w:t>万元，占100.00%；项目支出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万元，占0.00%；经营支出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万元，占0.00%。此外，结余分配</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lang w:eastAsia="zh-CN"/>
        </w:rPr>
      </w:pPr>
      <w:r>
        <w:rPr>
          <w:rStyle w:val="8"/>
          <w:rFonts w:ascii="方正仿宋_GBK" w:hAnsi="方正仿宋_GBK" w:eastAsia="方正仿宋_GBK" w:cs="方正仿宋_GBK"/>
          <w:sz w:val="32"/>
          <w:szCs w:val="32"/>
          <w:shd w:val="clear" w:color="auto" w:fill="FFFFFF"/>
        </w:rPr>
        <w:t>4.结转结余情况。</w:t>
      </w:r>
      <w:r>
        <w:rPr>
          <w:rFonts w:ascii="方正仿宋_GBK" w:hAnsi="方正仿宋_GBK" w:eastAsia="方正仿宋_GBK" w:cs="方正仿宋_GBK"/>
          <w:sz w:val="32"/>
          <w:szCs w:val="32"/>
          <w:shd w:val="clear" w:color="auto" w:fill="FFFFFF"/>
        </w:rPr>
        <w:t>2023年度年末结转和结余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（二）财政拨款收入支出决算总体情况说明</w:t>
      </w:r>
    </w:p>
    <w:p>
      <w:pPr>
        <w:pStyle w:val="6"/>
        <w:shd w:val="clear" w:color="auto" w:fill="FFFFFF"/>
        <w:ind w:firstLine="640" w:firstLineChars="200"/>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2023年度财政拨款收、支总计</w:t>
      </w:r>
      <w:r>
        <w:rPr>
          <w:rFonts w:hint="eastAsia" w:ascii="方正仿宋_GBK" w:hAnsi="方正仿宋_GBK" w:eastAsia="方正仿宋_GBK" w:cs="方正仿宋_GBK"/>
          <w:sz w:val="32"/>
          <w:szCs w:val="32"/>
          <w:shd w:val="clear" w:color="auto" w:fill="FFFFFF"/>
        </w:rPr>
        <w:t>38.25</w:t>
      </w:r>
      <w:r>
        <w:rPr>
          <w:rFonts w:ascii="方正仿宋_GBK" w:hAnsi="方正仿宋_GBK" w:eastAsia="方正仿宋_GBK" w:cs="方正仿宋_GBK"/>
          <w:sz w:val="32"/>
          <w:szCs w:val="32"/>
          <w:shd w:val="clear" w:color="auto" w:fill="FFFFFF"/>
        </w:rPr>
        <w:t>万元。与2022年相比，财政拨款收、支总计各增加0.48万元，增长1.27%。主要原因是</w:t>
      </w:r>
      <w:r>
        <w:rPr>
          <w:rFonts w:hint="eastAsia" w:ascii="方正仿宋_GBK" w:hAnsi="方正仿宋_GBK" w:eastAsia="方正仿宋_GBK" w:cs="方正仿宋_GBK"/>
          <w:sz w:val="32"/>
          <w:szCs w:val="32"/>
          <w:shd w:val="clear" w:color="auto" w:fill="FFFFFF"/>
          <w:lang w:eastAsia="zh-CN"/>
        </w:rPr>
        <w:t>职工工资上涨、五险一金基数增加。</w:t>
      </w: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（三）一般公共预算财政拨款收入支出决算情况说明</w:t>
      </w:r>
    </w:p>
    <w:p>
      <w:pPr>
        <w:pStyle w:val="6"/>
        <w:shd w:val="clear" w:color="auto" w:fill="FFFFFF"/>
        <w:ind w:firstLine="643" w:firstLineChars="200"/>
        <w:rPr>
          <w:rFonts w:hint="default" w:ascii="方正仿宋_GBK" w:hAnsi="方正仿宋_GBK" w:eastAsia="方正仿宋_GBK" w:cs="方正仿宋_GBK"/>
          <w:sz w:val="32"/>
          <w:szCs w:val="32"/>
        </w:rPr>
      </w:pPr>
      <w:r>
        <w:rPr>
          <w:rStyle w:val="8"/>
          <w:rFonts w:ascii="方正仿宋_GBK" w:hAnsi="方正仿宋_GBK" w:eastAsia="方正仿宋_GBK" w:cs="方正仿宋_GBK"/>
          <w:sz w:val="32"/>
          <w:szCs w:val="32"/>
          <w:shd w:val="clear" w:color="auto" w:fill="FFFFFF"/>
        </w:rPr>
        <w:t>1.收入情况。</w:t>
      </w:r>
      <w:r>
        <w:rPr>
          <w:rFonts w:ascii="方正仿宋_GBK" w:hAnsi="方正仿宋_GBK" w:eastAsia="方正仿宋_GBK" w:cs="方正仿宋_GBK"/>
          <w:sz w:val="32"/>
          <w:szCs w:val="32"/>
          <w:shd w:val="clear" w:color="auto" w:fill="FFFFFF"/>
        </w:rPr>
        <w:t>2023年度一般公共预算财政拨款收入</w:t>
      </w:r>
      <w:r>
        <w:rPr>
          <w:rFonts w:ascii="方正仿宋_GBK" w:hAnsi="方正仿宋_GBK" w:eastAsia="方正仿宋_GBK" w:cs="方正仿宋_GBK"/>
          <w:sz w:val="32"/>
          <w:szCs w:val="32"/>
        </w:rPr>
        <w:t>38.25</w:t>
      </w:r>
      <w:r>
        <w:rPr>
          <w:rFonts w:ascii="方正仿宋_GBK" w:hAnsi="方正仿宋_GBK" w:eastAsia="方正仿宋_GBK" w:cs="方正仿宋_GBK"/>
          <w:sz w:val="32"/>
          <w:szCs w:val="32"/>
          <w:shd w:val="clear" w:color="auto" w:fill="FFFFFF"/>
        </w:rPr>
        <w:t>万元，较上年决算数增加0.48万元，增长1.27%。主要原因是</w:t>
      </w:r>
      <w:r>
        <w:rPr>
          <w:rFonts w:hint="eastAsia" w:ascii="方正仿宋_GBK" w:hAnsi="方正仿宋_GBK" w:eastAsia="方正仿宋_GBK" w:cs="方正仿宋_GBK"/>
          <w:sz w:val="32"/>
          <w:szCs w:val="32"/>
          <w:shd w:val="clear" w:color="auto" w:fill="FFFFFF"/>
          <w:lang w:eastAsia="zh-CN"/>
        </w:rPr>
        <w:t>职工工资上涨、五险一金基数增加。</w:t>
      </w:r>
      <w:r>
        <w:rPr>
          <w:rFonts w:ascii="方正仿宋_GBK" w:hAnsi="方正仿宋_GBK" w:eastAsia="方正仿宋_GBK" w:cs="方正仿宋_GBK"/>
          <w:sz w:val="32"/>
          <w:szCs w:val="32"/>
          <w:shd w:val="clear" w:color="auto" w:fill="FFFFFF"/>
        </w:rPr>
        <w:t>较年初预算数减少1.97万元，下降4.90%。主要原因是</w:t>
      </w:r>
      <w:r>
        <w:rPr>
          <w:rFonts w:hint="eastAsia" w:ascii="方正仿宋_GBK" w:hAnsi="方正仿宋_GBK" w:eastAsia="方正仿宋_GBK" w:cs="方正仿宋_GBK"/>
          <w:sz w:val="32"/>
          <w:szCs w:val="32"/>
          <w:shd w:val="clear" w:color="auto" w:fill="FFFFFF"/>
          <w:lang w:eastAsia="zh-CN"/>
        </w:rPr>
        <w:t>压缩了公用经费开支。</w:t>
      </w:r>
      <w:r>
        <w:rPr>
          <w:rFonts w:ascii="方正仿宋_GBK" w:hAnsi="方正仿宋_GBK" w:eastAsia="方正仿宋_GBK" w:cs="方正仿宋_GBK"/>
          <w:sz w:val="32"/>
          <w:szCs w:val="32"/>
          <w:shd w:val="clear" w:color="auto" w:fill="FFFFFF"/>
        </w:rPr>
        <w:t>此外，年初财政拨款结转和结余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8"/>
          <w:rFonts w:ascii="方正仿宋_GBK" w:hAnsi="方正仿宋_GBK" w:eastAsia="方正仿宋_GBK" w:cs="方正仿宋_GBK"/>
          <w:sz w:val="32"/>
          <w:szCs w:val="32"/>
          <w:shd w:val="clear" w:color="auto" w:fill="FFFFFF"/>
        </w:rPr>
        <w:t>2.支出情况。</w:t>
      </w:r>
      <w:r>
        <w:rPr>
          <w:rFonts w:ascii="方正仿宋_GBK" w:hAnsi="方正仿宋_GBK" w:eastAsia="方正仿宋_GBK" w:cs="方正仿宋_GBK"/>
          <w:sz w:val="32"/>
          <w:szCs w:val="32"/>
          <w:shd w:val="clear" w:color="auto" w:fill="FFFFFF"/>
        </w:rPr>
        <w:t>2023年度一般公共预算财政拨款支出</w:t>
      </w:r>
      <w:r>
        <w:rPr>
          <w:rFonts w:ascii="方正仿宋_GBK" w:hAnsi="方正仿宋_GBK" w:eastAsia="方正仿宋_GBK" w:cs="方正仿宋_GBK"/>
          <w:sz w:val="32"/>
          <w:szCs w:val="32"/>
        </w:rPr>
        <w:t>38.25</w:t>
      </w:r>
      <w:r>
        <w:rPr>
          <w:rFonts w:ascii="方正仿宋_GBK" w:hAnsi="方正仿宋_GBK" w:eastAsia="方正仿宋_GBK" w:cs="方正仿宋_GBK"/>
          <w:sz w:val="32"/>
          <w:szCs w:val="32"/>
          <w:shd w:val="clear" w:color="auto" w:fill="FFFFFF"/>
        </w:rPr>
        <w:t>万元，较上年决算数增加0.48万元，增长1.27%。主要原因是</w:t>
      </w:r>
      <w:r>
        <w:rPr>
          <w:rFonts w:hint="eastAsia" w:ascii="方正仿宋_GBK" w:hAnsi="方正仿宋_GBK" w:eastAsia="方正仿宋_GBK" w:cs="方正仿宋_GBK"/>
          <w:sz w:val="32"/>
          <w:szCs w:val="32"/>
          <w:shd w:val="clear" w:color="auto" w:fill="FFFFFF"/>
          <w:lang w:eastAsia="zh-CN"/>
        </w:rPr>
        <w:t>职工工资上涨、五险一金基数增加。</w:t>
      </w:r>
      <w:r>
        <w:rPr>
          <w:rFonts w:ascii="方正仿宋_GBK" w:hAnsi="方正仿宋_GBK" w:eastAsia="方正仿宋_GBK" w:cs="方正仿宋_GBK"/>
          <w:sz w:val="32"/>
          <w:szCs w:val="32"/>
          <w:shd w:val="clear" w:color="auto" w:fill="FFFFFF"/>
        </w:rPr>
        <w:t>较年初预算数减少1.97万元，下降4.90%。主要原因是</w:t>
      </w:r>
      <w:r>
        <w:rPr>
          <w:rFonts w:hint="eastAsia" w:ascii="方正仿宋_GBK" w:hAnsi="方正仿宋_GBK" w:eastAsia="方正仿宋_GBK" w:cs="方正仿宋_GBK"/>
          <w:sz w:val="32"/>
          <w:szCs w:val="32"/>
          <w:shd w:val="clear" w:color="auto" w:fill="FFFFFF"/>
          <w:lang w:eastAsia="zh-CN"/>
        </w:rPr>
        <w:t>压缩了公用经费开支。</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shd w:val="clear" w:color="auto" w:fill="FFFFFF"/>
          <w:lang w:eastAsia="zh-CN"/>
        </w:rPr>
      </w:pPr>
      <w:r>
        <w:rPr>
          <w:rStyle w:val="8"/>
          <w:rFonts w:ascii="方正仿宋_GBK" w:hAnsi="方正仿宋_GBK" w:eastAsia="方正仿宋_GBK" w:cs="方正仿宋_GBK"/>
          <w:sz w:val="32"/>
          <w:szCs w:val="32"/>
          <w:shd w:val="clear" w:color="auto" w:fill="FFFFFF"/>
        </w:rPr>
        <w:t>3.结转结余情况。</w:t>
      </w:r>
      <w:r>
        <w:rPr>
          <w:rFonts w:ascii="方正仿宋_GBK" w:hAnsi="方正仿宋_GBK" w:eastAsia="方正仿宋_GBK" w:cs="方正仿宋_GBK"/>
          <w:sz w:val="32"/>
          <w:szCs w:val="32"/>
          <w:shd w:val="clear" w:color="auto" w:fill="FFFFFF"/>
        </w:rPr>
        <w:t>2023年度年末一般公共预算财政拨款结转和结余</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3" w:firstLineChars="200"/>
        <w:jc w:val="both"/>
        <w:rPr>
          <w:rFonts w:hint="default" w:ascii="方正仿宋_GBK" w:hAnsi="方正仿宋_GBK" w:eastAsia="方正仿宋_GBK" w:cs="方正仿宋_GBK"/>
          <w:color w:val="FF0000"/>
          <w:sz w:val="32"/>
          <w:szCs w:val="32"/>
          <w:highlight w:val="cyan"/>
          <w:shd w:val="clear" w:color="auto" w:fill="FFFFFF"/>
        </w:rPr>
      </w:pPr>
      <w:r>
        <w:rPr>
          <w:rStyle w:val="8"/>
          <w:rFonts w:ascii="方正仿宋_GBK" w:hAnsi="方正仿宋_GBK" w:eastAsia="方正仿宋_GBK" w:cs="方正仿宋_GBK"/>
          <w:sz w:val="32"/>
          <w:szCs w:val="32"/>
          <w:shd w:val="clear" w:color="auto" w:fill="FFFFFF"/>
        </w:rPr>
        <w:t xml:space="preserve"> 4.比较情况。</w:t>
      </w:r>
      <w:r>
        <w:rPr>
          <w:rFonts w:ascii="方正仿宋_GBK" w:hAnsi="方正仿宋_GBK" w:eastAsia="方正仿宋_GBK" w:cs="方正仿宋_GBK"/>
          <w:sz w:val="32"/>
          <w:szCs w:val="32"/>
          <w:shd w:val="clear" w:color="auto" w:fill="FFFFFF"/>
        </w:rPr>
        <w:t>本部门2023年度一般公共预算财政拨款支出主要用于以下几个方面：</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1</w:t>
      </w:r>
      <w:r>
        <w:rPr>
          <w:rFonts w:ascii="方正仿宋_GBK" w:hAnsi="方正仿宋_GBK" w:eastAsia="方正仿宋_GBK" w:cs="方正仿宋_GBK"/>
          <w:sz w:val="32"/>
          <w:szCs w:val="32"/>
          <w:shd w:val="clear" w:color="auto" w:fill="FFFFFF"/>
        </w:rPr>
        <w:t>）社会保障与就业支出</w:t>
      </w:r>
      <w:r>
        <w:rPr>
          <w:rFonts w:ascii="方正仿宋_GBK" w:hAnsi="方正仿宋_GBK" w:eastAsia="方正仿宋_GBK" w:cs="方正仿宋_GBK"/>
          <w:sz w:val="32"/>
          <w:szCs w:val="32"/>
        </w:rPr>
        <w:t>3.44</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8.99</w:t>
      </w:r>
      <w:r>
        <w:rPr>
          <w:rFonts w:ascii="方正仿宋_GBK" w:hAnsi="方正仿宋_GBK" w:eastAsia="方正仿宋_GBK" w:cs="方正仿宋_GBK"/>
          <w:sz w:val="32"/>
          <w:szCs w:val="32"/>
          <w:shd w:val="clear" w:color="auto" w:fill="FFFFFF"/>
        </w:rPr>
        <w:t>%，较年初预算数增加0.03万元，增长0.88%，主要原因是</w:t>
      </w:r>
      <w:r>
        <w:rPr>
          <w:rFonts w:hint="eastAsia" w:ascii="方正仿宋_GBK" w:hAnsi="方正仿宋_GBK" w:eastAsia="方正仿宋_GBK" w:cs="方正仿宋_GBK"/>
          <w:sz w:val="32"/>
          <w:szCs w:val="32"/>
          <w:shd w:val="clear" w:color="auto" w:fill="FFFFFF"/>
          <w:lang w:eastAsia="zh-CN"/>
        </w:rPr>
        <w:t>五险一金基数增加。</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2</w:t>
      </w:r>
      <w:r>
        <w:rPr>
          <w:rFonts w:ascii="方正仿宋_GBK" w:hAnsi="方正仿宋_GBK" w:eastAsia="方正仿宋_GBK" w:cs="方正仿宋_GBK"/>
          <w:sz w:val="32"/>
          <w:szCs w:val="32"/>
          <w:shd w:val="clear" w:color="auto" w:fill="FFFFFF"/>
        </w:rPr>
        <w:t>）卫生健康支出</w:t>
      </w:r>
      <w:r>
        <w:rPr>
          <w:rFonts w:ascii="方正仿宋_GBK" w:hAnsi="方正仿宋_GBK" w:eastAsia="方正仿宋_GBK" w:cs="方正仿宋_GBK"/>
          <w:sz w:val="32"/>
          <w:szCs w:val="32"/>
        </w:rPr>
        <w:t>1.76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4.59</w:t>
      </w:r>
      <w:r>
        <w:rPr>
          <w:rFonts w:ascii="方正仿宋_GBK" w:hAnsi="方正仿宋_GBK" w:eastAsia="方正仿宋_GBK" w:cs="方正仿宋_GBK"/>
          <w:sz w:val="32"/>
          <w:szCs w:val="32"/>
          <w:shd w:val="clear" w:color="auto" w:fill="FFFFFF"/>
        </w:rPr>
        <w:t>%，较年初预算数减少0.27万元，下降13.30%，主要原因是</w:t>
      </w:r>
      <w:r>
        <w:rPr>
          <w:rFonts w:hint="eastAsia" w:ascii="方正仿宋_GBK" w:hAnsi="方正仿宋_GBK" w:eastAsia="方正仿宋_GBK" w:cs="方正仿宋_GBK"/>
          <w:sz w:val="32"/>
          <w:szCs w:val="32"/>
          <w:shd w:val="clear" w:color="auto" w:fill="FFFFFF"/>
          <w:lang w:eastAsia="zh-CN"/>
        </w:rPr>
        <w:t>财政局收回二次医疗资金。</w:t>
      </w:r>
    </w:p>
    <w:p>
      <w:pPr>
        <w:pStyle w:val="6"/>
        <w:snapToGrid w:val="0"/>
        <w:spacing w:before="0" w:beforeAutospacing="0" w:after="0" w:afterAutospacing="0" w:line="600" w:lineRule="exact"/>
        <w:ind w:firstLine="640" w:firstLineChars="200"/>
        <w:jc w:val="both"/>
        <w:rPr>
          <w:rFonts w:ascii="方正仿宋_GBK" w:hAnsi="方正仿宋_GBK" w:eastAsia="方正仿宋_GBK" w:cs="方正仿宋_GBK"/>
          <w:sz w:val="32"/>
          <w:szCs w:val="32"/>
          <w:shd w:val="clear" w:color="auto" w:fill="FFFFFF"/>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3</w:t>
      </w:r>
      <w:r>
        <w:rPr>
          <w:rFonts w:ascii="方正仿宋_GBK" w:hAnsi="方正仿宋_GBK" w:eastAsia="方正仿宋_GBK" w:cs="方正仿宋_GBK"/>
          <w:sz w:val="32"/>
          <w:szCs w:val="32"/>
          <w:shd w:val="clear" w:color="auto" w:fill="FFFFFF"/>
        </w:rPr>
        <w:t>）城乡社区支出</w:t>
      </w:r>
      <w:r>
        <w:rPr>
          <w:rFonts w:ascii="方正仿宋_GBK" w:hAnsi="方正仿宋_GBK" w:eastAsia="方正仿宋_GBK" w:cs="方正仿宋_GBK"/>
          <w:sz w:val="32"/>
          <w:szCs w:val="32"/>
        </w:rPr>
        <w:t>30.97</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80.97</w:t>
      </w:r>
      <w:r>
        <w:rPr>
          <w:rFonts w:ascii="方正仿宋_GBK" w:hAnsi="方正仿宋_GBK" w:eastAsia="方正仿宋_GBK" w:cs="方正仿宋_GBK"/>
          <w:sz w:val="32"/>
          <w:szCs w:val="32"/>
          <w:shd w:val="clear" w:color="auto" w:fill="FFFFFF"/>
        </w:rPr>
        <w:t>%，较年初预算数减少2.10万元，下降6.35%，主要原因是</w:t>
      </w:r>
      <w:r>
        <w:rPr>
          <w:rFonts w:hint="eastAsia" w:ascii="方正仿宋_GBK" w:hAnsi="方正仿宋_GBK" w:eastAsia="方正仿宋_GBK" w:cs="方正仿宋_GBK"/>
          <w:sz w:val="32"/>
          <w:szCs w:val="32"/>
          <w:shd w:val="clear" w:color="auto" w:fill="FFFFFF"/>
          <w:lang w:eastAsia="zh-CN"/>
        </w:rPr>
        <w:t>压缩了公用经费开支。</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color w:val="FF0000"/>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4</w:t>
      </w:r>
      <w:r>
        <w:rPr>
          <w:rFonts w:ascii="方正仿宋_GBK" w:hAnsi="方正仿宋_GBK" w:eastAsia="方正仿宋_GBK" w:cs="方正仿宋_GBK"/>
          <w:sz w:val="32"/>
          <w:szCs w:val="32"/>
          <w:shd w:val="clear" w:color="auto" w:fill="FFFFFF"/>
        </w:rPr>
        <w:t>）农林水支出</w:t>
      </w:r>
      <w:r>
        <w:rPr>
          <w:rFonts w:ascii="方正仿宋_GBK" w:hAnsi="方正仿宋_GBK" w:eastAsia="方正仿宋_GBK" w:cs="方正仿宋_GBK"/>
          <w:sz w:val="32"/>
          <w:szCs w:val="32"/>
        </w:rPr>
        <w:t>0.16</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0.42</w:t>
      </w:r>
      <w:r>
        <w:rPr>
          <w:rFonts w:ascii="方正仿宋_GBK" w:hAnsi="方正仿宋_GBK" w:eastAsia="方正仿宋_GBK" w:cs="方正仿宋_GBK"/>
          <w:sz w:val="32"/>
          <w:szCs w:val="32"/>
          <w:shd w:val="clear" w:color="auto" w:fill="FFFFFF"/>
        </w:rPr>
        <w:t>%，较年初预算数增加0.16万元，增长100.00%</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w:t>
      </w:r>
      <w:r>
        <w:rPr>
          <w:rFonts w:hint="eastAsia" w:ascii="方正仿宋_GBK" w:hAnsi="方正仿宋_GBK" w:eastAsia="方正仿宋_GBK" w:cs="方正仿宋_GBK"/>
          <w:sz w:val="32"/>
          <w:szCs w:val="32"/>
          <w:shd w:val="clear" w:color="auto" w:fill="FFFFFF"/>
          <w:lang w:val="en-US" w:eastAsia="zh-CN"/>
        </w:rPr>
        <w:t>5</w:t>
      </w:r>
      <w:r>
        <w:rPr>
          <w:rFonts w:ascii="方正仿宋_GBK" w:hAnsi="方正仿宋_GBK" w:eastAsia="方正仿宋_GBK" w:cs="方正仿宋_GBK"/>
          <w:sz w:val="32"/>
          <w:szCs w:val="32"/>
          <w:shd w:val="clear" w:color="auto" w:fill="FFFFFF"/>
        </w:rPr>
        <w:t>）</w:t>
      </w:r>
      <w:r>
        <w:rPr>
          <w:rFonts w:ascii="方正仿宋_GBK" w:hAnsi="方正仿宋_GBK" w:eastAsia="方正仿宋_GBK" w:cs="方正仿宋_GBK"/>
          <w:sz w:val="32"/>
          <w:szCs w:val="32"/>
        </w:rPr>
        <w:t>住房保障支出1.93</w:t>
      </w:r>
      <w:r>
        <w:rPr>
          <w:rFonts w:ascii="方正仿宋_GBK" w:hAnsi="方正仿宋_GBK" w:eastAsia="方正仿宋_GBK" w:cs="方正仿宋_GBK"/>
          <w:sz w:val="32"/>
          <w:szCs w:val="32"/>
          <w:shd w:val="clear" w:color="auto" w:fill="FFFFFF"/>
        </w:rPr>
        <w:t>万元，占</w:t>
      </w:r>
      <w:r>
        <w:rPr>
          <w:rFonts w:ascii="方正仿宋_GBK" w:hAnsi="方正仿宋_GBK" w:eastAsia="方正仿宋_GBK" w:cs="方正仿宋_GBK"/>
          <w:sz w:val="32"/>
          <w:szCs w:val="32"/>
        </w:rPr>
        <w:t>5.03</w:t>
      </w:r>
      <w:r>
        <w:rPr>
          <w:rFonts w:ascii="方正仿宋_GBK" w:hAnsi="方正仿宋_GBK" w:eastAsia="方正仿宋_GBK" w:cs="方正仿宋_GBK"/>
          <w:sz w:val="32"/>
          <w:szCs w:val="32"/>
          <w:shd w:val="clear" w:color="auto" w:fill="FFFFFF"/>
        </w:rPr>
        <w:t>%，较年初预算数增加0.22万元，增长12.87%，主要原因是</w:t>
      </w:r>
      <w:r>
        <w:rPr>
          <w:rFonts w:hint="eastAsia" w:ascii="方正仿宋_GBK" w:hAnsi="方正仿宋_GBK" w:eastAsia="方正仿宋_GBK" w:cs="方正仿宋_GBK"/>
          <w:sz w:val="32"/>
          <w:szCs w:val="32"/>
          <w:shd w:val="clear" w:color="auto" w:fill="FFFFFF"/>
          <w:lang w:eastAsia="zh-CN"/>
        </w:rPr>
        <w:t>五险一金基数增加。</w:t>
      </w: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（四）一般公共预算财政拨款基本支出决算情况说明</w:t>
      </w:r>
    </w:p>
    <w:p>
      <w:pPr>
        <w:pStyle w:val="6"/>
        <w:widowControl/>
        <w:spacing w:before="0" w:beforeAutospacing="0" w:line="600" w:lineRule="exact"/>
        <w:ind w:left="0" w:firstLine="640" w:firstLineChars="200"/>
        <w:jc w:val="both"/>
        <w:rPr>
          <w:rFonts w:hint="default" w:ascii="Times New Roman" w:hAnsi="Times New Roman" w:eastAsia="方正仿宋_GBK" w:cs="Times New Roman"/>
          <w:sz w:val="32"/>
          <w:szCs w:val="32"/>
          <w:shd w:val="clear" w:fill="FFFFFF"/>
          <w:lang w:val="en-US"/>
        </w:rPr>
      </w:pPr>
      <w:r>
        <w:rPr>
          <w:rFonts w:ascii="方正仿宋_GBK" w:hAnsi="方正仿宋_GBK" w:eastAsia="方正仿宋_GBK" w:cs="方正仿宋_GBK"/>
          <w:sz w:val="32"/>
          <w:szCs w:val="32"/>
          <w:shd w:val="clear" w:color="auto" w:fill="FFFFFF"/>
        </w:rPr>
        <w:t> 2023年度一般公共财政拨款基本支出</w:t>
      </w:r>
      <w:r>
        <w:rPr>
          <w:rFonts w:ascii="方正仿宋_GBK" w:hAnsi="方正仿宋_GBK" w:eastAsia="方正仿宋_GBK" w:cs="方正仿宋_GBK"/>
          <w:sz w:val="32"/>
          <w:szCs w:val="32"/>
        </w:rPr>
        <w:t>38.25</w:t>
      </w:r>
      <w:r>
        <w:rPr>
          <w:rFonts w:ascii="方正仿宋_GBK" w:hAnsi="方正仿宋_GBK" w:eastAsia="方正仿宋_GBK" w:cs="方正仿宋_GBK"/>
          <w:sz w:val="32"/>
          <w:szCs w:val="32"/>
          <w:shd w:val="clear" w:color="auto" w:fill="FFFFFF"/>
        </w:rPr>
        <w:t>万元。其中：人员经费</w:t>
      </w:r>
      <w:r>
        <w:rPr>
          <w:rFonts w:ascii="方正仿宋_GBK" w:hAnsi="方正仿宋_GBK" w:eastAsia="方正仿宋_GBK" w:cs="方正仿宋_GBK"/>
          <w:sz w:val="32"/>
          <w:szCs w:val="32"/>
        </w:rPr>
        <w:t>33.78</w:t>
      </w:r>
      <w:r>
        <w:rPr>
          <w:rFonts w:ascii="方正仿宋_GBK" w:hAnsi="方正仿宋_GBK" w:eastAsia="方正仿宋_GBK" w:cs="方正仿宋_GBK"/>
          <w:sz w:val="32"/>
          <w:szCs w:val="32"/>
          <w:shd w:val="clear" w:color="auto" w:fill="FFFFFF"/>
        </w:rPr>
        <w:t>万元，较上年决算数增加0.68万元，增长2.05%，主要原因是</w:t>
      </w:r>
      <w:r>
        <w:rPr>
          <w:rFonts w:hint="eastAsia" w:ascii="方正仿宋_GBK" w:hAnsi="方正仿宋_GBK" w:eastAsia="方正仿宋_GBK" w:cs="方正仿宋_GBK"/>
          <w:sz w:val="32"/>
          <w:szCs w:val="32"/>
          <w:shd w:val="clear" w:color="auto" w:fill="FFFFFF"/>
          <w:lang w:eastAsia="zh-CN"/>
        </w:rPr>
        <w:t>职工工资上涨、五险一金基数增加。</w:t>
      </w:r>
      <w:r>
        <w:rPr>
          <w:rFonts w:ascii="方正仿宋_GBK" w:hAnsi="方正仿宋_GBK" w:eastAsia="方正仿宋_GBK" w:cs="方正仿宋_GBK"/>
          <w:sz w:val="32"/>
          <w:szCs w:val="32"/>
          <w:shd w:val="clear" w:color="auto" w:fill="FFFFFF"/>
        </w:rPr>
        <w:t>人员经费用途主要包括</w:t>
      </w:r>
      <w:r>
        <w:rPr>
          <w:rFonts w:hint="eastAsia" w:ascii="Times New Roman" w:hAnsi="Times New Roman" w:eastAsia="方正仿宋_GBK" w:cs="Times New Roman"/>
          <w:sz w:val="32"/>
          <w:szCs w:val="32"/>
          <w:shd w:val="clear" w:fill="FFFFFF"/>
          <w:lang w:val="en-US" w:eastAsia="zh-CN" w:bidi="ar"/>
        </w:rPr>
        <w:t>基本工资、津贴补贴、绩效工资、养老保险、医疗保险、住房公积金等工资福利支出。</w:t>
      </w:r>
      <w:r>
        <w:rPr>
          <w:rFonts w:ascii="方正仿宋_GBK" w:hAnsi="方正仿宋_GBK" w:eastAsia="方正仿宋_GBK" w:cs="方正仿宋_GBK"/>
          <w:sz w:val="32"/>
          <w:szCs w:val="32"/>
          <w:shd w:val="clear" w:color="auto" w:fill="FFFFFF"/>
        </w:rPr>
        <w:t>公用经费</w:t>
      </w:r>
      <w:r>
        <w:rPr>
          <w:rFonts w:ascii="方正仿宋_GBK" w:hAnsi="方正仿宋_GBK" w:eastAsia="方正仿宋_GBK" w:cs="方正仿宋_GBK"/>
          <w:sz w:val="32"/>
          <w:szCs w:val="32"/>
        </w:rPr>
        <w:t>4.47</w:t>
      </w:r>
      <w:r>
        <w:rPr>
          <w:rFonts w:ascii="方正仿宋_GBK" w:hAnsi="方正仿宋_GBK" w:eastAsia="方正仿宋_GBK" w:cs="方正仿宋_GBK"/>
          <w:sz w:val="32"/>
          <w:szCs w:val="32"/>
          <w:shd w:val="clear" w:color="auto" w:fill="FFFFFF"/>
        </w:rPr>
        <w:t>万元，较上年决算数减少0.20万元，下降4.28%，主要原因是</w:t>
      </w:r>
      <w:r>
        <w:rPr>
          <w:rFonts w:hint="eastAsia" w:ascii="方正仿宋_GBK" w:hAnsi="方正仿宋_GBK" w:eastAsia="方正仿宋_GBK" w:cs="方正仿宋_GBK"/>
          <w:sz w:val="32"/>
          <w:szCs w:val="32"/>
          <w:shd w:val="clear" w:color="auto" w:fill="FFFFFF"/>
          <w:lang w:eastAsia="zh-CN"/>
        </w:rPr>
        <w:t>压缩了公用经费开支。</w:t>
      </w:r>
      <w:r>
        <w:rPr>
          <w:rFonts w:ascii="方正仿宋_GBK" w:hAnsi="方正仿宋_GBK" w:eastAsia="方正仿宋_GBK" w:cs="方正仿宋_GBK"/>
          <w:sz w:val="32"/>
          <w:szCs w:val="32"/>
          <w:shd w:val="clear" w:color="auto" w:fill="FFFFFF"/>
        </w:rPr>
        <w:t>公用经费用途主要包括</w:t>
      </w:r>
      <w:r>
        <w:rPr>
          <w:rFonts w:hint="eastAsia" w:ascii="Times New Roman" w:hAnsi="Times New Roman" w:eastAsia="方正仿宋_GBK" w:cs="方正仿宋_GBK"/>
          <w:sz w:val="32"/>
          <w:szCs w:val="32"/>
          <w:shd w:val="clear" w:fill="FFFFFF"/>
          <w:lang w:eastAsia="zh-CN"/>
        </w:rPr>
        <w:t>办公费、水电费、网络费、差旅费、劳务费等商品和服务支出。</w:t>
      </w: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（五）政府性基金预算收支决算情况说明</w:t>
      </w:r>
    </w:p>
    <w:p>
      <w:pPr>
        <w:pStyle w:val="6"/>
        <w:widowControl/>
        <w:spacing w:before="0" w:beforeAutospacing="0" w:line="600" w:lineRule="exact"/>
        <w:ind w:left="0" w:firstLine="640" w:firstLineChars="200"/>
        <w:jc w:val="both"/>
        <w:rPr>
          <w:rFonts w:hint="default"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本部门2023年度无政府性基金预算财政拨款收支。</w:t>
      </w: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（六）国有资本经营预算财政拨款支出决算情况说明</w:t>
      </w:r>
    </w:p>
    <w:p>
      <w:pPr>
        <w:pStyle w:val="6"/>
        <w:widowControl/>
        <w:spacing w:before="0" w:beforeAutospacing="0" w:line="600" w:lineRule="exact"/>
        <w:ind w:left="0" w:firstLine="640" w:firstLineChars="200"/>
        <w:jc w:val="both"/>
        <w:rPr>
          <w:rFonts w:hint="default" w:ascii="方正仿宋_GBK" w:hAnsi="方正仿宋_GBK" w:eastAsia="方正仿宋_GBK" w:cs="方正仿宋_GBK"/>
          <w:sz w:val="32"/>
          <w:szCs w:val="32"/>
          <w:shd w:val="clear" w:color="auto" w:fill="FFFFFF"/>
          <w:lang w:eastAsia="zh-CN"/>
        </w:rPr>
      </w:pPr>
      <w:r>
        <w:rPr>
          <w:rFonts w:hint="eastAsia" w:ascii="方正仿宋_GBK" w:hAnsi="方正仿宋_GBK" w:eastAsia="方正仿宋_GBK" w:cs="方正仿宋_GBK"/>
          <w:sz w:val="32"/>
          <w:szCs w:val="32"/>
          <w:shd w:val="clear" w:color="auto" w:fill="FFFFFF"/>
          <w:lang w:eastAsia="zh-CN"/>
        </w:rPr>
        <w:t>本部门2023年度无国有资本经营预算财政拨款支出。</w:t>
      </w:r>
    </w:p>
    <w:p>
      <w:pPr>
        <w:pStyle w:val="6"/>
        <w:shd w:val="clear" w:color="auto" w:fill="FFFFFF"/>
        <w:rPr>
          <w:rStyle w:val="8"/>
          <w:rFonts w:hint="eastAsia" w:ascii="黑体" w:hAnsi="黑体" w:eastAsia="黑体" w:cs="黑体"/>
          <w:sz w:val="32"/>
          <w:szCs w:val="32"/>
          <w:shd w:val="clear" w:color="auto" w:fill="FFFFFF"/>
        </w:rPr>
      </w:pPr>
      <w:r>
        <w:rPr>
          <w:rStyle w:val="8"/>
          <w:rFonts w:hint="eastAsia" w:ascii="黑体" w:hAnsi="黑体" w:eastAsia="黑体" w:cs="黑体"/>
          <w:sz w:val="32"/>
          <w:szCs w:val="32"/>
          <w:shd w:val="clear" w:color="auto" w:fill="FFFFFF"/>
        </w:rPr>
        <w:t>三、“三公”经费情况说明</w:t>
      </w: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xml:space="preserve"> （一）“三公”经费支出总体情况说明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2023年度“三公”经费支出共计</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（二）“三公”经费分项支出情况</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2023年度本部门因公出国（境）费用</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 公务车购置费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shd w:val="clear" w:color="auto" w:fill="FFFFFF"/>
          <w:lang w:eastAsia="zh-CN"/>
        </w:rPr>
      </w:pPr>
      <w:r>
        <w:rPr>
          <w:rFonts w:ascii="方正仿宋_GBK" w:hAnsi="方正仿宋_GBK" w:eastAsia="方正仿宋_GBK" w:cs="方正仿宋_GBK"/>
          <w:sz w:val="32"/>
          <w:szCs w:val="32"/>
          <w:shd w:val="clear" w:color="auto" w:fill="FFFFFF"/>
        </w:rPr>
        <w:t> 公务车运行维护费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公务接待费</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费用支出较年初预算数无增减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较上年支出数无增减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（三）“三公”经费实物量情况</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2023年度本部门因公出国（境）共计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个团组，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人；公务用车购置</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辆，公务车保有量为</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辆；国内公务接待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人，其中：国内外事接待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人；国（境）外公务接待</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批次，</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人。2023年本部门人均接待费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元，车均购置费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万元，车均维护费</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万元。</w:t>
      </w:r>
    </w:p>
    <w:p>
      <w:pPr>
        <w:pStyle w:val="6"/>
        <w:shd w:val="clear" w:color="auto" w:fill="FFFFFF"/>
        <w:rPr>
          <w:rStyle w:val="8"/>
          <w:rFonts w:hint="default" w:ascii="方正仿宋_GBK" w:hAnsi="方正仿宋_GBK" w:eastAsia="方正仿宋_GBK" w:cs="方正仿宋_GBK"/>
          <w:sz w:val="32"/>
          <w:szCs w:val="32"/>
          <w:shd w:val="clear" w:color="auto" w:fill="FFFFFF"/>
        </w:rPr>
      </w:pPr>
      <w:r>
        <w:rPr>
          <w:rStyle w:val="8"/>
          <w:rFonts w:hint="eastAsia" w:ascii="黑体" w:hAnsi="黑体" w:eastAsia="黑体" w:cs="黑体"/>
          <w:sz w:val="32"/>
          <w:szCs w:val="32"/>
          <w:shd w:val="clear" w:color="auto" w:fill="FFFFFF"/>
        </w:rPr>
        <w:t>四、其他需要说明的事项</w:t>
      </w: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  （一）财政拨款会议费和培训费情况说明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  本年度会议费支出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万元，较上年决算数无增减</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本年度培训费支出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万元，较上年决算数无变化</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（二）机关运行经费情况说明</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lang w:eastAsia="zh-CN"/>
        </w:rPr>
      </w:pPr>
      <w:r>
        <w:rPr>
          <w:rFonts w:ascii="方正仿宋_GBK" w:hAnsi="方正仿宋_GBK" w:eastAsia="方正仿宋_GBK" w:cs="方正仿宋_GBK"/>
          <w:sz w:val="32"/>
          <w:szCs w:val="32"/>
          <w:shd w:val="clear" w:color="auto" w:fill="FFFFFF"/>
        </w:rPr>
        <w:t>2023年度本部门机关运行经费支出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w:t>
      </w:r>
      <w:r>
        <w:rPr>
          <w:rFonts w:hint="eastAsia" w:ascii="方正仿宋_GBK" w:hAnsi="方正仿宋_GBK" w:eastAsia="方正仿宋_GBK" w:cs="方正仿宋_GBK"/>
          <w:sz w:val="32"/>
          <w:szCs w:val="32"/>
          <w:shd w:val="clear" w:color="auto" w:fill="FFFFFF"/>
          <w:lang w:eastAsia="zh-CN"/>
        </w:rPr>
        <w:t>。</w:t>
      </w:r>
      <w:r>
        <w:rPr>
          <w:rFonts w:ascii="方正仿宋_GBK" w:hAnsi="方正仿宋_GBK" w:eastAsia="方正仿宋_GBK" w:cs="方正仿宋_GBK"/>
          <w:sz w:val="32"/>
          <w:szCs w:val="32"/>
          <w:shd w:val="clear" w:color="auto" w:fill="FFFFFF"/>
        </w:rPr>
        <w:t>机关运行经费较上年支出数无增减</w:t>
      </w:r>
      <w:r>
        <w:rPr>
          <w:rFonts w:hint="eastAsia" w:ascii="方正仿宋_GBK" w:hAnsi="方正仿宋_GBK" w:eastAsia="方正仿宋_GBK" w:cs="方正仿宋_GBK"/>
          <w:sz w:val="32"/>
          <w:szCs w:val="32"/>
          <w:shd w:val="clear" w:color="auto" w:fill="FFFFFF"/>
          <w:lang w:eastAsia="zh-CN"/>
        </w:rPr>
        <w:t>。</w:t>
      </w: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（三）国有资产占用情况说明</w:t>
      </w:r>
    </w:p>
    <w:p>
      <w:pPr>
        <w:pStyle w:val="6"/>
        <w:snapToGrid w:val="0"/>
        <w:spacing w:before="0" w:beforeAutospacing="0" w:after="0" w:afterAutospacing="0" w:line="600" w:lineRule="exact"/>
        <w:ind w:firstLine="640" w:firstLineChars="200"/>
        <w:jc w:val="both"/>
        <w:rPr>
          <w:rFonts w:hint="default" w:ascii="方正仿宋_GBK" w:hAnsi="方正仿宋_GBK" w:eastAsia="方正仿宋_GBK" w:cs="方正仿宋_GBK"/>
          <w:sz w:val="32"/>
          <w:szCs w:val="32"/>
        </w:rPr>
      </w:pPr>
      <w:r>
        <w:rPr>
          <w:rFonts w:ascii="方正仿宋_GBK" w:hAnsi="方正仿宋_GBK" w:eastAsia="方正仿宋_GBK" w:cs="方正仿宋_GBK"/>
          <w:sz w:val="32"/>
          <w:szCs w:val="32"/>
          <w:shd w:val="clear" w:color="auto" w:fill="FFFFFF"/>
        </w:rPr>
        <w:t>  截至2023年12月31日，本部门共有车辆</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辆，其中，副部（省）级及以上领导用车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辆、主要负责人用车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辆、机要通信用车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辆、应急保障用车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辆、执法执勤用车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辆，特种专业技术用车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辆，离退休干部用车</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辆。单价100万元（含）以上专用设备</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台（套）。</w:t>
      </w:r>
    </w:p>
    <w:p>
      <w:pPr>
        <w:pStyle w:val="11"/>
        <w:autoSpaceDE w:val="0"/>
        <w:ind w:firstLine="640"/>
        <w:rPr>
          <w:rFonts w:hint="eastAsia" w:ascii="楷体" w:hAnsi="楷体" w:eastAsia="楷体" w:cs="楷体"/>
          <w:b/>
          <w:bCs/>
          <w:sz w:val="32"/>
          <w:szCs w:val="32"/>
          <w:shd w:val="clear" w:color="auto" w:fill="FFFFFF"/>
          <w:lang w:bidi="ar"/>
        </w:rPr>
      </w:pPr>
      <w:r>
        <w:rPr>
          <w:rFonts w:hint="eastAsia" w:ascii="楷体" w:hAnsi="楷体" w:eastAsia="楷体" w:cs="楷体"/>
          <w:b/>
          <w:bCs/>
          <w:sz w:val="32"/>
          <w:szCs w:val="32"/>
          <w:shd w:val="clear" w:color="auto" w:fill="FFFFFF"/>
          <w:lang w:bidi="ar"/>
        </w:rPr>
        <w:t>（四）政府采购支出情况说明</w:t>
      </w:r>
    </w:p>
    <w:p>
      <w:pPr>
        <w:pStyle w:val="6"/>
        <w:snapToGrid w:val="0"/>
        <w:spacing w:before="0" w:beforeAutospacing="0" w:after="0" w:afterAutospacing="0" w:line="600" w:lineRule="exact"/>
        <w:ind w:firstLine="1280" w:firstLineChars="400"/>
        <w:jc w:val="both"/>
        <w:rPr>
          <w:rFonts w:ascii="方正仿宋_GBK" w:hAnsi="方正仿宋_GBK" w:eastAsia="方正仿宋_GBK" w:cs="方正仿宋_GBK"/>
          <w:color w:val="FF0000"/>
          <w:sz w:val="32"/>
          <w:szCs w:val="32"/>
          <w:shd w:val="clear" w:color="auto" w:fill="FFFFFF"/>
        </w:rPr>
      </w:pPr>
      <w:r>
        <w:rPr>
          <w:rFonts w:ascii="方正仿宋_GBK" w:hAnsi="方正仿宋_GBK" w:eastAsia="方正仿宋_GBK" w:cs="方正仿宋_GBK"/>
          <w:sz w:val="32"/>
          <w:szCs w:val="32"/>
          <w:shd w:val="clear" w:color="auto" w:fill="FFFFFF"/>
        </w:rPr>
        <w:t>  2023年度本部门政府采购支出总额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万元，其中：政府采购货物支出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万元、政府采购工程支出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万元、政府采购服务支出</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万元。授予中小企业合同金额</w:t>
      </w:r>
      <w:r>
        <w:rPr>
          <w:rFonts w:ascii="方正仿宋_GBK" w:hAnsi="方正仿宋_GBK" w:eastAsia="方正仿宋_GBK" w:cs="方正仿宋_GBK"/>
          <w:sz w:val="32"/>
          <w:szCs w:val="32"/>
        </w:rPr>
        <w:t>0.00万</w:t>
      </w:r>
      <w:r>
        <w:rPr>
          <w:rFonts w:ascii="方正仿宋_GBK" w:hAnsi="方正仿宋_GBK" w:eastAsia="方正仿宋_GBK" w:cs="方正仿宋_GBK"/>
          <w:sz w:val="32"/>
          <w:szCs w:val="32"/>
          <w:shd w:val="clear" w:color="auto" w:fill="FFFFFF"/>
        </w:rPr>
        <w:t>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%，其中：授予小微企业合同金额</w:t>
      </w:r>
      <w:r>
        <w:rPr>
          <w:rFonts w:ascii="方正仿宋_GBK" w:hAnsi="方正仿宋_GBK" w:eastAsia="方正仿宋_GBK" w:cs="方正仿宋_GBK"/>
          <w:sz w:val="32"/>
          <w:szCs w:val="32"/>
        </w:rPr>
        <w:t>0.00</w:t>
      </w:r>
      <w:r>
        <w:rPr>
          <w:rFonts w:ascii="方正仿宋_GBK" w:hAnsi="方正仿宋_GBK" w:eastAsia="方正仿宋_GBK" w:cs="方正仿宋_GBK"/>
          <w:sz w:val="32"/>
          <w:szCs w:val="32"/>
          <w:shd w:val="clear" w:color="auto" w:fill="FFFFFF"/>
        </w:rPr>
        <w:t>万元，占政府采购支出总额的</w:t>
      </w:r>
      <w:r>
        <w:rPr>
          <w:rFonts w:ascii="方正仿宋_GBK" w:hAnsi="方正仿宋_GBK" w:eastAsia="方正仿宋_GBK" w:cs="方正仿宋_GBK"/>
          <w:sz w:val="32"/>
          <w:szCs w:val="32"/>
        </w:rPr>
        <w:t>0</w:t>
      </w:r>
      <w:r>
        <w:rPr>
          <w:rFonts w:ascii="方正仿宋_GBK" w:hAnsi="方正仿宋_GBK" w:eastAsia="方正仿宋_GBK" w:cs="方正仿宋_GBK"/>
          <w:sz w:val="32"/>
          <w:szCs w:val="32"/>
          <w:shd w:val="clear" w:color="auto" w:fill="FFFFFF"/>
        </w:rPr>
        <w:t xml:space="preserve"> %。</w:t>
      </w:r>
    </w:p>
    <w:p>
      <w:pPr>
        <w:pStyle w:val="6"/>
        <w:numPr>
          <w:ilvl w:val="0"/>
          <w:numId w:val="1"/>
        </w:numPr>
        <w:shd w:val="clear" w:color="auto" w:fill="FFFFFF"/>
        <w:rPr>
          <w:rStyle w:val="8"/>
          <w:rFonts w:hint="eastAsia" w:ascii="黑体" w:hAnsi="黑体" w:eastAsia="黑体" w:cs="黑体"/>
          <w:sz w:val="32"/>
          <w:szCs w:val="32"/>
          <w:shd w:val="clear" w:color="auto" w:fill="FFFFFF"/>
        </w:rPr>
      </w:pPr>
      <w:r>
        <w:rPr>
          <w:rStyle w:val="8"/>
          <w:rFonts w:hint="eastAsia" w:ascii="黑体" w:hAnsi="黑体" w:eastAsia="黑体" w:cs="黑体"/>
          <w:sz w:val="32"/>
          <w:szCs w:val="32"/>
          <w:shd w:val="clear" w:color="auto" w:fill="FFFFFF"/>
        </w:rPr>
        <w:t>预算绩效管理情况说明</w:t>
      </w:r>
    </w:p>
    <w:p>
      <w:pPr>
        <w:pStyle w:val="6"/>
        <w:widowControl/>
        <w:shd w:val="clear" w:fill="FFFFFF"/>
        <w:rPr>
          <w:rFonts w:hint="eastAsia" w:ascii="方正仿宋_GBK" w:hAnsi="方正仿宋_GBK" w:eastAsia="方正仿宋_GBK" w:cs="方正仿宋_GBK"/>
          <w:bCs w:val="0"/>
          <w:sz w:val="32"/>
          <w:szCs w:val="32"/>
          <w:shd w:val="clear" w:fill="FFFFFF"/>
          <w:lang w:val="en-US"/>
        </w:rPr>
      </w:pPr>
      <w:r>
        <w:rPr>
          <w:rStyle w:val="8"/>
          <w:rFonts w:hint="eastAsia" w:ascii="方正仿宋_GBK" w:hAnsi="方正仿宋_GBK" w:eastAsia="方正仿宋_GBK" w:cs="方正仿宋_GBK"/>
          <w:bCs w:val="0"/>
          <w:sz w:val="32"/>
          <w:szCs w:val="32"/>
          <w:shd w:val="clear" w:fill="FFFFFF"/>
          <w:lang w:eastAsia="zh-CN"/>
        </w:rPr>
        <w:t>（一）预算绩效管理工作开展情况</w:t>
      </w:r>
    </w:p>
    <w:p>
      <w:pPr>
        <w:pStyle w:val="6"/>
        <w:widowControl/>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sz w:val="32"/>
          <w:szCs w:val="32"/>
          <w:shd w:val="clear" w:fill="FFFFFF"/>
          <w:lang w:val="en-US"/>
        </w:rPr>
      </w:pPr>
      <w:r>
        <w:rPr>
          <w:rFonts w:hint="eastAsia" w:ascii="方正仿宋_GBK" w:hAnsi="方正仿宋_GBK" w:eastAsia="方正仿宋_GBK" w:cs="方正仿宋_GBK"/>
          <w:sz w:val="32"/>
          <w:szCs w:val="32"/>
          <w:shd w:val="clear" w:fill="FFFFFF"/>
          <w:lang w:eastAsia="zh-CN"/>
        </w:rPr>
        <w:t>根据预算绩效管理要求，我单位对部门整体开展了绩效自评，经核实，本部门</w:t>
      </w:r>
      <w:r>
        <w:rPr>
          <w:rFonts w:hint="eastAsia" w:ascii="方正仿宋_GBK" w:hAnsi="方正仿宋_GBK" w:eastAsia="方正仿宋_GBK" w:cs="方正仿宋_GBK"/>
          <w:sz w:val="32"/>
          <w:szCs w:val="32"/>
          <w:shd w:val="clear" w:fill="FFFFFF"/>
          <w:lang w:val="en-US"/>
        </w:rPr>
        <w:t>2023</w:t>
      </w:r>
      <w:r>
        <w:rPr>
          <w:rFonts w:hint="eastAsia" w:ascii="方正仿宋_GBK" w:hAnsi="方正仿宋_GBK" w:eastAsia="方正仿宋_GBK" w:cs="方正仿宋_GBK"/>
          <w:sz w:val="32"/>
          <w:szCs w:val="32"/>
          <w:shd w:val="clear" w:fill="FFFFFF"/>
          <w:lang w:eastAsia="zh-CN"/>
        </w:rPr>
        <w:t>年度无项目支出。</w:t>
      </w:r>
    </w:p>
    <w:p>
      <w:pPr>
        <w:pStyle w:val="6"/>
        <w:widowControl/>
        <w:shd w:val="clear" w:fill="FFFFFF"/>
        <w:rPr>
          <w:rFonts w:hint="eastAsia" w:ascii="方正仿宋_GBK" w:hAnsi="方正仿宋_GBK" w:eastAsia="方正仿宋_GBK" w:cs="方正仿宋_GBK"/>
          <w:bCs w:val="0"/>
          <w:sz w:val="32"/>
          <w:szCs w:val="32"/>
          <w:shd w:val="clear" w:fill="FFFFFF"/>
          <w:lang w:val="en-US"/>
        </w:rPr>
      </w:pPr>
      <w:r>
        <w:rPr>
          <w:rStyle w:val="8"/>
          <w:rFonts w:hint="eastAsia" w:ascii="方正仿宋_GBK" w:hAnsi="方正仿宋_GBK" w:eastAsia="方正仿宋_GBK" w:cs="方正仿宋_GBK"/>
          <w:bCs w:val="0"/>
          <w:sz w:val="32"/>
          <w:szCs w:val="32"/>
          <w:shd w:val="clear" w:fill="FFFFFF"/>
          <w:lang w:eastAsia="zh-CN"/>
        </w:rPr>
        <w:t>（二）绩效自评结果。</w:t>
      </w:r>
    </w:p>
    <w:p>
      <w:pPr>
        <w:pStyle w:val="6"/>
        <w:widowControl/>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sz w:val="32"/>
          <w:szCs w:val="32"/>
          <w:shd w:val="clear" w:fill="FFFFFF"/>
          <w:lang w:val="en-US"/>
        </w:rPr>
      </w:pPr>
      <w:r>
        <w:rPr>
          <w:rFonts w:hint="eastAsia" w:ascii="方正仿宋_GBK" w:hAnsi="方正仿宋_GBK" w:eastAsia="方正仿宋_GBK" w:cs="方正仿宋_GBK"/>
          <w:sz w:val="32"/>
          <w:szCs w:val="32"/>
          <w:shd w:val="clear" w:fill="FFFFFF"/>
          <w:lang w:val="en-US"/>
        </w:rPr>
        <w:t>1.</w:t>
      </w:r>
      <w:r>
        <w:rPr>
          <w:rFonts w:hint="eastAsia" w:ascii="方正仿宋_GBK" w:hAnsi="方正仿宋_GBK" w:eastAsia="方正仿宋_GBK" w:cs="方正仿宋_GBK"/>
          <w:sz w:val="32"/>
          <w:szCs w:val="32"/>
          <w:shd w:val="clear" w:fill="FFFFFF"/>
          <w:lang w:eastAsia="zh-CN"/>
        </w:rPr>
        <w:t>绩效目标自评表：无</w:t>
      </w:r>
    </w:p>
    <w:p>
      <w:pPr>
        <w:pStyle w:val="6"/>
        <w:widowControl/>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sz w:val="32"/>
          <w:szCs w:val="32"/>
          <w:shd w:val="clear" w:fill="FFFFFF"/>
          <w:lang w:val="en-US"/>
        </w:rPr>
      </w:pPr>
      <w:r>
        <w:rPr>
          <w:rFonts w:hint="eastAsia" w:ascii="方正仿宋_GBK" w:hAnsi="方正仿宋_GBK" w:eastAsia="方正仿宋_GBK" w:cs="方正仿宋_GBK"/>
          <w:sz w:val="32"/>
          <w:szCs w:val="32"/>
          <w:shd w:val="clear" w:fill="FFFFFF"/>
          <w:lang w:val="en-US"/>
        </w:rPr>
        <w:t>2.</w:t>
      </w:r>
      <w:r>
        <w:rPr>
          <w:rFonts w:hint="eastAsia" w:ascii="方正仿宋_GBK" w:hAnsi="方正仿宋_GBK" w:eastAsia="方正仿宋_GBK" w:cs="方正仿宋_GBK"/>
          <w:sz w:val="32"/>
          <w:szCs w:val="32"/>
          <w:shd w:val="clear" w:fill="FFFFFF"/>
          <w:lang w:eastAsia="zh-CN"/>
        </w:rPr>
        <w:t>绩效自评报告或案例：无</w:t>
      </w:r>
    </w:p>
    <w:p>
      <w:pPr>
        <w:pStyle w:val="6"/>
        <w:widowControl/>
        <w:snapToGrid w:val="0"/>
        <w:spacing w:before="0" w:beforeAutospacing="0" w:after="0" w:afterAutospacing="0" w:line="600" w:lineRule="exact"/>
        <w:ind w:left="0" w:right="0" w:firstLine="640" w:firstLineChars="200"/>
        <w:jc w:val="both"/>
        <w:rPr>
          <w:rFonts w:hint="eastAsia" w:ascii="方正仿宋_GBK" w:hAnsi="方正仿宋_GBK" w:eastAsia="方正仿宋_GBK" w:cs="方正仿宋_GBK"/>
          <w:sz w:val="32"/>
          <w:szCs w:val="32"/>
          <w:shd w:val="clear" w:fill="FFFFFF"/>
          <w:lang w:val="en-US"/>
        </w:rPr>
      </w:pPr>
      <w:r>
        <w:rPr>
          <w:rFonts w:hint="eastAsia" w:ascii="方正仿宋_GBK" w:hAnsi="方正仿宋_GBK" w:eastAsia="方正仿宋_GBK" w:cs="方正仿宋_GBK"/>
          <w:sz w:val="32"/>
          <w:szCs w:val="32"/>
          <w:shd w:val="clear" w:fill="FFFFFF"/>
          <w:lang w:val="en-US"/>
        </w:rPr>
        <w:t>3.</w:t>
      </w:r>
      <w:r>
        <w:rPr>
          <w:rFonts w:hint="eastAsia" w:ascii="方正仿宋_GBK" w:hAnsi="方正仿宋_GBK" w:eastAsia="方正仿宋_GBK" w:cs="方正仿宋_GBK"/>
          <w:sz w:val="32"/>
          <w:szCs w:val="32"/>
          <w:shd w:val="clear" w:fill="FFFFFF"/>
          <w:lang w:eastAsia="zh-CN"/>
        </w:rPr>
        <w:t>关于绩效自评结果的说明：无</w:t>
      </w:r>
    </w:p>
    <w:p>
      <w:pPr>
        <w:pStyle w:val="6"/>
        <w:shd w:val="clear" w:color="auto" w:fill="FFFFFF"/>
        <w:rPr>
          <w:rStyle w:val="8"/>
          <w:rFonts w:hint="eastAsia" w:ascii="方正仿宋_GBK" w:hAnsi="方正仿宋_GBK" w:eastAsia="方正仿宋_GBK" w:cs="方正仿宋_GBK"/>
          <w:sz w:val="32"/>
          <w:szCs w:val="32"/>
          <w:shd w:val="clear" w:color="auto" w:fill="FFFFFF"/>
          <w:lang w:val="en-US" w:eastAsia="zh-CN"/>
        </w:rPr>
      </w:pPr>
      <w:r>
        <w:rPr>
          <w:rStyle w:val="8"/>
          <w:rFonts w:hint="eastAsia" w:ascii="方正仿宋_GBK" w:hAnsi="方正仿宋_GBK" w:eastAsia="方正仿宋_GBK" w:cs="方正仿宋_GBK"/>
          <w:sz w:val="32"/>
          <w:szCs w:val="32"/>
          <w:shd w:val="clear" w:color="auto" w:fill="FFFFFF"/>
          <w:lang w:val="en-US" w:eastAsia="zh-CN"/>
        </w:rPr>
        <w:t xml:space="preserve">  </w:t>
      </w:r>
      <w:r>
        <w:rPr>
          <w:rStyle w:val="8"/>
          <w:rFonts w:hint="eastAsia" w:ascii="黑体" w:hAnsi="黑体" w:eastAsia="黑体" w:cs="黑体"/>
          <w:sz w:val="32"/>
          <w:szCs w:val="32"/>
          <w:shd w:val="clear" w:color="auto" w:fill="FFFFFF"/>
          <w:lang w:val="en-US" w:eastAsia="zh-CN"/>
        </w:rPr>
        <w:t>六、专业名词解释</w:t>
      </w:r>
    </w:p>
    <w:p>
      <w:pPr>
        <w:pStyle w:val="6"/>
        <w:snapToGrid w:val="0"/>
        <w:spacing w:before="0" w:beforeAutospacing="0" w:after="0" w:afterAutospacing="0" w:line="600" w:lineRule="exact"/>
        <w:ind w:firstLine="640"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shd w:val="clear" w:color="auto" w:fill="FFFFFF"/>
        </w:rPr>
        <w:t>以下为常见专业名词解释目录，仅供参考，</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Fonts w:hint="eastAsia" w:ascii="方正仿宋_GBK" w:hAnsi="方正仿宋_GBK" w:eastAsia="方正仿宋_GBK" w:cs="方正仿宋_GBK"/>
          <w:b/>
          <w:bCs/>
          <w:kern w:val="0"/>
          <w:sz w:val="32"/>
          <w:szCs w:val="32"/>
          <w:shd w:val="clear" w:color="auto" w:fill="FFFFFF"/>
          <w:lang w:val="en-US" w:eastAsia="zh-CN" w:bidi="ar"/>
        </w:rPr>
        <w:t> </w:t>
      </w:r>
      <w:r>
        <w:rPr>
          <w:rFonts w:hint="eastAsia" w:ascii="楷体" w:hAnsi="楷体" w:eastAsia="楷体" w:cs="楷体"/>
          <w:b/>
          <w:bCs/>
          <w:kern w:val="0"/>
          <w:sz w:val="32"/>
          <w:szCs w:val="32"/>
          <w:shd w:val="clear" w:color="auto" w:fill="FFFFFF"/>
          <w:lang w:val="en-US" w:eastAsia="zh-CN" w:bidi="ar"/>
        </w:rPr>
        <w:t>（一）财政拨款收入：</w:t>
      </w:r>
      <w:r>
        <w:rPr>
          <w:rFonts w:hint="eastAsia" w:ascii="方正仿宋_GBK" w:hAnsi="方正仿宋_GBK" w:eastAsia="方正仿宋_GBK" w:cs="方正仿宋_GBK"/>
          <w:sz w:val="32"/>
          <w:szCs w:val="32"/>
          <w:shd w:val="clear" w:color="auto" w:fill="FFFFFF"/>
        </w:rPr>
        <w:t>指本年度从本级财政部门取得的财政拨款，包括一般公共预算财政拨款和政府性基金预算财政拨款。</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（二）事业收入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指事业单位开展专业业务活动及其辅助活动取得的现金流入；事业单位收到的财政专户实际核拨的教育收费等资金在此反映。</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（三）经营收入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指事业单位在专业业务活动及其辅助活动之外开展非独立核算经营活动取得的现金流入。</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（四）其他收入</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楷体" w:hAnsi="楷体" w:eastAsia="楷体" w:cs="楷体"/>
          <w:sz w:val="32"/>
          <w:szCs w:val="32"/>
          <w:shd w:val="clear" w:color="auto" w:fill="FFFFFF"/>
        </w:rPr>
        <w:t>（五）使用非财政拨款结余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指单位在当年的“财政拨款收入”、“事业收入”、“经营收入”、“其他收入”等不足以安排当年支出的情况下，使用以前年度积累的非财政拨款结余弥补本年度收支缺口的资金。</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（六）年初结转和结余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指单位上年结转本年使用的基本支出结转、项目支出结转和结余、经营结余。</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（七）结余分配</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指单位按照国家有关规定，缴纳所得税、提取专用基金、转入非财政拨款结余等当年结余的分配情况。</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（八）年末结转和结余</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指单位结转下年的基本支出结转、项目支出结转和结余、经营结余。</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（九）基本支出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分类经济科目中除“工资福利支出”和“对个人和家庭的补助”外的其他支出。</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（十）项目支出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指在基本支出之外为完成特定行政任务和事业发展目标所发生的支出。</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（十一）经营支出</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指事业单位在专业业务活动及其辅助活动之外开展非独立核算经营活动发生的支出。</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（十二）“三公”经费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指用一般公共预算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（十三）机关运行经费</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为保障行政单位（含参照公务员法管理的事业单位）运行用于购买货物和服务等的各项公用经费，包括办公及印刷费、邮电费、差旅费、会议费、福利费、日常维护费、专用材料及一般设备购置费、办公用房水电费、办公用房取暖费、办公用房物业管理费、公务用车运行维护费以及其他费用。</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（十四）工资福利支出（支出经济分类科目类级）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反映单位开支的在职职工和编制外长期聘用人员的各类劳动报酬，以及为上述人员缴纳的各项社会保险费等。</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（十五）商品和服务支出（支出经济分类科目类级）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反映单位购买商品和服务的支出（不包括用于购置固定资产的支出、战略性和应急储备支出）。</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楷体" w:hAnsi="楷体" w:eastAsia="楷体" w:cs="楷体"/>
          <w:sz w:val="32"/>
          <w:szCs w:val="32"/>
          <w:shd w:val="clear" w:color="auto" w:fill="FFFFFF"/>
        </w:rPr>
        <w:t> （十六）对个人和家庭的补助（支出经济分类科目类级）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反映用于对个人和家庭的补助支出。</w:t>
      </w:r>
    </w:p>
    <w:p>
      <w:pPr>
        <w:pStyle w:val="6"/>
        <w:snapToGrid w:val="0"/>
        <w:spacing w:before="0" w:beforeAutospacing="0" w:after="0" w:afterAutospacing="0" w:line="600" w:lineRule="exact"/>
        <w:ind w:firstLine="643" w:firstLineChars="200"/>
        <w:jc w:val="both"/>
        <w:rPr>
          <w:rFonts w:hint="eastAsia" w:ascii="方正仿宋_GBK" w:hAnsi="方正仿宋_GBK" w:eastAsia="方正仿宋_GBK" w:cs="方正仿宋_GBK"/>
          <w:sz w:val="32"/>
          <w:szCs w:val="32"/>
        </w:rPr>
      </w:pPr>
      <w:r>
        <w:rPr>
          <w:rStyle w:val="8"/>
          <w:rFonts w:hint="eastAsia" w:ascii="方正仿宋_GBK" w:hAnsi="方正仿宋_GBK" w:eastAsia="方正仿宋_GBK" w:cs="方正仿宋_GBK"/>
          <w:sz w:val="32"/>
          <w:szCs w:val="32"/>
          <w:shd w:val="clear" w:color="auto" w:fill="FFFFFF"/>
        </w:rPr>
        <w:t> </w:t>
      </w:r>
      <w:r>
        <w:rPr>
          <w:rStyle w:val="8"/>
          <w:rFonts w:hint="eastAsia" w:ascii="楷体" w:hAnsi="楷体" w:eastAsia="楷体" w:cs="楷体"/>
          <w:sz w:val="32"/>
          <w:szCs w:val="32"/>
          <w:shd w:val="clear" w:color="auto" w:fill="FFFFFF"/>
        </w:rPr>
        <w:t>（十七）其他资本性支出（支出经济分类科目类级）</w:t>
      </w:r>
      <w:r>
        <w:rPr>
          <w:rFonts w:hint="eastAsia" w:ascii="楷体" w:hAnsi="楷体" w:eastAsia="楷体" w:cs="楷体"/>
          <w:sz w:val="32"/>
          <w:szCs w:val="32"/>
          <w:shd w:val="clear" w:color="auto" w:fill="FFFFFF"/>
        </w:rPr>
        <w:t>：</w:t>
      </w:r>
      <w:r>
        <w:rPr>
          <w:rFonts w:hint="eastAsia" w:ascii="方正仿宋_GBK" w:hAnsi="方正仿宋_GBK" w:eastAsia="方正仿宋_GBK" w:cs="方正仿宋_GBK"/>
          <w:sz w:val="32"/>
          <w:szCs w:val="32"/>
          <w:shd w:val="clear" w:color="auto" w:fill="FFFFFF"/>
        </w:rPr>
        <w:t>反映非各级发展与改革部门集中安排的用于购置固定资产、战略性和应急性储备、土地和无形资产，以及构建基础设施、大型修缮和财政支持企业</w:t>
      </w:r>
      <w:bookmarkStart w:id="0" w:name="_GoBack"/>
      <w:bookmarkEnd w:id="0"/>
      <w:r>
        <w:rPr>
          <w:rFonts w:hint="eastAsia" w:ascii="方正仿宋_GBK" w:hAnsi="方正仿宋_GBK" w:eastAsia="方正仿宋_GBK" w:cs="方正仿宋_GBK"/>
          <w:sz w:val="32"/>
          <w:szCs w:val="32"/>
          <w:shd w:val="clear" w:color="auto" w:fill="FFFFFF"/>
        </w:rPr>
        <w:t>更新改造所发生的支出。</w:t>
      </w:r>
    </w:p>
    <w:p>
      <w:pPr>
        <w:pStyle w:val="6"/>
        <w:shd w:val="clear" w:color="auto" w:fill="FFFFFF"/>
        <w:rPr>
          <w:rStyle w:val="8"/>
          <w:rFonts w:hint="eastAsia" w:ascii="方正仿宋_GBK" w:hAnsi="方正仿宋_GBK" w:eastAsia="方正仿宋_GBK" w:cs="方正仿宋_GBK"/>
          <w:sz w:val="32"/>
          <w:szCs w:val="32"/>
          <w:shd w:val="clear" w:color="auto" w:fill="FFFFFF"/>
          <w:lang w:val="en-US" w:eastAsia="zh-CN"/>
        </w:rPr>
      </w:pPr>
      <w:r>
        <w:rPr>
          <w:rStyle w:val="8"/>
          <w:rFonts w:hint="eastAsia" w:ascii="方正仿宋_GBK" w:hAnsi="方正仿宋_GBK" w:eastAsia="方正仿宋_GBK" w:cs="方正仿宋_GBK"/>
          <w:sz w:val="32"/>
          <w:szCs w:val="32"/>
          <w:shd w:val="clear" w:color="auto" w:fill="FFFFFF"/>
          <w:lang w:val="en-US" w:eastAsia="zh-CN"/>
        </w:rPr>
        <w:t xml:space="preserve">  </w:t>
      </w:r>
      <w:r>
        <w:rPr>
          <w:rStyle w:val="8"/>
          <w:rFonts w:hint="eastAsia" w:ascii="黑体" w:hAnsi="黑体" w:eastAsia="黑体" w:cs="黑体"/>
          <w:sz w:val="32"/>
          <w:szCs w:val="32"/>
          <w:shd w:val="clear" w:color="auto" w:fill="FFFFFF"/>
          <w:lang w:val="en-US" w:eastAsia="zh-CN"/>
        </w:rPr>
        <w:t>七、决算公开联系方式及信息反馈渠道</w:t>
      </w:r>
    </w:p>
    <w:p>
      <w:pPr>
        <w:pStyle w:val="11"/>
        <w:autoSpaceDE w:val="0"/>
        <w:ind w:firstLine="0" w:firstLineChars="0"/>
        <w:rPr>
          <w:rFonts w:hint="default" w:ascii="方正仿宋_GBK" w:hAnsi="方正仿宋_GBK" w:eastAsia="方正仿宋_GBK" w:cs="方正仿宋_GBK"/>
          <w:sz w:val="32"/>
          <w:szCs w:val="32"/>
          <w:shd w:val="clear" w:color="auto" w:fill="FFFFFF"/>
          <w:lang w:val="en-US" w:eastAsia="zh-CN"/>
        </w:rPr>
      </w:pPr>
      <w:r>
        <w:rPr>
          <w:rFonts w:hint="eastAsia" w:ascii="方正仿宋_GBK" w:hAnsi="方正仿宋_GBK" w:eastAsia="方正仿宋_GBK" w:cs="方正仿宋_GBK"/>
          <w:sz w:val="32"/>
          <w:szCs w:val="32"/>
          <w:shd w:val="clear" w:color="auto" w:fill="FFFFFF"/>
        </w:rPr>
        <w:t>本单位决算公开信息反馈和联系方式：</w:t>
      </w:r>
      <w:r>
        <w:rPr>
          <w:rFonts w:hint="eastAsia" w:ascii="方正仿宋_GBK" w:hAnsi="方正仿宋_GBK" w:eastAsia="方正仿宋_GBK" w:cs="方正仿宋_GBK"/>
          <w:sz w:val="32"/>
          <w:szCs w:val="32"/>
          <w:shd w:val="clear" w:color="auto" w:fill="FFFFFF"/>
          <w:lang w:val="en-US" w:eastAsia="zh-CN"/>
        </w:rPr>
        <w:t>02344275516</w:t>
      </w:r>
    </w:p>
    <w:p>
      <w:pPr>
        <w:pStyle w:val="11"/>
        <w:autoSpaceDE w:val="0"/>
        <w:ind w:firstLine="0" w:firstLineChars="0"/>
        <w:rPr>
          <w:rStyle w:val="8"/>
          <w:rFonts w:ascii="方正仿宋_GBK" w:hAnsi="方正仿宋_GBK" w:eastAsia="方正仿宋_GBK" w:cs="方正仿宋_GBK"/>
          <w:sz w:val="32"/>
          <w:szCs w:val="32"/>
          <w:shd w:val="clear" w:color="auto" w:fill="FFFF00"/>
        </w:rPr>
      </w:pPr>
    </w:p>
    <w:p>
      <w:pPr>
        <w:pStyle w:val="11"/>
        <w:autoSpaceDE w:val="0"/>
        <w:ind w:firstLine="0" w:firstLineChars="0"/>
        <w:rPr>
          <w:rStyle w:val="8"/>
          <w:rFonts w:ascii="方正仿宋_GBK" w:hAnsi="方正仿宋_GBK" w:eastAsia="方正仿宋_GBK" w:cs="方正仿宋_GBK"/>
          <w:sz w:val="32"/>
          <w:szCs w:val="32"/>
          <w:shd w:val="clear" w:color="auto" w:fill="FFFF00"/>
        </w:rPr>
      </w:pPr>
    </w:p>
    <w:p>
      <w:pPr>
        <w:pStyle w:val="11"/>
        <w:autoSpaceDE w:val="0"/>
        <w:ind w:firstLine="0" w:firstLineChars="0"/>
        <w:rPr>
          <w:rStyle w:val="8"/>
          <w:rFonts w:hint="eastAsia" w:ascii="方正仿宋_GBK" w:hAnsi="方正仿宋_GBK" w:eastAsia="方正仿宋_GBK" w:cs="方正仿宋_GBK"/>
          <w:sz w:val="32"/>
          <w:szCs w:val="32"/>
          <w:shd w:val="clear" w:color="auto" w:fill="FFFF00"/>
        </w:rPr>
        <w:sectPr>
          <w:footerReference r:id="rId3" w:type="default"/>
          <w:pgSz w:w="11915" w:h="16840"/>
          <w:pgMar w:top="1440" w:right="1800" w:bottom="1440" w:left="1800" w:header="851" w:footer="992" w:gutter="0"/>
          <w:pgNumType w:fmt="numberInDash"/>
          <w:cols w:space="720" w:num="1"/>
          <w:docGrid w:type="lines" w:linePitch="312" w:charSpace="0"/>
        </w:sectPr>
      </w:pPr>
    </w:p>
    <w:p>
      <w:pPr>
        <w:rPr>
          <w:rFonts w:hint="eastAsia" w:ascii="宋体" w:hAnsi="宋体" w:eastAsia="宋体" w:cs="宋体"/>
          <w:sz w:val="21"/>
          <w:szCs w:val="21"/>
        </w:rPr>
      </w:pPr>
    </w:p>
    <w:tbl>
      <w:tblPr>
        <w:tblStyle w:val="9"/>
        <w:tblW w:w="22292" w:type="dxa"/>
        <w:tblInd w:w="0" w:type="dxa"/>
        <w:shd w:val="clear" w:color="auto" w:fill="auto"/>
        <w:tblLayout w:type="fixed"/>
        <w:tblCellMar>
          <w:top w:w="0" w:type="dxa"/>
          <w:left w:w="0" w:type="dxa"/>
          <w:bottom w:w="0" w:type="dxa"/>
          <w:right w:w="0" w:type="dxa"/>
        </w:tblCellMar>
      </w:tblPr>
      <w:tblGrid>
        <w:gridCol w:w="6581"/>
        <w:gridCol w:w="4358"/>
        <w:gridCol w:w="7536"/>
        <w:gridCol w:w="3817"/>
      </w:tblGrid>
      <w:tr>
        <w:tblPrEx>
          <w:shd w:val="clear" w:color="auto" w:fill="auto"/>
          <w:tblLayout w:type="fixed"/>
          <w:tblCellMar>
            <w:top w:w="0" w:type="dxa"/>
            <w:left w:w="0" w:type="dxa"/>
            <w:bottom w:w="0" w:type="dxa"/>
            <w:right w:w="0" w:type="dxa"/>
          </w:tblCellMar>
        </w:tblPrEx>
        <w:trPr>
          <w:trHeight w:val="565" w:hRule="atLeast"/>
        </w:trPr>
        <w:tc>
          <w:tcPr>
            <w:tcW w:w="22292" w:type="dxa"/>
            <w:gridSpan w:val="4"/>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收入支出决算总表</w:t>
            </w:r>
          </w:p>
        </w:tc>
      </w:tr>
      <w:tr>
        <w:tblPrEx>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81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公开01表</w:t>
            </w:r>
          </w:p>
        </w:tc>
      </w:tr>
      <w:tr>
        <w:tblPrEx>
          <w:tblLayout w:type="fixed"/>
          <w:tblCellMar>
            <w:top w:w="0" w:type="dxa"/>
            <w:left w:w="0" w:type="dxa"/>
            <w:bottom w:w="0" w:type="dxa"/>
            <w:right w:w="0" w:type="dxa"/>
          </w:tblCellMar>
        </w:tblPrEx>
        <w:trPr>
          <w:trHeight w:val="289" w:hRule="atLeast"/>
        </w:trPr>
        <w:tc>
          <w:tcPr>
            <w:tcW w:w="658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eastAsia" w:ascii="宋体" w:hAnsi="宋体" w:eastAsia="宋体" w:cs="宋体"/>
                <w:i w:val="0"/>
                <w:color w:val="000000"/>
                <w:sz w:val="24"/>
                <w:szCs w:val="24"/>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重庆市潼南区寿桥镇村镇建设服务中心</w:t>
            </w:r>
          </w:p>
        </w:tc>
        <w:tc>
          <w:tcPr>
            <w:tcW w:w="4358"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2"/>
                <w:szCs w:val="22"/>
                <w:u w:val="none"/>
              </w:rPr>
            </w:pPr>
          </w:p>
        </w:tc>
        <w:tc>
          <w:tcPr>
            <w:tcW w:w="75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3817"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298" w:hRule="atLeast"/>
        </w:trPr>
        <w:tc>
          <w:tcPr>
            <w:tcW w:w="1093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收入</w:t>
            </w:r>
          </w:p>
        </w:tc>
        <w:tc>
          <w:tcPr>
            <w:tcW w:w="11353" w:type="dxa"/>
            <w:gridSpan w:val="2"/>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支出</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4358"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lang w:eastAsia="zh-CN"/>
              </w:rPr>
            </w:pPr>
            <w:r>
              <w:rPr>
                <w:rFonts w:hint="eastAsia" w:cs="宋体"/>
                <w:b/>
                <w:i w:val="0"/>
                <w:color w:val="000000"/>
                <w:sz w:val="22"/>
                <w:szCs w:val="22"/>
                <w:u w:val="none"/>
                <w:lang w:eastAsia="zh-CN"/>
              </w:rPr>
              <w:t>功能分类科目</w:t>
            </w:r>
          </w:p>
        </w:tc>
        <w:tc>
          <w:tcPr>
            <w:tcW w:w="3817"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38.25</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四、上级补助收入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五、事业收入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六、经营收入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七、附属单位上缴收入</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八、其他收入</w:t>
            </w:r>
          </w:p>
        </w:tc>
        <w:tc>
          <w:tcPr>
            <w:tcW w:w="4358" w:type="dxa"/>
            <w:tcBorders>
              <w:top w:val="nil"/>
              <w:left w:val="nil"/>
              <w:bottom w:val="nil"/>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3.44</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1.76</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30.97</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0.16</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val="0"/>
                <w:bCs w:val="0"/>
                <w:i w:val="0"/>
                <w:color w:val="000000"/>
                <w:sz w:val="22"/>
                <w:szCs w:val="22"/>
                <w:u w:val="none"/>
                <w:lang w:val="en-US" w:eastAsia="zh-CN"/>
              </w:rPr>
            </w:pPr>
            <w:r>
              <w:rPr>
                <w:rFonts w:hint="eastAsia" w:ascii="宋体" w:hAnsi="宋体" w:eastAsia="宋体" w:cs="宋体"/>
                <w:b w:val="0"/>
                <w:bCs w:val="0"/>
                <w:color w:val="000000"/>
                <w:sz w:val="21"/>
                <w:szCs w:val="21"/>
                <w:lang w:bidi="ar"/>
              </w:rPr>
              <w:t>1.93</w:t>
            </w: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38.25</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default"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38.25</w:t>
            </w: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使用非财政拨款结余和专用结余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结余分配</w:t>
            </w:r>
          </w:p>
        </w:tc>
        <w:tc>
          <w:tcPr>
            <w:tcW w:w="3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298"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年初结转和结余</w:t>
            </w:r>
          </w:p>
        </w:tc>
        <w:tc>
          <w:tcPr>
            <w:tcW w:w="43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年末结转和结余</w:t>
            </w:r>
          </w:p>
        </w:tc>
        <w:tc>
          <w:tcPr>
            <w:tcW w:w="3817" w:type="dxa"/>
            <w:tcBorders>
              <w:top w:val="nil"/>
              <w:left w:val="nil"/>
              <w:bottom w:val="single" w:color="auto"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7" w:hRule="atLeast"/>
        </w:trPr>
        <w:tc>
          <w:tcPr>
            <w:tcW w:w="6581" w:type="dxa"/>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435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38.25</w:t>
            </w:r>
            <w:r>
              <w:rPr>
                <w:rFonts w:hint="eastAsia" w:cs="宋体"/>
                <w:color w:val="000000"/>
                <w:sz w:val="21"/>
                <w:szCs w:val="21"/>
                <w:lang w:val="en-US" w:eastAsia="zh-CN" w:bidi="ar"/>
              </w:rPr>
              <w:t xml:space="preserve"> </w:t>
            </w:r>
          </w:p>
        </w:tc>
        <w:tc>
          <w:tcPr>
            <w:tcW w:w="7536" w:type="dxa"/>
            <w:tcBorders>
              <w:top w:val="nil"/>
              <w:left w:val="nil"/>
              <w:bottom w:val="single" w:color="000000" w:sz="4" w:space="0"/>
              <w:right w:val="single" w:color="auto"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3817"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38.25</w:t>
            </w:r>
            <w:r>
              <w:rPr>
                <w:rFonts w:hint="eastAsia" w:cs="宋体"/>
                <w:color w:val="000000"/>
                <w:sz w:val="21"/>
                <w:szCs w:val="21"/>
                <w:lang w:val="en-US" w:eastAsia="zh-CN" w:bidi="ar"/>
              </w:rPr>
              <w:t xml:space="preserve"> </w:t>
            </w:r>
          </w:p>
        </w:tc>
      </w:tr>
    </w:tbl>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9"/>
        <w:tblW w:w="22220" w:type="dxa"/>
        <w:tblInd w:w="0" w:type="dxa"/>
        <w:shd w:val="clear" w:color="auto" w:fill="auto"/>
        <w:tblLayout w:type="fixed"/>
        <w:tblCellMar>
          <w:top w:w="0" w:type="dxa"/>
          <w:left w:w="0" w:type="dxa"/>
          <w:bottom w:w="0" w:type="dxa"/>
          <w:right w:w="0" w:type="dxa"/>
        </w:tblCellMar>
      </w:tblPr>
      <w:tblGrid>
        <w:gridCol w:w="1941"/>
        <w:gridCol w:w="3317"/>
        <w:gridCol w:w="2412"/>
        <w:gridCol w:w="2399"/>
        <w:gridCol w:w="1963"/>
        <w:gridCol w:w="1963"/>
        <w:gridCol w:w="1963"/>
        <w:gridCol w:w="1963"/>
        <w:gridCol w:w="1963"/>
        <w:gridCol w:w="2336"/>
      </w:tblGrid>
      <w:tr>
        <w:tblPrEx>
          <w:shd w:val="clear" w:color="auto" w:fill="auto"/>
          <w:tblLayout w:type="fixed"/>
          <w:tblCellMar>
            <w:top w:w="0" w:type="dxa"/>
            <w:left w:w="0" w:type="dxa"/>
            <w:bottom w:w="0" w:type="dxa"/>
            <w:right w:w="0" w:type="dxa"/>
          </w:tblCellMar>
        </w:tblPrEx>
        <w:trPr>
          <w:trHeight w:val="641" w:hRule="atLeast"/>
        </w:trPr>
        <w:tc>
          <w:tcPr>
            <w:tcW w:w="22220" w:type="dxa"/>
            <w:gridSpan w:val="10"/>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收入决算表</w:t>
            </w:r>
          </w:p>
        </w:tc>
      </w:tr>
      <w:tr>
        <w:tblPrEx>
          <w:tblLayout w:type="fixed"/>
          <w:tblCellMar>
            <w:top w:w="0" w:type="dxa"/>
            <w:left w:w="0" w:type="dxa"/>
            <w:bottom w:w="0" w:type="dxa"/>
            <w:right w:w="0" w:type="dxa"/>
          </w:tblCellMar>
        </w:tblPrEx>
        <w:trPr>
          <w:trHeight w:val="328" w:hRule="atLeast"/>
        </w:trPr>
        <w:tc>
          <w:tcPr>
            <w:tcW w:w="5258"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r>
              <w:rPr>
                <w:rFonts w:hint="eastAsia" w:cs="宋体"/>
                <w:sz w:val="24"/>
                <w:szCs w:val="24"/>
                <w:lang w:eastAsia="zh-CN"/>
              </w:rPr>
              <w:t>公开单位</w:t>
            </w:r>
            <w:r>
              <w:rPr>
                <w:rFonts w:hint="eastAsia" w:ascii="宋体" w:hAnsi="宋体" w:eastAsia="宋体" w:cs="宋体"/>
                <w:sz w:val="24"/>
                <w:szCs w:val="24"/>
              </w:rPr>
              <w:t>：</w:t>
            </w:r>
            <w:r>
              <w:rPr>
                <w:rFonts w:ascii="宋体" w:hAnsi="宋体" w:eastAsia="宋体" w:cs="宋体"/>
                <w:sz w:val="24"/>
                <w:u w:color="auto"/>
              </w:rPr>
              <w:t>重庆市潼南区寿桥镇村镇建设服务中心</w:t>
            </w: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33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公开02表</w:t>
            </w:r>
          </w:p>
        </w:tc>
      </w:tr>
      <w:tr>
        <w:tblPrEx>
          <w:tblLayout w:type="fixed"/>
          <w:tblCellMar>
            <w:top w:w="0" w:type="dxa"/>
            <w:left w:w="0" w:type="dxa"/>
            <w:bottom w:w="0" w:type="dxa"/>
            <w:right w:w="0" w:type="dxa"/>
          </w:tblCellMar>
        </w:tblPrEx>
        <w:trPr>
          <w:trHeight w:val="328" w:hRule="atLeast"/>
        </w:trPr>
        <w:tc>
          <w:tcPr>
            <w:tcW w:w="5258"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1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39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96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336"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431" w:hRule="atLeast"/>
        </w:trPr>
        <w:tc>
          <w:tcPr>
            <w:tcW w:w="5258" w:type="dxa"/>
            <w:gridSpan w:val="2"/>
            <w:tcBorders>
              <w:top w:val="single" w:color="000000" w:sz="4" w:space="0"/>
              <w:left w:val="single" w:color="000000" w:sz="4" w:space="0"/>
              <w:bottom w:val="single" w:color="000000" w:sz="4" w:space="0"/>
              <w:right w:val="nil"/>
            </w:tcBorders>
            <w:shd w:val="clear" w:color="auto" w:fill="D0CECE"/>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12"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39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财政拨款收入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上级补助收入</w:t>
            </w:r>
          </w:p>
        </w:tc>
        <w:tc>
          <w:tcPr>
            <w:tcW w:w="3926"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事业收入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经营收入</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附属单位上缴收入</w:t>
            </w:r>
          </w:p>
        </w:tc>
        <w:tc>
          <w:tcPr>
            <w:tcW w:w="233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其他收入</w:t>
            </w:r>
          </w:p>
        </w:tc>
      </w:tr>
      <w:tr>
        <w:tblPrEx>
          <w:tblLayout w:type="fixed"/>
          <w:tblCellMar>
            <w:top w:w="0" w:type="dxa"/>
            <w:left w:w="0" w:type="dxa"/>
            <w:bottom w:w="0" w:type="dxa"/>
            <w:right w:w="0" w:type="dxa"/>
          </w:tblCellMar>
        </w:tblPrEx>
        <w:trPr>
          <w:trHeight w:val="334" w:hRule="atLeast"/>
        </w:trPr>
        <w:tc>
          <w:tcPr>
            <w:tcW w:w="1941"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317"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196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其中：教育收费</w:t>
            </w: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4" w:hRule="atLeast"/>
        </w:trPr>
        <w:tc>
          <w:tcPr>
            <w:tcW w:w="1941"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317"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12"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9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96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8" w:hRule="atLeast"/>
        </w:trPr>
        <w:tc>
          <w:tcPr>
            <w:tcW w:w="5258"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38.25</w:t>
            </w:r>
            <w:r>
              <w:rPr>
                <w:rFonts w:hint="eastAsia" w:cs="宋体"/>
                <w:b/>
                <w:bCs/>
                <w:color w:val="000000"/>
                <w:sz w:val="21"/>
                <w:szCs w:val="21"/>
                <w:lang w:val="en-US" w:eastAsia="zh-CN" w:bidi="ar"/>
              </w:rPr>
              <w:t xml:space="preserve"> </w:t>
            </w:r>
          </w:p>
        </w:tc>
        <w:tc>
          <w:tcPr>
            <w:tcW w:w="239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38.25</w:t>
            </w: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196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3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3.44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3.44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3.44</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3.44</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2.30</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2.30</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1.76</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1.76</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1.76</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1.76</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1.44</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1.44</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0.32</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0.32</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30.97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30.97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城乡社区规划与管理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30.97</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30.97</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2120201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城乡社区规划与管理</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30.97</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30.97</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0.16</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0.16</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0.16</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0.16</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2130104</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0.16</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0.16</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1.93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1.93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1.93</w:t>
            </w:r>
            <w:r>
              <w:rPr>
                <w:rFonts w:hint="eastAsia" w:cs="宋体"/>
                <w:b/>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1.93</w:t>
            </w:r>
            <w:r>
              <w:rPr>
                <w:rFonts w:hint="eastAsia" w:cs="宋体"/>
                <w:b/>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48" w:hRule="atLeast"/>
        </w:trPr>
        <w:tc>
          <w:tcPr>
            <w:tcW w:w="1941"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3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41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1.93</w:t>
            </w:r>
            <w:r>
              <w:rPr>
                <w:rFonts w:hint="eastAsia" w:cs="宋体"/>
                <w:color w:val="000000"/>
                <w:sz w:val="21"/>
                <w:szCs w:val="21"/>
                <w:lang w:val="en-US" w:eastAsia="zh-CN" w:bidi="ar"/>
              </w:rPr>
              <w:t xml:space="preserve"> </w:t>
            </w:r>
          </w:p>
        </w:tc>
        <w:tc>
          <w:tcPr>
            <w:tcW w:w="239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1.93</w:t>
            </w: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196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备注：1.本表反映单位本年度取得的各项收入情况。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pPr>
        <w:ind w:left="630" w:hanging="630" w:hangingChars="300"/>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9"/>
        <w:tblW w:w="22180" w:type="dxa"/>
        <w:tblInd w:w="0" w:type="dxa"/>
        <w:shd w:val="clear" w:color="auto" w:fill="auto"/>
        <w:tblLayout w:type="fixed"/>
        <w:tblCellMar>
          <w:top w:w="0" w:type="dxa"/>
          <w:left w:w="0" w:type="dxa"/>
          <w:bottom w:w="0" w:type="dxa"/>
          <w:right w:w="0" w:type="dxa"/>
        </w:tblCellMar>
      </w:tblPr>
      <w:tblGrid>
        <w:gridCol w:w="2082"/>
        <w:gridCol w:w="3528"/>
        <w:gridCol w:w="2760"/>
        <w:gridCol w:w="2760"/>
        <w:gridCol w:w="2760"/>
        <w:gridCol w:w="2760"/>
        <w:gridCol w:w="2760"/>
        <w:gridCol w:w="2770"/>
      </w:tblGrid>
      <w:tr>
        <w:tblPrEx>
          <w:shd w:val="clear" w:color="auto" w:fill="auto"/>
          <w:tblLayout w:type="fixed"/>
          <w:tblCellMar>
            <w:top w:w="0" w:type="dxa"/>
            <w:left w:w="0" w:type="dxa"/>
            <w:bottom w:w="0" w:type="dxa"/>
            <w:right w:w="0" w:type="dxa"/>
          </w:tblCellMar>
        </w:tblPrEx>
        <w:trPr>
          <w:trHeight w:val="654" w:hRule="atLeast"/>
        </w:trPr>
        <w:tc>
          <w:tcPr>
            <w:tcW w:w="22180"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支出决算表</w:t>
            </w:r>
          </w:p>
        </w:tc>
      </w:tr>
      <w:tr>
        <w:tblPrEx>
          <w:tblLayout w:type="fixed"/>
          <w:tblCellMar>
            <w:top w:w="0" w:type="dxa"/>
            <w:left w:w="0" w:type="dxa"/>
            <w:bottom w:w="0" w:type="dxa"/>
            <w:right w:w="0" w:type="dxa"/>
          </w:tblCellMar>
        </w:tblPrEx>
        <w:trPr>
          <w:trHeight w:val="342" w:hRule="atLeast"/>
        </w:trPr>
        <w:tc>
          <w:tcPr>
            <w:tcW w:w="5610"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 xml:space="preserve">重庆市潼南区寿桥镇村镇建设服务中心 </w:t>
            </w: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7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公开03表</w:t>
            </w:r>
          </w:p>
        </w:tc>
      </w:tr>
      <w:tr>
        <w:tblPrEx>
          <w:tblLayout w:type="fixed"/>
          <w:tblCellMar>
            <w:top w:w="0" w:type="dxa"/>
            <w:left w:w="0" w:type="dxa"/>
            <w:bottom w:w="0" w:type="dxa"/>
            <w:right w:w="0" w:type="dxa"/>
          </w:tblCellMar>
        </w:tblPrEx>
        <w:trPr>
          <w:trHeight w:val="342" w:hRule="atLeast"/>
        </w:trPr>
        <w:tc>
          <w:tcPr>
            <w:tcW w:w="5610"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6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7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上缴上级支出</w:t>
            </w:r>
          </w:p>
        </w:tc>
        <w:tc>
          <w:tcPr>
            <w:tcW w:w="276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经营支出</w:t>
            </w:r>
          </w:p>
        </w:tc>
        <w:tc>
          <w:tcPr>
            <w:tcW w:w="2770"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对附属单位补助支出</w:t>
            </w:r>
          </w:p>
        </w:tc>
      </w:tr>
      <w:tr>
        <w:tblPrEx>
          <w:tblLayout w:type="fixed"/>
          <w:tblCellMar>
            <w:top w:w="0" w:type="dxa"/>
            <w:left w:w="0" w:type="dxa"/>
            <w:bottom w:w="0" w:type="dxa"/>
            <w:right w:w="0" w:type="dxa"/>
          </w:tblCellMar>
        </w:tblPrEx>
        <w:trPr>
          <w:trHeight w:val="338" w:hRule="atLeast"/>
        </w:trPr>
        <w:tc>
          <w:tcPr>
            <w:tcW w:w="208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3528" w:type="dxa"/>
            <w:vMerge w:val="restart"/>
            <w:tcBorders>
              <w:top w:val="nil"/>
              <w:left w:val="nil"/>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8" w:hRule="atLeast"/>
        </w:trPr>
        <w:tc>
          <w:tcPr>
            <w:tcW w:w="208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528" w:type="dxa"/>
            <w:vMerge w:val="continue"/>
            <w:tcBorders>
              <w:top w:val="nil"/>
              <w:left w:val="nil"/>
              <w:bottom w:val="single" w:color="000000" w:sz="4" w:space="0"/>
              <w:right w:val="nil"/>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6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70"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62" w:hRule="atLeast"/>
        </w:trPr>
        <w:tc>
          <w:tcPr>
            <w:tcW w:w="5610"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38.25</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38.25</w:t>
            </w: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6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770"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3.44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3.44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3.44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3.44</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2.30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2.30</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1.14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1.76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1.76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1.76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1.76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1.44</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0.32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0.32</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30.97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30.97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城乡社区规划与管理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30.97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30.97</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2120201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城乡社区规划与管理</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30.97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30.97</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0.16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0.16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0.16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0.16</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2130104</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0.16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0.16</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1.93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1.93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1.93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b/>
                <w:color w:val="000000"/>
                <w:sz w:val="21"/>
                <w:szCs w:val="21"/>
                <w:lang w:bidi="ar"/>
              </w:rPr>
              <w:t>1.93</w:t>
            </w:r>
            <w:r>
              <w:rPr>
                <w:rFonts w:hint="eastAsia" w:cs="宋体"/>
                <w:b/>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82" w:hRule="atLeast"/>
        </w:trPr>
        <w:tc>
          <w:tcPr>
            <w:tcW w:w="2082"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352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ascii="宋体" w:hAnsi="宋体" w:eastAsia="宋体" w:cs="宋体"/>
                <w:color w:val="000000"/>
                <w:sz w:val="21"/>
                <w:szCs w:val="21"/>
                <w:lang w:bidi="ar"/>
              </w:rPr>
              <w:t>1.93</w:t>
            </w: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c>
          <w:tcPr>
            <w:tcW w:w="27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18"/>
                <w:szCs w:val="18"/>
                <w:u w:val="none"/>
                <w:lang w:val="en-US" w:eastAsia="zh-CN"/>
              </w:rPr>
            </w:pPr>
            <w:r>
              <w:rPr>
                <w:rFonts w:hint="eastAsia" w:cs="宋体"/>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备注：1.本表反映单位本年度各项支出情况。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br w:type="page"/>
      </w:r>
    </w:p>
    <w:p>
      <w:pPr>
        <w:rPr>
          <w:rFonts w:hint="eastAsia" w:ascii="宋体" w:hAnsi="宋体" w:eastAsia="宋体" w:cs="宋体"/>
          <w:b w:val="0"/>
          <w:bCs w:val="0"/>
          <w:i w:val="0"/>
          <w:iCs w:val="0"/>
          <w:color w:val="auto"/>
          <w:kern w:val="0"/>
          <w:sz w:val="21"/>
          <w:szCs w:val="21"/>
          <w:u w:val="none"/>
          <w:shd w:val="clear" w:color="auto" w:fill="auto"/>
          <w:lang w:val="en-US" w:eastAsia="zh-CN" w:bidi="ar"/>
        </w:rPr>
      </w:pPr>
    </w:p>
    <w:tbl>
      <w:tblPr>
        <w:tblStyle w:val="9"/>
        <w:tblW w:w="22360" w:type="dxa"/>
        <w:tblInd w:w="0" w:type="dxa"/>
        <w:shd w:val="clear" w:color="auto" w:fill="auto"/>
        <w:tblLayout w:type="fixed"/>
        <w:tblCellMar>
          <w:top w:w="0" w:type="dxa"/>
          <w:left w:w="0" w:type="dxa"/>
          <w:bottom w:w="0" w:type="dxa"/>
          <w:right w:w="0" w:type="dxa"/>
        </w:tblCellMar>
      </w:tblPr>
      <w:tblGrid>
        <w:gridCol w:w="4068"/>
        <w:gridCol w:w="2674"/>
        <w:gridCol w:w="3752"/>
        <w:gridCol w:w="2952"/>
        <w:gridCol w:w="2952"/>
        <w:gridCol w:w="2952"/>
        <w:gridCol w:w="3010"/>
      </w:tblGrid>
      <w:tr>
        <w:tblPrEx>
          <w:shd w:val="clear" w:color="auto" w:fill="auto"/>
          <w:tblLayout w:type="fixed"/>
          <w:tblCellMar>
            <w:top w:w="0" w:type="dxa"/>
            <w:left w:w="0" w:type="dxa"/>
            <w:bottom w:w="0" w:type="dxa"/>
            <w:right w:w="0" w:type="dxa"/>
          </w:tblCellMar>
        </w:tblPrEx>
        <w:trPr>
          <w:trHeight w:val="90" w:hRule="atLeast"/>
        </w:trPr>
        <w:tc>
          <w:tcPr>
            <w:tcW w:w="22360" w:type="dxa"/>
            <w:gridSpan w:val="7"/>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财政拨款收入支出决算总表</w:t>
            </w:r>
          </w:p>
        </w:tc>
      </w:tr>
      <w:tr>
        <w:tblPrEx>
          <w:tblLayout w:type="fixed"/>
          <w:tblCellMar>
            <w:top w:w="0" w:type="dxa"/>
            <w:left w:w="0" w:type="dxa"/>
            <w:bottom w:w="0" w:type="dxa"/>
            <w:right w:w="0" w:type="dxa"/>
          </w:tblCellMar>
        </w:tblPrEx>
        <w:trPr>
          <w:trHeight w:val="90" w:hRule="atLeast"/>
        </w:trPr>
        <w:tc>
          <w:tcPr>
            <w:tcW w:w="6742"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重庆市潼南区寿桥镇村镇建设服务中心</w:t>
            </w: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01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公开04表</w:t>
            </w:r>
          </w:p>
        </w:tc>
      </w:tr>
      <w:tr>
        <w:tblPrEx>
          <w:tblLayout w:type="fixed"/>
          <w:tblCellMar>
            <w:top w:w="0" w:type="dxa"/>
            <w:left w:w="0" w:type="dxa"/>
            <w:bottom w:w="0" w:type="dxa"/>
            <w:right w:w="0" w:type="dxa"/>
          </w:tblCellMar>
        </w:tblPrEx>
        <w:trPr>
          <w:trHeight w:val="90" w:hRule="atLeast"/>
        </w:trPr>
        <w:tc>
          <w:tcPr>
            <w:tcW w:w="6742"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37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95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3010"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90" w:hRule="atLeast"/>
        </w:trPr>
        <w:tc>
          <w:tcPr>
            <w:tcW w:w="6742"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收     入</w:t>
            </w:r>
          </w:p>
        </w:tc>
        <w:tc>
          <w:tcPr>
            <w:tcW w:w="15618" w:type="dxa"/>
            <w:gridSpan w:val="5"/>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支     出</w:t>
            </w:r>
          </w:p>
        </w:tc>
      </w:tr>
      <w:tr>
        <w:tblPrEx>
          <w:tblLayout w:type="fixed"/>
          <w:tblCellMar>
            <w:top w:w="0" w:type="dxa"/>
            <w:left w:w="0" w:type="dxa"/>
            <w:bottom w:w="0" w:type="dxa"/>
            <w:right w:w="0" w:type="dxa"/>
          </w:tblCellMar>
        </w:tblPrEx>
        <w:trPr>
          <w:trHeight w:val="90" w:hRule="atLeast"/>
        </w:trPr>
        <w:tc>
          <w:tcPr>
            <w:tcW w:w="4068"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674"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375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w:t>
            </w:r>
          </w:p>
        </w:tc>
        <w:tc>
          <w:tcPr>
            <w:tcW w:w="11866" w:type="dxa"/>
            <w:gridSpan w:val="4"/>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tblPrEx>
          <w:tblLayout w:type="fixed"/>
          <w:tblCellMar>
            <w:top w:w="0" w:type="dxa"/>
            <w:left w:w="0" w:type="dxa"/>
            <w:bottom w:w="0" w:type="dxa"/>
            <w:right w:w="0" w:type="dxa"/>
          </w:tblCellMar>
        </w:tblPrEx>
        <w:trPr>
          <w:trHeight w:val="90" w:hRule="atLeast"/>
        </w:trPr>
        <w:tc>
          <w:tcPr>
            <w:tcW w:w="4068"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674"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75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小计</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一般公共预算财政拨款</w:t>
            </w:r>
          </w:p>
        </w:tc>
        <w:tc>
          <w:tcPr>
            <w:tcW w:w="29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政府性基金预算财政拨款</w:t>
            </w:r>
          </w:p>
        </w:tc>
        <w:tc>
          <w:tcPr>
            <w:tcW w:w="301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国有资本经营预算财政拨款</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38.25</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一、一般公共服务支出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二、外交支出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三、国防支出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四、公共安全支出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五、教育支出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六、科学技术支出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七、文化旅游体育与传媒支出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八、社会保障和就业支出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3.44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3.44</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九、卫生健康支出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1.76</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1.76</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十、节能环保支出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十一、城乡社区支出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30.97</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30.97</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十二、农林水支出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0.16</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0.16</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十三、交通运输支出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十四、资源勘探工业信息等支出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十五、商业服务业等支出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十六、金融支出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十七、援助其他地区支出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十八、自然资源海洋气象等支出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十九、住房保障支出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1.93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1.93</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二十、粮油物资储备支出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二十一、国有资本经营预算支出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二十二、灾害防治及应急管理支出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二十三、其他支出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二十四、债务还本支出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二十五、债务付息支出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default" w:ascii="Arial" w:hAnsi="Arial" w:eastAsia="宋体" w:cs="Arial"/>
                <w:i w:val="0"/>
                <w:color w:val="000000"/>
                <w:sz w:val="20"/>
                <w:szCs w:val="20"/>
                <w:u w:val="none"/>
              </w:rPr>
            </w:pP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二十六、抗疫特别国债安排的支出</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本年收入合计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38.25</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本年支出合计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38.25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38.25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年初财政拨款结转和结余</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年末财政拨款结转和结余</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一般公共预算财政拨款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政府性基金预算财政拨款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国有资本经营预算财政拨款</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0"/>
                <w:szCs w:val="20"/>
                <w:u w:val="none"/>
              </w:rPr>
            </w:pP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90" w:hRule="atLeast"/>
        </w:trPr>
        <w:tc>
          <w:tcPr>
            <w:tcW w:w="4068"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67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38.25</w:t>
            </w:r>
            <w:r>
              <w:rPr>
                <w:rFonts w:hint="eastAsia" w:cs="宋体"/>
                <w:color w:val="000000"/>
                <w:sz w:val="21"/>
                <w:szCs w:val="21"/>
                <w:lang w:val="en-US" w:eastAsia="zh-CN" w:bidi="ar"/>
              </w:rPr>
              <w:t xml:space="preserve"> </w:t>
            </w:r>
          </w:p>
        </w:tc>
        <w:tc>
          <w:tcPr>
            <w:tcW w:w="375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总计</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38.25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0"/>
                <w:szCs w:val="20"/>
                <w:u w:val="none"/>
                <w:lang w:val="en-US" w:eastAsia="zh-CN"/>
              </w:rPr>
            </w:pPr>
            <w:r>
              <w:rPr>
                <w:rFonts w:hint="eastAsia" w:ascii="宋体" w:hAnsi="宋体" w:eastAsia="宋体" w:cs="宋体"/>
                <w:color w:val="000000"/>
                <w:sz w:val="21"/>
                <w:szCs w:val="21"/>
                <w:lang w:bidi="ar"/>
              </w:rPr>
              <w:t>38.25</w:t>
            </w:r>
            <w:r>
              <w:rPr>
                <w:rFonts w:hint="eastAsia" w:cs="宋体"/>
                <w:color w:val="000000"/>
                <w:sz w:val="21"/>
                <w:szCs w:val="21"/>
                <w:lang w:val="en-US" w:eastAsia="zh-CN" w:bidi="ar"/>
              </w:rPr>
              <w:t xml:space="preserve"> </w:t>
            </w:r>
          </w:p>
        </w:tc>
        <w:tc>
          <w:tcPr>
            <w:tcW w:w="29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0"/>
                <w:szCs w:val="20"/>
                <w:u w:val="none"/>
                <w:lang w:val="en-US" w:eastAsia="zh-CN"/>
              </w:rPr>
            </w:pPr>
            <w:r>
              <w:rPr>
                <w:rFonts w:hint="eastAsia" w:cs="宋体"/>
                <w:color w:val="000000"/>
                <w:sz w:val="21"/>
                <w:szCs w:val="21"/>
                <w:lang w:val="en-US" w:eastAsia="zh-CN" w:bidi="ar"/>
              </w:rPr>
              <w:t xml:space="preserve"> </w:t>
            </w:r>
          </w:p>
        </w:tc>
        <w:tc>
          <w:tcPr>
            <w:tcW w:w="30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备注：1.本表反映单位本年度一般公共预算财政拨款、政府性基金预算财政拨款及国有资本经营预算财政拨款的总收支和年末结转结余情况。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2300" w:type="dxa"/>
        <w:tblInd w:w="0" w:type="dxa"/>
        <w:shd w:val="clear" w:color="auto" w:fill="auto"/>
        <w:tblLayout w:type="fixed"/>
        <w:tblCellMar>
          <w:top w:w="0" w:type="dxa"/>
          <w:left w:w="0" w:type="dxa"/>
          <w:bottom w:w="0" w:type="dxa"/>
          <w:right w:w="0" w:type="dxa"/>
        </w:tblCellMar>
      </w:tblPr>
      <w:tblGrid>
        <w:gridCol w:w="2694"/>
        <w:gridCol w:w="5151"/>
        <w:gridCol w:w="4817"/>
        <w:gridCol w:w="4817"/>
        <w:gridCol w:w="4821"/>
      </w:tblGrid>
      <w:tr>
        <w:tblPrEx>
          <w:shd w:val="clear" w:color="auto" w:fill="auto"/>
          <w:tblLayout w:type="fixed"/>
          <w:tblCellMar>
            <w:top w:w="0" w:type="dxa"/>
            <w:left w:w="0" w:type="dxa"/>
            <w:bottom w:w="0" w:type="dxa"/>
            <w:right w:w="0" w:type="dxa"/>
          </w:tblCellMar>
        </w:tblPrEx>
        <w:trPr>
          <w:trHeight w:val="510" w:hRule="atLeast"/>
        </w:trPr>
        <w:tc>
          <w:tcPr>
            <w:tcW w:w="2230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一般公共预算财政拨款支出决算表</w:t>
            </w:r>
          </w:p>
        </w:tc>
      </w:tr>
      <w:tr>
        <w:tblPrEx>
          <w:tblLayout w:type="fixed"/>
          <w:tblCellMar>
            <w:top w:w="0" w:type="dxa"/>
            <w:left w:w="0" w:type="dxa"/>
            <w:bottom w:w="0" w:type="dxa"/>
            <w:right w:w="0" w:type="dxa"/>
          </w:tblCellMar>
        </w:tblPrEx>
        <w:trPr>
          <w:trHeight w:val="255" w:hRule="atLeast"/>
        </w:trPr>
        <w:tc>
          <w:tcPr>
            <w:tcW w:w="7845"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重庆市潼南区寿桥镇村镇建设服务中心</w:t>
            </w: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82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公开05表</w:t>
            </w:r>
          </w:p>
        </w:tc>
      </w:tr>
      <w:tr>
        <w:tblPrEx>
          <w:tblLayout w:type="fixed"/>
          <w:tblCellMar>
            <w:top w:w="0" w:type="dxa"/>
            <w:left w:w="0" w:type="dxa"/>
            <w:bottom w:w="0" w:type="dxa"/>
            <w:right w:w="0" w:type="dxa"/>
          </w:tblCellMar>
        </w:tblPrEx>
        <w:trPr>
          <w:trHeight w:val="285" w:hRule="atLeast"/>
        </w:trPr>
        <w:tc>
          <w:tcPr>
            <w:tcW w:w="7845"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81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821"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308" w:hRule="atLeast"/>
        </w:trPr>
        <w:tc>
          <w:tcPr>
            <w:tcW w:w="7845"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4455"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tblPrEx>
          <w:tblLayout w:type="fixed"/>
          <w:tblCellMar>
            <w:top w:w="0" w:type="dxa"/>
            <w:left w:w="0" w:type="dxa"/>
            <w:bottom w:w="0" w:type="dxa"/>
            <w:right w:w="0" w:type="dxa"/>
          </w:tblCellMar>
        </w:tblPrEx>
        <w:trPr>
          <w:trHeight w:val="308" w:hRule="atLeast"/>
        </w:trPr>
        <w:tc>
          <w:tcPr>
            <w:tcW w:w="2694"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515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821"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Layout w:type="fixed"/>
          <w:tblCellMar>
            <w:top w:w="0" w:type="dxa"/>
            <w:left w:w="0" w:type="dxa"/>
            <w:bottom w:w="0" w:type="dxa"/>
            <w:right w:w="0" w:type="dxa"/>
          </w:tblCellMar>
        </w:tblPrEx>
        <w:trPr>
          <w:trHeight w:val="278"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615" w:hRule="atLeast"/>
        </w:trPr>
        <w:tc>
          <w:tcPr>
            <w:tcW w:w="2694"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15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1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821"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08" w:hRule="atLeast"/>
        </w:trPr>
        <w:tc>
          <w:tcPr>
            <w:tcW w:w="7845"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38.25</w:t>
            </w:r>
            <w:r>
              <w:rPr>
                <w:rFonts w:hint="eastAsia" w:cs="宋体"/>
                <w:b/>
                <w:bCs/>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color w:val="000000"/>
                <w:sz w:val="21"/>
                <w:szCs w:val="21"/>
                <w:lang w:bidi="ar"/>
              </w:rPr>
              <w:t>38.25</w:t>
            </w:r>
            <w:r>
              <w:rPr>
                <w:rFonts w:hint="eastAsia" w:cs="宋体"/>
                <w:b/>
                <w:bCs/>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社会保障和就业支出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3.44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3.44</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20805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行政事业单位养老支出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3.44</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3.44</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2080505</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机关事业单位基本养老保险缴费支出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2.30</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2.30</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2080506</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机关事业单位职业年金缴费支出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1.14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1.14</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卫生健康支出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1.76</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1.76</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21011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行政事业单位医疗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1.76</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1.76</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事业单位医疗</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1.44</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1.44</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2101199</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其他行政事业单位医疗支出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0.32</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0.32</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30.97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30.97</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21202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城乡社区规划与管理</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30.97</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30.97</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2120201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城乡社区规划与管理</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30.97</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30.97</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农林水支出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0.16</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0.16</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21301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农业农村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0.16</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0.16</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2130104</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事业运行</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0.16</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0.16</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住房保障支出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1.93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1.93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22102</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b/>
                <w:color w:val="000000"/>
                <w:sz w:val="21"/>
                <w:szCs w:val="21"/>
                <w:lang w:bidi="ar"/>
              </w:rPr>
              <w:t>住房改革支出</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1.93</w:t>
            </w:r>
            <w:r>
              <w:rPr>
                <w:rFonts w:hint="eastAsia" w:cs="宋体"/>
                <w:b/>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bCs w:val="0"/>
                <w:color w:val="000000"/>
                <w:sz w:val="21"/>
                <w:szCs w:val="21"/>
                <w:lang w:bidi="ar"/>
              </w:rPr>
              <w:t>1.93</w:t>
            </w:r>
            <w:r>
              <w:rPr>
                <w:rFonts w:hint="eastAsia" w:cs="宋体"/>
                <w:b/>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2694"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2210201</w:t>
            </w:r>
          </w:p>
        </w:tc>
        <w:tc>
          <w:tcPr>
            <w:tcW w:w="515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textAlignment w:val="center"/>
              <w:rPr>
                <w:rFonts w:hint="eastAsia" w:ascii="宋体" w:hAnsi="宋体" w:eastAsia="宋体" w:cs="宋体"/>
                <w:i w:val="0"/>
                <w:color w:val="000000"/>
                <w:sz w:val="22"/>
                <w:szCs w:val="22"/>
                <w:u w:val="none"/>
              </w:rPr>
            </w:pPr>
            <w:r>
              <w:rPr>
                <w:rFonts w:hint="eastAsia" w:ascii="宋体" w:hAnsi="宋体" w:eastAsia="宋体" w:cs="宋体"/>
                <w:color w:val="000000"/>
                <w:sz w:val="21"/>
                <w:szCs w:val="21"/>
                <w:lang w:bidi="ar"/>
              </w:rPr>
              <w:t>住房公积金</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1.93</w:t>
            </w:r>
            <w:r>
              <w:rPr>
                <w:rFonts w:hint="eastAsia" w:cs="宋体"/>
                <w:b w:val="0"/>
                <w:bCs w:val="0"/>
                <w:color w:val="000000"/>
                <w:sz w:val="21"/>
                <w:szCs w:val="21"/>
                <w:lang w:val="en-US" w:eastAsia="zh-CN" w:bidi="ar"/>
              </w:rPr>
              <w:t xml:space="preserve"> </w:t>
            </w:r>
          </w:p>
        </w:tc>
        <w:tc>
          <w:tcPr>
            <w:tcW w:w="4817"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ascii="宋体" w:hAnsi="宋体" w:eastAsia="宋体" w:cs="宋体"/>
                <w:b w:val="0"/>
                <w:bCs w:val="0"/>
                <w:color w:val="000000"/>
                <w:sz w:val="21"/>
                <w:szCs w:val="21"/>
                <w:lang w:bidi="ar"/>
              </w:rPr>
              <w:t>1.93</w:t>
            </w:r>
            <w:r>
              <w:rPr>
                <w:rFonts w:hint="eastAsia" w:cs="宋体"/>
                <w:b w:val="0"/>
                <w:bCs w:val="0"/>
                <w:color w:val="000000"/>
                <w:sz w:val="21"/>
                <w:szCs w:val="21"/>
                <w:lang w:val="en-US" w:eastAsia="zh-CN" w:bidi="ar"/>
              </w:rPr>
              <w:t xml:space="preserve"> </w:t>
            </w:r>
          </w:p>
        </w:tc>
        <w:tc>
          <w:tcPr>
            <w:tcW w:w="4821"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val="0"/>
                <w:bCs w:val="0"/>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备注：1.本表反映单位本年度一般公共预算财政拨款支出情况。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numPr>
          <w:ilvl w:val="0"/>
          <w:numId w:val="0"/>
        </w:numPr>
        <w:ind w:firstLine="630" w:firstLineChars="300"/>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2280" w:type="dxa"/>
        <w:tblInd w:w="0" w:type="dxa"/>
        <w:shd w:val="clear" w:color="auto" w:fill="auto"/>
        <w:tblLayout w:type="fixed"/>
        <w:tblCellMar>
          <w:top w:w="0" w:type="dxa"/>
          <w:left w:w="0" w:type="dxa"/>
          <w:bottom w:w="0" w:type="dxa"/>
          <w:right w:w="0" w:type="dxa"/>
        </w:tblCellMar>
      </w:tblPr>
      <w:tblGrid>
        <w:gridCol w:w="1289"/>
        <w:gridCol w:w="3495"/>
        <w:gridCol w:w="2829"/>
        <w:gridCol w:w="1122"/>
        <w:gridCol w:w="2330"/>
        <w:gridCol w:w="2747"/>
        <w:gridCol w:w="1509"/>
        <w:gridCol w:w="4465"/>
        <w:gridCol w:w="2494"/>
      </w:tblGrid>
      <w:tr>
        <w:tblPrEx>
          <w:shd w:val="clear" w:color="auto" w:fill="auto"/>
          <w:tblLayout w:type="fixed"/>
          <w:tblCellMar>
            <w:top w:w="0" w:type="dxa"/>
            <w:left w:w="0" w:type="dxa"/>
            <w:bottom w:w="0" w:type="dxa"/>
            <w:right w:w="0" w:type="dxa"/>
          </w:tblCellMar>
        </w:tblPrEx>
        <w:trPr>
          <w:trHeight w:val="590" w:hRule="atLeast"/>
        </w:trPr>
        <w:tc>
          <w:tcPr>
            <w:tcW w:w="22280" w:type="dxa"/>
            <w:gridSpan w:val="9"/>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一般公共预算财政拨款基本支出决算表</w:t>
            </w:r>
          </w:p>
        </w:tc>
      </w:tr>
      <w:tr>
        <w:tblPrEx>
          <w:tblLayout w:type="fixed"/>
          <w:tblCellMar>
            <w:top w:w="0" w:type="dxa"/>
            <w:left w:w="0" w:type="dxa"/>
            <w:bottom w:w="0" w:type="dxa"/>
            <w:right w:w="0" w:type="dxa"/>
          </w:tblCellMar>
        </w:tblPrEx>
        <w:trPr>
          <w:trHeight w:val="302" w:hRule="atLeast"/>
        </w:trPr>
        <w:tc>
          <w:tcPr>
            <w:tcW w:w="4784"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重庆市潼南区寿桥镇村镇建设服务中心</w:t>
            </w: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494"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公开06表</w:t>
            </w:r>
          </w:p>
        </w:tc>
      </w:tr>
      <w:tr>
        <w:tblPrEx>
          <w:tblLayout w:type="fixed"/>
          <w:tblCellMar>
            <w:top w:w="0" w:type="dxa"/>
            <w:left w:w="0" w:type="dxa"/>
            <w:bottom w:w="0" w:type="dxa"/>
            <w:right w:w="0" w:type="dxa"/>
          </w:tblCellMar>
        </w:tblPrEx>
        <w:trPr>
          <w:trHeight w:val="302" w:hRule="atLeast"/>
        </w:trPr>
        <w:tc>
          <w:tcPr>
            <w:tcW w:w="4784"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82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122"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330"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747"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150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465"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94"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311" w:hRule="atLeast"/>
        </w:trPr>
        <w:tc>
          <w:tcPr>
            <w:tcW w:w="7613" w:type="dxa"/>
            <w:gridSpan w:val="3"/>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w:t>
            </w:r>
          </w:p>
        </w:tc>
        <w:tc>
          <w:tcPr>
            <w:tcW w:w="14667" w:type="dxa"/>
            <w:gridSpan w:val="6"/>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w:t>
            </w:r>
          </w:p>
        </w:tc>
      </w:tr>
      <w:tr>
        <w:tblPrEx>
          <w:tblLayout w:type="fixed"/>
          <w:tblCellMar>
            <w:top w:w="0" w:type="dxa"/>
            <w:left w:w="0" w:type="dxa"/>
            <w:bottom w:w="0" w:type="dxa"/>
            <w:right w:w="0" w:type="dxa"/>
          </w:tblCellMar>
        </w:tblPrEx>
        <w:trPr>
          <w:trHeight w:val="312" w:hRule="atLeast"/>
        </w:trPr>
        <w:tc>
          <w:tcPr>
            <w:tcW w:w="128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349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829"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122"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233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747"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c>
          <w:tcPr>
            <w:tcW w:w="150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经济分类科目编码</w:t>
            </w:r>
          </w:p>
        </w:tc>
        <w:tc>
          <w:tcPr>
            <w:tcW w:w="4465"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经济分类科目（按“款”级功能分类科目）</w:t>
            </w:r>
          </w:p>
        </w:tc>
        <w:tc>
          <w:tcPr>
            <w:tcW w:w="2494"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cs="宋体"/>
                <w:b/>
                <w:i w:val="0"/>
                <w:color w:val="000000"/>
                <w:kern w:val="0"/>
                <w:sz w:val="22"/>
                <w:szCs w:val="22"/>
                <w:u w:val="none"/>
                <w:lang w:val="en-US" w:eastAsia="zh-CN" w:bidi="ar"/>
              </w:rPr>
              <w:t>金额</w:t>
            </w:r>
          </w:p>
        </w:tc>
      </w:tr>
      <w:tr>
        <w:tblPrEx>
          <w:tblLayout w:type="fixed"/>
          <w:tblCellMar>
            <w:top w:w="0" w:type="dxa"/>
            <w:left w:w="0" w:type="dxa"/>
            <w:bottom w:w="0" w:type="dxa"/>
            <w:right w:w="0" w:type="dxa"/>
          </w:tblCellMar>
        </w:tblPrEx>
        <w:trPr>
          <w:trHeight w:val="799" w:hRule="atLeast"/>
        </w:trPr>
        <w:tc>
          <w:tcPr>
            <w:tcW w:w="128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349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829"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122"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33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747"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150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65"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94"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33.78</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4.47</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基本工资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7.75</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1.80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房屋建筑物购建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津贴补贴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0.53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印刷费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办公设备购置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咨询费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专用设备购置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伙食补助费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手续费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基础设施建设</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绩效工资</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18.27</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水费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0.02</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31006</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大型修缮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机关事业单位基本养老保险缴费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2.30</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0.50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信息网络及软件购置更新</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职业年金缴费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1.14</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邮电费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1.50</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物资储备</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64"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职工基本医疗保险缴费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1.22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取暖费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土地补偿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公务员医疗补助缴费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30209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物业管理费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安置补助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33"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其他社会保障缴费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0.33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差旅费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地上附着物和青苗补偿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住房公积金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1.93</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因公出国（境）费用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拆迁补偿</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30114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0.32</w:t>
            </w: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维修（护）费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30199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其他工资福利支出</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租赁费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31019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其他交通工具购置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会议费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文物和陈列品购置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离休费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培训费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31022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无形资产购置</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30302</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退休费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公务接待费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31099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其他资本性支出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30303</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退职（役）费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30218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专用材料费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30304</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抚恤金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被装购置费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31201</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资本金注入</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30305</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生活补助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30225</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专用燃料费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31203</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政府投资基金股权投资</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30306</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救济费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30226</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劳务费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31204</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费用补贴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30307</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医疗费补助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委托业务费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31205</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利息补贴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30308</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助学金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30228</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工会经费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0.17</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31299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其他对企业补助</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30309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奖励金</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30229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福利费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0.48</w:t>
            </w: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30310</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个人农业生产补贴</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公务用车运行维护费</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39907</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国家赔偿费用支出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30311</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代缴社会保险费</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30239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其他交通费用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39908</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对民间非营利组织和群众性自治组织补贴</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30399</w:t>
            </w: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其他对个人和家庭的补助</w:t>
            </w: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30240</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税金及附加费用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39909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经常性赠与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30299</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其他商品和服务支出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39910</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资本性赠与</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债务利息及费用支出</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39999</w:t>
            </w: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其他支出</w:t>
            </w: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30701</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30702</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国外债务付息</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30703</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国内债务发行费用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11" w:hRule="atLeast"/>
        </w:trPr>
        <w:tc>
          <w:tcPr>
            <w:tcW w:w="128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49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82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11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30704</w:t>
            </w:r>
          </w:p>
        </w:tc>
        <w:tc>
          <w:tcPr>
            <w:tcW w:w="2330"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国外债务发行费用</w:t>
            </w:r>
          </w:p>
        </w:tc>
        <w:tc>
          <w:tcPr>
            <w:tcW w:w="274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cs="宋体"/>
                <w:color w:val="000000"/>
                <w:sz w:val="21"/>
                <w:szCs w:val="21"/>
                <w:lang w:val="en-US" w:eastAsia="zh-CN" w:bidi="ar"/>
              </w:rPr>
              <w:t xml:space="preserve"> </w:t>
            </w:r>
          </w:p>
        </w:tc>
        <w:tc>
          <w:tcPr>
            <w:tcW w:w="1509"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4465"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249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i w:val="0"/>
                <w:color w:val="000000"/>
                <w:sz w:val="22"/>
                <w:szCs w:val="22"/>
                <w:u w:val="none"/>
              </w:rPr>
            </w:pPr>
          </w:p>
        </w:tc>
      </w:tr>
      <w:tr>
        <w:tblPrEx>
          <w:tblLayout w:type="fixed"/>
          <w:tblCellMar>
            <w:top w:w="0" w:type="dxa"/>
            <w:left w:w="0" w:type="dxa"/>
            <w:bottom w:w="0" w:type="dxa"/>
            <w:right w:w="0" w:type="dxa"/>
          </w:tblCellMar>
        </w:tblPrEx>
        <w:trPr>
          <w:trHeight w:val="321" w:hRule="atLeast"/>
        </w:trPr>
        <w:tc>
          <w:tcPr>
            <w:tcW w:w="4784"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人员经费合计</w:t>
            </w:r>
          </w:p>
        </w:tc>
        <w:tc>
          <w:tcPr>
            <w:tcW w:w="2829" w:type="dxa"/>
            <w:tcBorders>
              <w:top w:val="nil"/>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ascii="宋体" w:hAnsi="宋体" w:eastAsia="宋体" w:cs="宋体"/>
                <w:color w:val="000000"/>
                <w:sz w:val="21"/>
                <w:szCs w:val="21"/>
                <w:lang w:bidi="ar"/>
              </w:rPr>
              <w:t>33.78</w:t>
            </w:r>
            <w:r>
              <w:rPr>
                <w:rFonts w:hint="eastAsia" w:cs="宋体"/>
                <w:color w:val="000000"/>
                <w:sz w:val="21"/>
                <w:szCs w:val="21"/>
                <w:lang w:val="en-US" w:eastAsia="zh-CN" w:bidi="ar"/>
              </w:rPr>
              <w:t xml:space="preserve"> </w:t>
            </w:r>
          </w:p>
        </w:tc>
        <w:tc>
          <w:tcPr>
            <w:tcW w:w="12173" w:type="dxa"/>
            <w:gridSpan w:val="5"/>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公用经费合计</w:t>
            </w:r>
          </w:p>
        </w:tc>
        <w:tc>
          <w:tcPr>
            <w:tcW w:w="2494"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wordWrap w:val="0"/>
              <w:jc w:val="right"/>
              <w:textAlignment w:val="center"/>
              <w:rPr>
                <w:rFonts w:hint="eastAsia" w:ascii="宋体" w:hAnsi="宋体" w:eastAsia="宋体" w:cs="宋体"/>
                <w:i w:val="0"/>
                <w:color w:val="000000"/>
                <w:sz w:val="22"/>
                <w:szCs w:val="22"/>
                <w:u w:val="none"/>
                <w:lang w:val="en-US" w:eastAsia="zh-CN"/>
              </w:rPr>
            </w:pPr>
            <w:r>
              <w:rPr>
                <w:rFonts w:hint="eastAsia" w:ascii="宋体" w:hAnsi="宋体" w:eastAsia="宋体" w:cs="宋体"/>
                <w:color w:val="000000"/>
                <w:sz w:val="21"/>
                <w:szCs w:val="21"/>
                <w:lang w:bidi="ar"/>
              </w:rPr>
              <w:t>4.47</w:t>
            </w:r>
            <w:r>
              <w:rPr>
                <w:rFonts w:hint="eastAsia" w:cs="宋体"/>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备注：1.本表反映单位本年度一般公共预算财政拨款基本支出明细情况。</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2240" w:type="dxa"/>
        <w:tblInd w:w="0" w:type="dxa"/>
        <w:shd w:val="clear" w:color="auto" w:fill="auto"/>
        <w:tblLayout w:type="fixed"/>
        <w:tblCellMar>
          <w:top w:w="0" w:type="dxa"/>
          <w:left w:w="0" w:type="dxa"/>
          <w:bottom w:w="0" w:type="dxa"/>
          <w:right w:w="0" w:type="dxa"/>
        </w:tblCellMar>
      </w:tblPr>
      <w:tblGrid>
        <w:gridCol w:w="2686"/>
        <w:gridCol w:w="4465"/>
        <w:gridCol w:w="2473"/>
        <w:gridCol w:w="2473"/>
        <w:gridCol w:w="2473"/>
        <w:gridCol w:w="2473"/>
        <w:gridCol w:w="2558"/>
        <w:gridCol w:w="2639"/>
      </w:tblGrid>
      <w:tr>
        <w:tblPrEx>
          <w:shd w:val="clear" w:color="auto" w:fill="auto"/>
          <w:tblLayout w:type="fixed"/>
          <w:tblCellMar>
            <w:top w:w="0" w:type="dxa"/>
            <w:left w:w="0" w:type="dxa"/>
            <w:bottom w:w="0" w:type="dxa"/>
            <w:right w:w="0" w:type="dxa"/>
          </w:tblCellMar>
        </w:tblPrEx>
        <w:trPr>
          <w:trHeight w:val="644" w:hRule="atLeast"/>
        </w:trPr>
        <w:tc>
          <w:tcPr>
            <w:tcW w:w="22240" w:type="dxa"/>
            <w:gridSpan w:val="8"/>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政府性基金预算财政拨款收入支出决算表</w:t>
            </w:r>
          </w:p>
        </w:tc>
      </w:tr>
      <w:tr>
        <w:tblPrEx>
          <w:tblLayout w:type="fixed"/>
          <w:tblCellMar>
            <w:top w:w="0" w:type="dxa"/>
            <w:left w:w="0" w:type="dxa"/>
            <w:bottom w:w="0" w:type="dxa"/>
            <w:right w:w="0" w:type="dxa"/>
          </w:tblCellMar>
        </w:tblPrEx>
        <w:trPr>
          <w:trHeight w:val="329" w:hRule="atLeast"/>
        </w:trPr>
        <w:tc>
          <w:tcPr>
            <w:tcW w:w="7151"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重庆市潼南区寿桥镇村镇建设服务中心</w:t>
            </w: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263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公开07表</w:t>
            </w:r>
          </w:p>
        </w:tc>
      </w:tr>
      <w:tr>
        <w:tblPrEx>
          <w:tblLayout w:type="fixed"/>
          <w:tblCellMar>
            <w:top w:w="0" w:type="dxa"/>
            <w:left w:w="0" w:type="dxa"/>
            <w:bottom w:w="0" w:type="dxa"/>
            <w:right w:w="0" w:type="dxa"/>
          </w:tblCellMar>
        </w:tblPrEx>
        <w:trPr>
          <w:trHeight w:val="329" w:hRule="atLeast"/>
        </w:trPr>
        <w:tc>
          <w:tcPr>
            <w:tcW w:w="7151"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47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558"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263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339" w:hRule="atLeast"/>
        </w:trPr>
        <w:tc>
          <w:tcPr>
            <w:tcW w:w="7151"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2473" w:type="dxa"/>
            <w:vMerge w:val="restart"/>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年初结转和结余</w:t>
            </w:r>
          </w:p>
        </w:tc>
        <w:tc>
          <w:tcPr>
            <w:tcW w:w="2473"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本年收入</w:t>
            </w:r>
          </w:p>
        </w:tc>
        <w:tc>
          <w:tcPr>
            <w:tcW w:w="7504" w:type="dxa"/>
            <w:gridSpan w:val="3"/>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c>
          <w:tcPr>
            <w:tcW w:w="2639"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年末结转和结余</w:t>
            </w:r>
          </w:p>
        </w:tc>
      </w:tr>
      <w:tr>
        <w:tblPrEx>
          <w:tblLayout w:type="fixed"/>
          <w:tblCellMar>
            <w:top w:w="0" w:type="dxa"/>
            <w:left w:w="0" w:type="dxa"/>
            <w:bottom w:w="0" w:type="dxa"/>
            <w:right w:w="0" w:type="dxa"/>
          </w:tblCellMar>
        </w:tblPrEx>
        <w:trPr>
          <w:trHeight w:val="335" w:hRule="atLeast"/>
        </w:trPr>
        <w:tc>
          <w:tcPr>
            <w:tcW w:w="2686"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65" w:type="dxa"/>
            <w:vMerge w:val="restart"/>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项目（按“项”级功能分类科目）</w:t>
            </w: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2558"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645" w:hRule="atLeast"/>
        </w:trPr>
        <w:tc>
          <w:tcPr>
            <w:tcW w:w="2686"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65"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47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558"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2639" w:type="dxa"/>
            <w:vMerge w:val="continue"/>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9" w:hRule="atLeast"/>
        </w:trPr>
        <w:tc>
          <w:tcPr>
            <w:tcW w:w="7151" w:type="dxa"/>
            <w:gridSpan w:val="2"/>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47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558"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2639"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备注：本表反映单位本年度政府性基金预算财政拨款收入支出及结转和结余情况。本单位无政府性基金收支，故本表无数据。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2220" w:type="dxa"/>
        <w:tblInd w:w="0" w:type="dxa"/>
        <w:shd w:val="clear" w:color="auto" w:fill="auto"/>
        <w:tblLayout w:type="fixed"/>
        <w:tblCellMar>
          <w:top w:w="0" w:type="dxa"/>
          <w:left w:w="0" w:type="dxa"/>
          <w:bottom w:w="0" w:type="dxa"/>
          <w:right w:w="0" w:type="dxa"/>
        </w:tblCellMar>
      </w:tblPr>
      <w:tblGrid>
        <w:gridCol w:w="2729"/>
        <w:gridCol w:w="4420"/>
        <w:gridCol w:w="4736"/>
        <w:gridCol w:w="5423"/>
        <w:gridCol w:w="4912"/>
      </w:tblGrid>
      <w:tr>
        <w:tblPrEx>
          <w:tblLayout w:type="fixed"/>
          <w:tblCellMar>
            <w:top w:w="0" w:type="dxa"/>
            <w:left w:w="0" w:type="dxa"/>
            <w:bottom w:w="0" w:type="dxa"/>
            <w:right w:w="0" w:type="dxa"/>
          </w:tblCellMar>
        </w:tblPrEx>
        <w:trPr>
          <w:trHeight w:val="650" w:hRule="atLeast"/>
        </w:trPr>
        <w:tc>
          <w:tcPr>
            <w:tcW w:w="22220"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国有资本经营预算财政拨款支出决算表</w:t>
            </w:r>
          </w:p>
        </w:tc>
      </w:tr>
      <w:tr>
        <w:tblPrEx>
          <w:tblLayout w:type="fixed"/>
          <w:tblCellMar>
            <w:top w:w="0" w:type="dxa"/>
            <w:left w:w="0" w:type="dxa"/>
            <w:bottom w:w="0" w:type="dxa"/>
            <w:right w:w="0" w:type="dxa"/>
          </w:tblCellMar>
        </w:tblPrEx>
        <w:trPr>
          <w:trHeight w:val="332" w:hRule="atLeast"/>
        </w:trPr>
        <w:tc>
          <w:tcPr>
            <w:tcW w:w="7149" w:type="dxa"/>
            <w:gridSpan w:val="2"/>
            <w:vMerge w:val="restart"/>
            <w:tcBorders>
              <w:top w:val="nil"/>
              <w:left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重庆市潼南区寿桥镇村镇建设服务中心</w:t>
            </w: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4912"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公开08表</w:t>
            </w:r>
          </w:p>
        </w:tc>
      </w:tr>
      <w:tr>
        <w:tblPrEx>
          <w:tblLayout w:type="fixed"/>
          <w:tblCellMar>
            <w:top w:w="0" w:type="dxa"/>
            <w:left w:w="0" w:type="dxa"/>
            <w:bottom w:w="0" w:type="dxa"/>
            <w:right w:w="0" w:type="dxa"/>
          </w:tblCellMar>
        </w:tblPrEx>
        <w:trPr>
          <w:trHeight w:val="332" w:hRule="atLeast"/>
        </w:trPr>
        <w:tc>
          <w:tcPr>
            <w:tcW w:w="7149" w:type="dxa"/>
            <w:gridSpan w:val="2"/>
            <w:vMerge w:val="continue"/>
            <w:tcBorders>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736"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5423"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4912"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422"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w:t>
            </w:r>
          </w:p>
        </w:tc>
        <w:tc>
          <w:tcPr>
            <w:tcW w:w="15071" w:type="dxa"/>
            <w:gridSpan w:val="3"/>
            <w:tcBorders>
              <w:top w:val="single" w:color="000000" w:sz="4" w:space="0"/>
              <w:left w:val="single" w:color="000000" w:sz="4" w:space="0"/>
              <w:bottom w:val="single" w:color="000000" w:sz="4" w:space="0"/>
              <w:right w:val="single" w:color="000000" w:sz="4" w:space="0"/>
            </w:tcBorders>
            <w:shd w:val="clear" w:color="auto" w:fill="C0C0C0"/>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本年支出</w:t>
            </w:r>
          </w:p>
        </w:tc>
      </w:tr>
      <w:tr>
        <w:tblPrEx>
          <w:tblLayout w:type="fixed"/>
          <w:tblCellMar>
            <w:top w:w="0" w:type="dxa"/>
            <w:left w:w="0" w:type="dxa"/>
            <w:bottom w:w="0" w:type="dxa"/>
            <w:right w:w="0" w:type="dxa"/>
          </w:tblCellMar>
        </w:tblPrEx>
        <w:trPr>
          <w:trHeight w:val="339" w:hRule="atLeast"/>
        </w:trPr>
        <w:tc>
          <w:tcPr>
            <w:tcW w:w="2729"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功能分类科目编码</w:t>
            </w:r>
          </w:p>
        </w:tc>
        <w:tc>
          <w:tcPr>
            <w:tcW w:w="4420"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科目名称</w:t>
            </w:r>
          </w:p>
        </w:tc>
        <w:tc>
          <w:tcPr>
            <w:tcW w:w="4736" w:type="dxa"/>
            <w:vMerge w:val="restart"/>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5423"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基本支出</w:t>
            </w:r>
          </w:p>
        </w:tc>
        <w:tc>
          <w:tcPr>
            <w:tcW w:w="4912" w:type="dxa"/>
            <w:vMerge w:val="restart"/>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项目支出</w:t>
            </w:r>
          </w:p>
        </w:tc>
      </w:tr>
      <w:tr>
        <w:tblPrEx>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39"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312" w:hRule="atLeast"/>
        </w:trPr>
        <w:tc>
          <w:tcPr>
            <w:tcW w:w="2729"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420"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736" w:type="dxa"/>
            <w:vMerge w:val="continue"/>
            <w:tcBorders>
              <w:top w:val="nil"/>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5423"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c>
          <w:tcPr>
            <w:tcW w:w="4912" w:type="dxa"/>
            <w:vMerge w:val="continue"/>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center"/>
              <w:rPr>
                <w:rFonts w:hint="eastAsia" w:ascii="宋体" w:hAnsi="宋体" w:eastAsia="宋体" w:cs="宋体"/>
                <w:b/>
                <w:i w:val="0"/>
                <w:color w:val="000000"/>
                <w:sz w:val="22"/>
                <w:szCs w:val="22"/>
                <w:u w:val="none"/>
              </w:rPr>
            </w:pPr>
          </w:p>
        </w:tc>
      </w:tr>
      <w:tr>
        <w:tblPrEx>
          <w:tblLayout w:type="fixed"/>
          <w:tblCellMar>
            <w:top w:w="0" w:type="dxa"/>
            <w:left w:w="0" w:type="dxa"/>
            <w:bottom w:w="0" w:type="dxa"/>
            <w:right w:w="0" w:type="dxa"/>
          </w:tblCellMar>
        </w:tblPrEx>
        <w:trPr>
          <w:trHeight w:val="611" w:hRule="atLeast"/>
        </w:trPr>
        <w:tc>
          <w:tcPr>
            <w:tcW w:w="7149" w:type="dxa"/>
            <w:gridSpan w:val="2"/>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合计</w:t>
            </w:r>
          </w:p>
        </w:tc>
        <w:tc>
          <w:tcPr>
            <w:tcW w:w="4736"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c>
          <w:tcPr>
            <w:tcW w:w="5423"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jc w:val="right"/>
              <w:rPr>
                <w:rFonts w:hint="eastAsia" w:ascii="宋体" w:hAnsi="宋体" w:eastAsia="宋体" w:cs="宋体"/>
                <w:b/>
                <w:i w:val="0"/>
                <w:color w:val="000000"/>
                <w:sz w:val="22"/>
                <w:szCs w:val="22"/>
                <w:u w:val="none"/>
              </w:rPr>
            </w:pPr>
          </w:p>
        </w:tc>
        <w:tc>
          <w:tcPr>
            <w:tcW w:w="491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wordWrap w:val="0"/>
              <w:jc w:val="right"/>
              <w:textAlignment w:val="center"/>
              <w:rPr>
                <w:rFonts w:hint="eastAsia" w:ascii="宋体" w:hAnsi="宋体" w:eastAsia="宋体" w:cs="宋体"/>
                <w:b/>
                <w:i w:val="0"/>
                <w:color w:val="000000"/>
                <w:sz w:val="22"/>
                <w:szCs w:val="22"/>
                <w:u w:val="none"/>
                <w:lang w:val="en-US" w:eastAsia="zh-CN"/>
              </w:rPr>
            </w:pPr>
            <w:r>
              <w:rPr>
                <w:rFonts w:hint="eastAsia" w:cs="宋体"/>
                <w:b/>
                <w:bCs/>
                <w:color w:val="000000"/>
                <w:sz w:val="21"/>
                <w:szCs w:val="21"/>
                <w:lang w:val="en-US" w:eastAsia="zh-CN" w:bidi="ar"/>
              </w:rPr>
              <w:t xml:space="preserve"> </w:t>
            </w:r>
          </w:p>
        </w:tc>
      </w:tr>
    </w:tbl>
    <w:p>
      <w:pPr>
        <w:rPr>
          <w:rFonts w:hint="eastAsia" w:ascii="宋体" w:hAnsi="宋体" w:eastAsia="宋体" w:cs="宋体"/>
          <w:b w:val="0"/>
          <w:bCs w:val="0"/>
          <w:i w:val="0"/>
          <w:iCs w:val="0"/>
          <w:color w:val="auto"/>
          <w:kern w:val="0"/>
          <w:sz w:val="21"/>
          <w:szCs w:val="21"/>
          <w:u w:val="none"/>
          <w:shd w:val="clear" w:color="auto" w:fill="auto"/>
          <w:lang w:val="en-US" w:eastAsia="zh-CN" w:bidi="ar"/>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备注：本表反映单位本年度国有资本经营预算财政拨款支出情况。本单位无国有资本经营收支，故本表无数据。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numPr>
          <w:ilvl w:val="0"/>
          <w:numId w:val="0"/>
        </w:numPr>
        <w:rPr>
          <w:rFonts w:hint="eastAsia" w:ascii="宋体" w:hAnsi="宋体" w:eastAsia="宋体" w:cs="宋体"/>
          <w:sz w:val="21"/>
          <w:szCs w:val="21"/>
        </w:rPr>
      </w:pPr>
      <w:r>
        <w:rPr>
          <w:rFonts w:hint="eastAsia" w:ascii="宋体" w:hAnsi="宋体" w:eastAsia="宋体" w:cs="宋体"/>
          <w:sz w:val="21"/>
          <w:szCs w:val="21"/>
        </w:rPr>
        <w:br w:type="page"/>
      </w:r>
    </w:p>
    <w:tbl>
      <w:tblPr>
        <w:tblStyle w:val="9"/>
        <w:tblW w:w="22168" w:type="dxa"/>
        <w:tblInd w:w="0" w:type="dxa"/>
        <w:shd w:val="clear" w:color="auto" w:fill="auto"/>
        <w:tblLayout w:type="fixed"/>
        <w:tblCellMar>
          <w:top w:w="0" w:type="dxa"/>
          <w:left w:w="0" w:type="dxa"/>
          <w:bottom w:w="0" w:type="dxa"/>
          <w:right w:w="0" w:type="dxa"/>
        </w:tblCellMar>
      </w:tblPr>
      <w:tblGrid>
        <w:gridCol w:w="5159"/>
        <w:gridCol w:w="3822"/>
        <w:gridCol w:w="3281"/>
        <w:gridCol w:w="6581"/>
        <w:gridCol w:w="3325"/>
      </w:tblGrid>
      <w:tr>
        <w:tblPrEx>
          <w:shd w:val="clear" w:color="auto" w:fill="auto"/>
          <w:tblLayout w:type="fixed"/>
          <w:tblCellMar>
            <w:top w:w="0" w:type="dxa"/>
            <w:left w:w="0" w:type="dxa"/>
            <w:bottom w:w="0" w:type="dxa"/>
            <w:right w:w="0" w:type="dxa"/>
          </w:tblCellMar>
        </w:tblPrEx>
        <w:trPr>
          <w:trHeight w:val="510" w:hRule="atLeast"/>
        </w:trPr>
        <w:tc>
          <w:tcPr>
            <w:tcW w:w="22168" w:type="dxa"/>
            <w:gridSpan w:val="5"/>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b/>
                <w:i w:val="0"/>
                <w:color w:val="000000"/>
                <w:sz w:val="40"/>
                <w:szCs w:val="40"/>
                <w:u w:val="none"/>
              </w:rPr>
            </w:pPr>
            <w:r>
              <w:rPr>
                <w:rFonts w:hint="eastAsia" w:ascii="宋体" w:hAnsi="宋体" w:eastAsia="宋体" w:cs="宋体"/>
                <w:b/>
                <w:i w:val="0"/>
                <w:color w:val="000000"/>
                <w:kern w:val="0"/>
                <w:sz w:val="44"/>
                <w:szCs w:val="44"/>
                <w:u w:val="none"/>
                <w:lang w:val="en-US" w:eastAsia="zh-CN" w:bidi="ar"/>
              </w:rPr>
              <w:t>机构运行信息表</w:t>
            </w:r>
          </w:p>
        </w:tc>
      </w:tr>
      <w:tr>
        <w:tblPrEx>
          <w:tblLayout w:type="fixed"/>
          <w:tblCellMar>
            <w:top w:w="0" w:type="dxa"/>
            <w:left w:w="0" w:type="dxa"/>
            <w:bottom w:w="0" w:type="dxa"/>
            <w:right w:w="0" w:type="dxa"/>
          </w:tblCellMar>
        </w:tblPrEx>
        <w:trPr>
          <w:trHeight w:val="255" w:hRule="atLeast"/>
        </w:trPr>
        <w:tc>
          <w:tcPr>
            <w:tcW w:w="5159"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default" w:ascii="Arial" w:hAnsi="Arial" w:eastAsia="宋体" w:cs="Arial"/>
                <w:i w:val="0"/>
                <w:color w:val="000000"/>
                <w:sz w:val="20"/>
                <w:szCs w:val="20"/>
                <w:u w:val="none"/>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0"/>
                <w:szCs w:val="20"/>
                <w:u w:val="none"/>
              </w:rPr>
            </w:pPr>
          </w:p>
        </w:tc>
        <w:tc>
          <w:tcPr>
            <w:tcW w:w="332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公开09表</w:t>
            </w:r>
          </w:p>
        </w:tc>
      </w:tr>
      <w:tr>
        <w:tblPrEx>
          <w:tblLayout w:type="fixed"/>
          <w:tblCellMar>
            <w:top w:w="0" w:type="dxa"/>
            <w:left w:w="0" w:type="dxa"/>
            <w:bottom w:w="0" w:type="dxa"/>
            <w:right w:w="0" w:type="dxa"/>
          </w:tblCellMar>
        </w:tblPrEx>
        <w:trPr>
          <w:trHeight w:val="285" w:hRule="atLeast"/>
        </w:trPr>
        <w:tc>
          <w:tcPr>
            <w:tcW w:w="5159"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left"/>
              <w:textAlignment w:val="bottom"/>
              <w:rPr>
                <w:rFonts w:hint="default" w:ascii="Arial" w:hAnsi="Arial" w:eastAsia="宋体" w:cs="Arial"/>
                <w:i w:val="0"/>
                <w:color w:val="000000"/>
                <w:sz w:val="22"/>
                <w:szCs w:val="22"/>
                <w:u w:val="none"/>
              </w:rPr>
            </w:pPr>
            <w:r>
              <w:rPr>
                <w:rFonts w:hint="eastAsia" w:asciiTheme="minorEastAsia" w:hAnsiTheme="minorEastAsia" w:eastAsiaTheme="minorEastAsia" w:cstheme="minorEastAsia"/>
                <w:sz w:val="24"/>
                <w:szCs w:val="24"/>
                <w:lang w:eastAsia="zh-CN"/>
              </w:rPr>
              <w:t>公开单位</w:t>
            </w:r>
            <w:r>
              <w:rPr>
                <w:rFonts w:hint="eastAsia" w:asciiTheme="minorEastAsia" w:hAnsiTheme="minorEastAsia" w:eastAsiaTheme="minorEastAsia" w:cstheme="minorEastAsia"/>
                <w:color w:val="000000"/>
                <w:sz w:val="24"/>
                <w:szCs w:val="24"/>
                <w:lang w:bidi="ar"/>
              </w:rPr>
              <w:t xml:space="preserve">： </w:t>
            </w:r>
            <w:r>
              <w:rPr>
                <w:color w:val="000000"/>
                <w:sz w:val="24"/>
                <w:u w:color="auto"/>
              </w:rPr>
              <w:t>重庆市潼南区寿桥镇村镇建设服务中心</w:t>
            </w:r>
          </w:p>
        </w:tc>
        <w:tc>
          <w:tcPr>
            <w:tcW w:w="3822" w:type="dxa"/>
            <w:tcBorders>
              <w:top w:val="nil"/>
              <w:left w:val="nil"/>
              <w:bottom w:val="nil"/>
              <w:right w:val="nil"/>
            </w:tcBorders>
            <w:shd w:val="clear" w:color="auto" w:fill="auto"/>
            <w:tcMar>
              <w:top w:w="15" w:type="dxa"/>
              <w:left w:w="15" w:type="dxa"/>
              <w:right w:w="15" w:type="dxa"/>
            </w:tcMar>
            <w:vAlign w:val="bottom"/>
          </w:tcPr>
          <w:p>
            <w:pPr>
              <w:jc w:val="center"/>
              <w:rPr>
                <w:rFonts w:hint="eastAsia" w:ascii="宋体" w:hAnsi="宋体" w:eastAsia="宋体" w:cs="宋体"/>
                <w:i w:val="0"/>
                <w:color w:val="000000"/>
                <w:sz w:val="22"/>
                <w:szCs w:val="22"/>
                <w:u w:val="none"/>
              </w:rPr>
            </w:pPr>
          </w:p>
        </w:tc>
        <w:tc>
          <w:tcPr>
            <w:tcW w:w="3281" w:type="dxa"/>
            <w:tcBorders>
              <w:top w:val="nil"/>
              <w:left w:val="nil"/>
              <w:bottom w:val="nil"/>
              <w:right w:val="nil"/>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2"/>
                <w:szCs w:val="22"/>
                <w:u w:val="none"/>
              </w:rPr>
            </w:pPr>
          </w:p>
        </w:tc>
        <w:tc>
          <w:tcPr>
            <w:tcW w:w="6581" w:type="dxa"/>
            <w:tcBorders>
              <w:top w:val="nil"/>
              <w:left w:val="nil"/>
              <w:bottom w:val="nil"/>
              <w:right w:val="nil"/>
            </w:tcBorders>
            <w:shd w:val="clear" w:color="auto" w:fill="auto"/>
            <w:tcMar>
              <w:top w:w="15" w:type="dxa"/>
              <w:left w:w="15" w:type="dxa"/>
              <w:right w:w="15" w:type="dxa"/>
            </w:tcMar>
            <w:vAlign w:val="bottom"/>
          </w:tcPr>
          <w:p>
            <w:pPr>
              <w:rPr>
                <w:rFonts w:hint="default" w:ascii="Arial" w:hAnsi="Arial" w:eastAsia="宋体" w:cs="Arial"/>
                <w:i w:val="0"/>
                <w:color w:val="000000"/>
                <w:sz w:val="22"/>
                <w:szCs w:val="22"/>
                <w:u w:val="none"/>
              </w:rPr>
            </w:pPr>
          </w:p>
        </w:tc>
        <w:tc>
          <w:tcPr>
            <w:tcW w:w="3325" w:type="dxa"/>
            <w:tcBorders>
              <w:top w:val="nil"/>
              <w:left w:val="nil"/>
              <w:bottom w:val="nil"/>
              <w:right w:val="nil"/>
            </w:tcBorders>
            <w:shd w:val="clear" w:color="auto" w:fill="auto"/>
            <w:tcMar>
              <w:top w:w="15" w:type="dxa"/>
              <w:left w:w="15" w:type="dxa"/>
              <w:right w:w="15" w:type="dxa"/>
            </w:tcMar>
            <w:vAlign w:val="bottom"/>
          </w:tcPr>
          <w:p>
            <w:pPr>
              <w:keepNext w:val="0"/>
              <w:keepLines w:val="0"/>
              <w:widowControl/>
              <w:suppressLineNumbers w:val="0"/>
              <w:jc w:val="right"/>
              <w:textAlignment w:val="bottom"/>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r>
              <w:rPr>
                <w:rFonts w:hint="eastAsia" w:ascii="宋体" w:hAnsi="宋体" w:eastAsia="宋体" w:cs="宋体"/>
                <w:sz w:val="24"/>
                <w:szCs w:val="24"/>
              </w:rPr>
              <w:t>万元</w:t>
            </w:r>
          </w:p>
        </w:tc>
      </w:tr>
      <w:tr>
        <w:tblPrEx>
          <w:tblLayout w:type="fixed"/>
          <w:tblCellMar>
            <w:top w:w="0" w:type="dxa"/>
            <w:left w:w="0" w:type="dxa"/>
            <w:bottom w:w="0" w:type="dxa"/>
            <w:right w:w="0" w:type="dxa"/>
          </w:tblCellMar>
        </w:tblPrEx>
        <w:trPr>
          <w:trHeight w:val="308" w:hRule="atLeast"/>
        </w:trPr>
        <w:tc>
          <w:tcPr>
            <w:tcW w:w="5159" w:type="dxa"/>
            <w:tcBorders>
              <w:top w:val="single" w:color="000000" w:sz="4" w:space="0"/>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822" w:type="dxa"/>
            <w:tcBorders>
              <w:top w:val="single" w:color="000000" w:sz="4" w:space="0"/>
              <w:left w:val="single" w:color="000000" w:sz="4" w:space="0"/>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预算数</w:t>
            </w:r>
          </w:p>
        </w:tc>
        <w:tc>
          <w:tcPr>
            <w:tcW w:w="3281"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c>
          <w:tcPr>
            <w:tcW w:w="6581" w:type="dxa"/>
            <w:tcBorders>
              <w:top w:val="single" w:color="000000" w:sz="4" w:space="0"/>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项  目</w:t>
            </w:r>
          </w:p>
        </w:tc>
        <w:tc>
          <w:tcPr>
            <w:tcW w:w="3325" w:type="dxa"/>
            <w:tcBorders>
              <w:top w:val="single" w:color="000000" w:sz="4" w:space="0"/>
              <w:left w:val="nil"/>
              <w:bottom w:val="nil"/>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2"/>
                <w:szCs w:val="22"/>
                <w:u w:val="none"/>
              </w:rPr>
            </w:pPr>
            <w:r>
              <w:rPr>
                <w:rFonts w:hint="eastAsia" w:ascii="宋体" w:hAnsi="宋体" w:eastAsia="宋体" w:cs="宋体"/>
                <w:b/>
                <w:i w:val="0"/>
                <w:color w:val="000000"/>
                <w:kern w:val="0"/>
                <w:sz w:val="22"/>
                <w:szCs w:val="22"/>
                <w:u w:val="none"/>
                <w:lang w:val="en-US" w:eastAsia="zh-CN" w:bidi="ar"/>
              </w:rPr>
              <w:t>决算数</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一、“三公”经费支出</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四、机关运行经费</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（一）支出合计</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（一）行政单位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（二）参照公务员法管理事业单位</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2．公务用车购置及运行维护费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五、资产信息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（1）公务用车购置费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（一）车辆数合计（辆）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（2）公务用车运行维护费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1．副部（省）级及以上领导用车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3．公务接待费</w:t>
            </w:r>
          </w:p>
        </w:tc>
        <w:tc>
          <w:tcPr>
            <w:tcW w:w="3822"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2．主要领导干部用车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（1）国内接待费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3．机要通信用车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4．应急保障用车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（2）国（境）外接待费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5．执法执勤用车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（二）相关统计数</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6．特种专业技术用车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1．因公出国（境）团组数（个）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7．离退休干部用车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2．因公出国（境）人次数（人）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8．其他用车</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3．公务用车购置数（辆）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（二）单价100万元（含）以上设备（不含车辆）</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4．公务用车保有量（辆）</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六、政府采购支出信息</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5．国内公务接待批次（个）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（一）政府采购支出合计</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1．政府采购货物支出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6．国内公务接待人次（人）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2．政府采购工程支出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其中：外事接待人次（人）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3．政府采购服务支出</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7．国（境）外公务接待批次（个）</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（二）政府采购授予中小企业合同金额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BFBFBF"/>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8．国（境）外公务接待人次（人）</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FFFFFF"/>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 xml:space="preserve">        其中：授予小微企业合同金额</w:t>
            </w: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二、会议费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r>
      <w:tr>
        <w:tblPrEx>
          <w:tblLayout w:type="fixed"/>
          <w:tblCellMar>
            <w:top w:w="0" w:type="dxa"/>
            <w:left w:w="0" w:type="dxa"/>
            <w:bottom w:w="0" w:type="dxa"/>
            <w:right w:w="0" w:type="dxa"/>
          </w:tblCellMar>
        </w:tblPrEx>
        <w:trPr>
          <w:trHeight w:val="308" w:hRule="atLeast"/>
        </w:trPr>
        <w:tc>
          <w:tcPr>
            <w:tcW w:w="5159" w:type="dxa"/>
            <w:tcBorders>
              <w:top w:val="nil"/>
              <w:left w:val="single" w:color="000000" w:sz="4" w:space="0"/>
              <w:bottom w:val="single" w:color="000000" w:sz="4" w:space="0"/>
              <w:right w:val="nil"/>
            </w:tcBorders>
            <w:shd w:val="clear" w:color="FFFFFF" w:fill="C0C0C0"/>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三、培训费</w:t>
            </w:r>
          </w:p>
        </w:tc>
        <w:tc>
          <w:tcPr>
            <w:tcW w:w="3822" w:type="dxa"/>
            <w:tcBorders>
              <w:top w:val="nil"/>
              <w:left w:val="nil"/>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3281" w:type="dxa"/>
            <w:tcBorders>
              <w:top w:val="single" w:color="000000" w:sz="4" w:space="0"/>
              <w:left w:val="nil"/>
              <w:bottom w:val="single" w:color="000000" w:sz="4" w:space="0"/>
              <w:right w:val="single" w:color="000000" w:sz="4" w:space="0"/>
            </w:tcBorders>
            <w:shd w:val="clear" w:color="auto" w:fill="auto"/>
            <w:tcMar>
              <w:top w:w="15" w:type="dxa"/>
              <w:left w:w="15" w:type="dxa"/>
              <w:right w:w="15" w:type="dxa"/>
            </w:tcMar>
            <w:vAlign w:val="bottom"/>
          </w:tcPr>
          <w:p>
            <w:pPr>
              <w:wordWrap w:val="0"/>
              <w:jc w:val="right"/>
              <w:textAlignment w:val="bottom"/>
              <w:rPr>
                <w:rFonts w:hint="eastAsia" w:ascii="Arial" w:hAnsi="Arial" w:eastAsia="宋体" w:cs="Arial"/>
                <w:i w:val="0"/>
                <w:color w:val="000000"/>
                <w:sz w:val="20"/>
                <w:szCs w:val="20"/>
                <w:u w:val="none"/>
                <w:lang w:val="en-US" w:eastAsia="zh-CN"/>
              </w:rPr>
            </w:pPr>
            <w:r>
              <w:rPr>
                <w:rFonts w:hint="eastAsia" w:cs="宋体"/>
                <w:color w:val="000000"/>
                <w:sz w:val="21"/>
                <w:szCs w:val="21"/>
                <w:lang w:val="en-US" w:eastAsia="zh-CN" w:bidi="ar"/>
              </w:rPr>
              <w:t xml:space="preserve"> </w:t>
            </w:r>
          </w:p>
        </w:tc>
        <w:tc>
          <w:tcPr>
            <w:tcW w:w="6581" w:type="dxa"/>
            <w:tcBorders>
              <w:top w:val="nil"/>
              <w:left w:val="nil"/>
              <w:bottom w:val="single" w:color="000000" w:sz="4" w:space="0"/>
              <w:right w:val="single" w:color="000000" w:sz="4" w:space="0"/>
            </w:tcBorders>
            <w:shd w:val="clear" w:color="FFFFFF" w:fill="C0C0C0"/>
            <w:tcMar>
              <w:top w:w="15" w:type="dxa"/>
              <w:left w:w="15" w:type="dxa"/>
              <w:right w:w="15" w:type="dxa"/>
            </w:tcMar>
            <w:vAlign w:val="center"/>
          </w:tcPr>
          <w:p>
            <w:pPr>
              <w:jc w:val="left"/>
              <w:rPr>
                <w:rFonts w:hint="eastAsia" w:ascii="宋体" w:hAnsi="宋体" w:eastAsia="宋体" w:cs="宋体"/>
                <w:i w:val="0"/>
                <w:color w:val="000000"/>
                <w:sz w:val="22"/>
                <w:szCs w:val="22"/>
                <w:u w:val="none"/>
              </w:rPr>
            </w:pPr>
          </w:p>
        </w:tc>
        <w:tc>
          <w:tcPr>
            <w:tcW w:w="33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jc w:val="right"/>
              <w:rPr>
                <w:rFonts w:hint="default" w:ascii="Arial" w:hAnsi="Arial" w:eastAsia="宋体" w:cs="Arial"/>
                <w:i w:val="0"/>
                <w:color w:val="000000"/>
                <w:sz w:val="20"/>
                <w:szCs w:val="20"/>
                <w:u w:val="none"/>
              </w:rPr>
            </w:pPr>
          </w:p>
        </w:tc>
      </w:tr>
    </w:tbl>
    <w:p>
      <w:pPr>
        <w:rPr>
          <w:rFonts w:hint="eastAsia" w:ascii="宋体" w:hAnsi="宋体" w:eastAsia="宋体" w:cs="宋体"/>
          <w:sz w:val="21"/>
          <w:szCs w:val="21"/>
        </w:rPr>
      </w:pPr>
      <w:r>
        <w:rPr>
          <w:rFonts w:hint="eastAsia" w:ascii="宋体" w:hAnsi="宋体" w:eastAsia="宋体" w:cs="宋体"/>
          <w:b w:val="0"/>
          <w:bCs w:val="0"/>
          <w:i w:val="0"/>
          <w:iCs w:val="0"/>
          <w:color w:val="auto"/>
          <w:kern w:val="0"/>
          <w:sz w:val="21"/>
          <w:szCs w:val="21"/>
          <w:u w:val="none"/>
          <w:shd w:val="clear" w:color="auto" w:fill="auto"/>
          <w:lang w:val="en-US" w:eastAsia="zh-CN" w:bidi="ar"/>
        </w:rPr>
        <w:t>备注：1.本表反映单位本年度财政拨款“三公”经费支出预决算情况。其中，预算数为“三公”经费全年预算数，反映按规定程序调整后的预算数；决算数为包括本年度财政拨款和以前年度结转资金安排的实际支出。</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b w:val="0"/>
          <w:bCs w:val="0"/>
          <w:i w:val="0"/>
          <w:iCs w:val="0"/>
          <w:color w:val="auto"/>
          <w:kern w:val="0"/>
          <w:sz w:val="21"/>
          <w:szCs w:val="21"/>
          <w:u w:val="none"/>
          <w:shd w:val="clear" w:color="auto" w:fill="auto"/>
          <w:lang w:val="en-US" w:eastAsia="zh-CN" w:bidi="ar"/>
        </w:rPr>
        <w:t xml:space="preserve">      2.本套报表金额单位转换时可能存在尾数误差。</w:t>
      </w:r>
      <w:r>
        <w:rPr>
          <w:rFonts w:hint="eastAsia" w:ascii="宋体" w:hAnsi="宋体" w:eastAsia="宋体" w:cs="宋体"/>
          <w:b w:val="0"/>
          <w:bCs w:val="0"/>
          <w:i w:val="0"/>
          <w:iCs w:val="0"/>
          <w:color w:val="auto"/>
          <w:kern w:val="0"/>
          <w:sz w:val="21"/>
          <w:szCs w:val="21"/>
          <w:u w:val="none"/>
          <w:shd w:val="clear" w:color="auto" w:fill="auto"/>
          <w:lang w:val="en-US" w:eastAsia="zh-CN" w:bidi="ar"/>
        </w:rPr>
        <w:br w:type="textWrapping"/>
      </w:r>
      <w:r>
        <w:rPr>
          <w:rFonts w:hint="eastAsia" w:ascii="宋体" w:hAnsi="宋体" w:eastAsia="宋体" w:cs="宋体"/>
          <w:sz w:val="21"/>
          <w:szCs w:val="21"/>
        </w:rPr>
        <w:br w:type="textWrapping"/>
      </w: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rPr>
          <w:rFonts w:hint="eastAsia" w:ascii="宋体" w:hAnsi="宋体" w:eastAsia="宋体" w:cs="宋体"/>
          <w:color w:val="000000"/>
          <w:sz w:val="21"/>
          <w:szCs w:val="21"/>
          <w:lang w:bidi="ar"/>
        </w:rPr>
      </w:pPr>
    </w:p>
    <w:p>
      <w:pPr>
        <w:pStyle w:val="11"/>
        <w:autoSpaceDE w:val="0"/>
        <w:ind w:firstLine="0" w:firstLineChars="0"/>
        <w:rPr>
          <w:rFonts w:hint="default" w:ascii="宋体" w:hAnsi="宋体" w:eastAsia="宋体" w:cs="宋体"/>
          <w:sz w:val="21"/>
          <w:szCs w:val="21"/>
        </w:rPr>
      </w:pPr>
    </w:p>
    <w:sectPr>
      <w:headerReference r:id="rId4" w:type="default"/>
      <w:footerReference r:id="rId5" w:type="default"/>
      <w:pgSz w:w="23811" w:h="16838" w:orient="landscape"/>
      <w:pgMar w:top="567" w:right="454" w:bottom="567" w:left="1037" w:header="0" w:footer="283"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宋体">
    <w:panose1 w:val="02010600030101010101"/>
    <w:charset w:val="86"/>
    <w:family w:val="auto"/>
    <w:pitch w:val="variable"/>
    <w:sig w:usb0="00000003" w:usb1="288F0000" w:usb2="00000006" w:usb3="00000000" w:csb0="00040001" w:csb1="00000000"/>
  </w:font>
  <w:font w:name="@方正仿宋_GBK">
    <w:panose1 w:val="03000509000000000000"/>
    <w:charset w:val="86"/>
    <w:family w:val="auto"/>
    <w:pitch w:val="fixed"/>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both"/>
      <w:rPr>
        <w:rFonts w:hint="default"/>
      </w:rPr>
    </w:pPr>
    <w: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allowoverlap="f"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sPgxiRcCAAAZBAAADgAAAAAA&#10;AAABACAAAAAfAQAAZHJzL2Uyb0RvYy54bWxQSwUGAAAAAAYABgBZAQAAqAUAAAAA&#10;">
              <v:fill on="f" focussize="0,0"/>
              <v:stroke on="f" weight="0.5pt"/>
              <v:imagedata o:title=""/>
              <o:lock v:ext="edit" aspectratio="f"/>
              <v:textbox inset="0mm,0mm,0mm,0mm" style="mso-fit-shape-to-text:t;">
                <w:txbxContent>
                  <w:p>
                    <w:pPr>
                      <w:pStyle w:val="3"/>
                      <w:rPr>
                        <w:rFonts w:hint="default"/>
                      </w:rPr>
                    </w:pPr>
                    <w:r>
                      <w:t xml:space="preserve"> </w:t>
                    </w:r>
                    <w:r>
                      <w:fldChar w:fldCharType="begin"/>
                    </w:r>
                    <w:r>
                      <w:instrText xml:space="preserve">PAGE   \* MERGEFORMAT</w:instrText>
                    </w:r>
                    <w:r>
                      <w:fldChar w:fldCharType="separate"/>
                    </w:r>
                    <w:r>
                      <w:rPr>
                        <w:rFonts w:hint="default"/>
                        <w:lang w:val="zh-CN"/>
                      </w:rPr>
                      <w:t>28</w:t>
                    </w:r>
                    <w:r>
                      <w:fldChar w:fldCharType="end"/>
                    </w:r>
                    <w:r>
                      <w:t xml:space="preserve"> </w:t>
                    </w:r>
                  </w:p>
                </w:txbxContent>
              </v:textbox>
            </v:shape>
          </w:pict>
        </mc:Fallback>
      </mc:AlternateContent>
    </w:r>
    <w: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pPr>
                            <w:pStyle w:val="3"/>
                            <w:jc w:val="both"/>
                            <w:rPr>
                              <w:rFonts w:hint="default" w:cs="宋体"/>
                            </w:rPr>
                          </w:pPr>
                          <w:r>
                            <w:rPr>
                              <w:rFonts w:cs="宋体"/>
                            </w:rPr>
                            <w:t>— 27.1 —</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tabs>
        <w:tab w:val="left" w:pos="1758"/>
        <w:tab w:val="clear" w:pos="4153"/>
        <w:tab w:val="clear" w:pos="8306"/>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9B67B8"/>
    <w:rsid w:val="00B03CCD"/>
    <w:rsid w:val="00F73F90"/>
    <w:rsid w:val="01474EBF"/>
    <w:rsid w:val="01F3521E"/>
    <w:rsid w:val="03B87EA0"/>
    <w:rsid w:val="03E3214F"/>
    <w:rsid w:val="044C50BA"/>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EC0126"/>
    <w:rsid w:val="10F70B9A"/>
    <w:rsid w:val="111445C7"/>
    <w:rsid w:val="114278C6"/>
    <w:rsid w:val="1158083A"/>
    <w:rsid w:val="11643A4B"/>
    <w:rsid w:val="11ED0F98"/>
    <w:rsid w:val="11F03528"/>
    <w:rsid w:val="12C921C4"/>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52256E1"/>
    <w:rsid w:val="554E5773"/>
    <w:rsid w:val="555A3CBC"/>
    <w:rsid w:val="5582012B"/>
    <w:rsid w:val="558E4E05"/>
    <w:rsid w:val="55BE2E85"/>
    <w:rsid w:val="56530F5D"/>
    <w:rsid w:val="567700D3"/>
    <w:rsid w:val="56FF7E9E"/>
    <w:rsid w:val="578867FC"/>
    <w:rsid w:val="5842572D"/>
    <w:rsid w:val="5A01087F"/>
    <w:rsid w:val="5A3B59D6"/>
    <w:rsid w:val="5AD134D8"/>
    <w:rsid w:val="5C263CE4"/>
    <w:rsid w:val="5C5D2777"/>
    <w:rsid w:val="5CF66BF3"/>
    <w:rsid w:val="5D290C69"/>
    <w:rsid w:val="5F2D4A41"/>
    <w:rsid w:val="60C74F6C"/>
    <w:rsid w:val="61025A59"/>
    <w:rsid w:val="613D5BBC"/>
    <w:rsid w:val="61536C39"/>
    <w:rsid w:val="62944DD7"/>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B474EF5"/>
    <w:rsid w:val="6C0A5AC5"/>
    <w:rsid w:val="6C560CAE"/>
    <w:rsid w:val="6C576495"/>
    <w:rsid w:val="6D903FF5"/>
    <w:rsid w:val="6DA955B8"/>
    <w:rsid w:val="6DE346AB"/>
    <w:rsid w:val="6DE5391A"/>
    <w:rsid w:val="6EFD1324"/>
    <w:rsid w:val="6F5A53AC"/>
    <w:rsid w:val="6FAC003D"/>
    <w:rsid w:val="6FE55E12"/>
    <w:rsid w:val="6FFB2E76"/>
    <w:rsid w:val="708F6F7F"/>
    <w:rsid w:val="70D94BD3"/>
    <w:rsid w:val="71C34D91"/>
    <w:rsid w:val="72DB435C"/>
    <w:rsid w:val="72E2613A"/>
    <w:rsid w:val="72F771F4"/>
    <w:rsid w:val="73934AD2"/>
    <w:rsid w:val="74EA6460"/>
    <w:rsid w:val="750837F0"/>
    <w:rsid w:val="754758CF"/>
    <w:rsid w:val="758F05B4"/>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99"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99"/>
    <w:rPr>
      <w:rFonts w:hint="eastAsia" w:ascii="宋体" w:hAnsi="宋体" w:eastAsia="宋体" w:cs="Times New Roman"/>
      <w:sz w:val="24"/>
      <w:szCs w:val="24"/>
      <w:lang w:val="en-US" w:eastAsia="zh-CN" w:bidi="ar-SA"/>
    </w:rPr>
  </w:style>
  <w:style w:type="character" w:default="1" w:styleId="7">
    <w:name w:val="Default Paragraph Font"/>
    <w:semiHidden/>
    <w:unhideWhenUsed/>
    <w:qFormat/>
    <w:uiPriority w:val="1"/>
  </w:style>
  <w:style w:type="table" w:default="1" w:styleId="9">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Layout w:type="fixed"/>
      <w:tblCellMar>
        <w:top w:w="0" w:type="dxa"/>
        <w:left w:w="108" w:type="dxa"/>
        <w:bottom w:w="0" w:type="dxa"/>
        <w:right w:w="108" w:type="dxa"/>
      </w:tblCellMar>
    </w:tblPr>
  </w:style>
  <w:style w:type="paragraph" w:styleId="2">
    <w:name w:val="Body Text"/>
    <w:basedOn w:val="1"/>
    <w:link w:val="15"/>
    <w:uiPriority w:val="0"/>
    <w:pPr>
      <w:spacing w:after="120" w:afterLines="0" w:afterAutospacing="0"/>
    </w:pPr>
  </w:style>
  <w:style w:type="paragraph" w:styleId="3">
    <w:name w:val="footer"/>
    <w:basedOn w:val="1"/>
    <w:qFormat/>
    <w:uiPriority w:val="0"/>
    <w:pPr>
      <w:tabs>
        <w:tab w:val="center" w:pos="4153"/>
        <w:tab w:val="right" w:pos="8306"/>
      </w:tabs>
      <w:snapToGrid w:val="0"/>
    </w:pPr>
    <w:rPr>
      <w:sz w:val="18"/>
      <w:szCs w:val="18"/>
    </w:rPr>
  </w:style>
  <w:style w:type="paragraph" w:styleId="4">
    <w:name w:val="header"/>
    <w:basedOn w:val="1"/>
    <w:qFormat/>
    <w:uiPriority w:val="0"/>
    <w:pPr>
      <w:tabs>
        <w:tab w:val="center" w:pos="4153"/>
        <w:tab w:val="right" w:pos="8306"/>
      </w:tabs>
      <w:snapToGrid w:val="0"/>
      <w:jc w:val="center"/>
    </w:pPr>
    <w:rPr>
      <w:sz w:val="18"/>
      <w:szCs w:val="18"/>
    </w:rPr>
  </w:style>
  <w:style w:type="paragraph" w:styleId="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6">
    <w:name w:val="Normal (Web)"/>
    <w:basedOn w:val="1"/>
    <w:unhideWhenUsed/>
    <w:qFormat/>
    <w:uiPriority w:val="0"/>
    <w:pPr>
      <w:spacing w:before="100" w:beforeAutospacing="1" w:after="100" w:afterAutospacing="1"/>
    </w:pPr>
  </w:style>
  <w:style w:type="character" w:styleId="8">
    <w:name w:val="Strong"/>
    <w:basedOn w:val="7"/>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11">
    <w:name w:val="列出段落1"/>
    <w:basedOn w:val="1"/>
    <w:qFormat/>
    <w:uiPriority w:val="99"/>
    <w:pPr>
      <w:ind w:firstLine="420" w:firstLineChars="200"/>
    </w:pPr>
    <w:rPr>
      <w:rFonts w:hint="default"/>
    </w:rPr>
  </w:style>
  <w:style w:type="paragraph" w:customStyle="1" w:styleId="12">
    <w:name w:val="普通(网站) Char"/>
    <w:qFormat/>
    <w:uiPriority w:val="0"/>
    <w:pPr>
      <w:spacing w:before="100" w:beforeAutospacing="1" w:after="100" w:afterAutospacing="1"/>
    </w:pPr>
    <w:rPr>
      <w:rFonts w:hint="default" w:ascii="宋体" w:hAnsi="宋体" w:eastAsia="宋体" w:cs="Times New Roman"/>
      <w:sz w:val="24"/>
      <w:szCs w:val="24"/>
      <w:lang w:val="en-US" w:eastAsia="zh-CN" w:bidi="ar-SA"/>
    </w:rPr>
  </w:style>
  <w:style w:type="character" w:customStyle="1" w:styleId="13">
    <w:name w:val="21"/>
    <w:qFormat/>
    <w:uiPriority w:val="0"/>
    <w:rPr>
      <w:rFonts w:hint="default" w:ascii="Wingdings" w:hAnsi="Wingdings" w:cs="Wingdings"/>
      <w:b/>
      <w:bCs/>
    </w:rPr>
  </w:style>
  <w:style w:type="paragraph" w:customStyle="1" w:styleId="14">
    <w:name w:val="List Paragraph"/>
    <w:qFormat/>
    <w:uiPriority w:val="99"/>
    <w:pPr>
      <w:ind w:firstLine="420" w:firstLineChars="200"/>
    </w:pPr>
    <w:rPr>
      <w:rFonts w:hint="default" w:ascii="宋体" w:hAnsi="宋体" w:eastAsia="宋体" w:cs="Times New Roman"/>
      <w:sz w:val="24"/>
      <w:szCs w:val="24"/>
      <w:lang w:val="en-US" w:eastAsia="zh-CN" w:bidi="ar-SA"/>
    </w:rPr>
  </w:style>
  <w:style w:type="character" w:customStyle="1" w:styleId="15">
    <w:name w:val="正文文本 Char"/>
    <w:basedOn w:val="7"/>
    <w:link w:val="2"/>
    <w:uiPriority w:val="0"/>
    <w:rPr>
      <w:rFonts w:hint="eastAsia" w:ascii="宋体" w:hAnsi="宋体" w:eastAsia="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33</Pages>
  <Words>9795</Words>
  <Characters>24154</Characters>
  <Lines>161</Lines>
  <Paragraphs>45</Paragraphs>
  <TotalTime>3</TotalTime>
  <ScaleCrop>false</ScaleCrop>
  <LinksUpToDate>false</LinksUpToDate>
  <CharactersWithSpaces>24644</CharactersWithSpaces>
  <Application>WPS Office_10.8.2.7072_F1E327BC-269C-435d-A152-05C5408002CA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2024-07-11T02:00:00Z</dcterms:created>
  <dc:creator>Administrator</dc:creator>
  <cp:lastModifiedBy>Acer</cp:lastModifiedBy>
  <dcterms:modified xsi:type="dcterms:W3CDTF">2024-09-04T06:53:19Z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BB46EABDBB2749749395447164B066B3_12</vt:lpwstr>
  </property>
</Properties>
</file>