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重庆市潼南区群力镇</w:t>
      </w:r>
      <w:r>
        <w:rPr>
          <w:rStyle w:val="24"/>
          <w:rFonts w:hint="eastAsia" w:ascii="方正小标宋简体" w:hAnsi="方正小标宋简体" w:eastAsia="方正小标宋简体" w:cs="方正小标宋简体"/>
          <w:b w:val="0"/>
          <w:bCs/>
          <w:sz w:val="44"/>
          <w:szCs w:val="44"/>
          <w:shd w:val="clear" w:fill="FFFFFF"/>
        </w:rPr>
        <w:t>综合行政执法大队</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（一）职能职责</w:t>
      </w:r>
    </w:p>
    <w:p>
      <w:pPr>
        <w:pStyle w:val="38"/>
        <w:shd w:val="clear" w:fill="FFFFFF"/>
        <w:spacing w:before="0" w:beforeAutospacing="0" w:after="0" w:afterAutospacing="0" w:line="594" w:lineRule="exact"/>
        <w:ind w:left="0" w:right="0" w:firstLine="640" w:firstLineChars="200"/>
        <w:rPr>
          <w:rFonts w:hint="default" w:ascii="Times New Roman" w:hAnsi="Times New Roman" w:eastAsia="方正仿宋简体" w:cs="方正仿宋_GBK"/>
          <w:kern w:val="0"/>
          <w:sz w:val="32"/>
          <w:szCs w:val="32"/>
          <w:shd w:val="clear" w:fill="FFFFFF"/>
        </w:rPr>
      </w:pPr>
      <w:r>
        <w:rPr>
          <w:rFonts w:hint="eastAsia" w:ascii="方正仿宋简体" w:hAnsi="方正仿宋简体" w:eastAsia="方正仿宋简体" w:cs="方正仿宋简体"/>
          <w:kern w:val="0"/>
          <w:sz w:val="32"/>
          <w:szCs w:val="32"/>
          <w:shd w:val="clear" w:fill="FFFFFF"/>
        </w:rPr>
        <w:t>本部门在党委政府的领导下，在人大的监督下，主要承担辖区内农林水利、规划建设、生态环境、卫生健康、文化旅游、民政管理、劳动监察、交通运输、民族宗教等领域的综合行政执法工作，与综合行政执法办公室统筹运行。</w:t>
      </w:r>
    </w:p>
    <w:p>
      <w:pPr>
        <w:spacing w:line="600" w:lineRule="exact"/>
        <w:ind w:firstLine="684" w:firstLineChars="214"/>
        <w:rPr>
          <w:rFonts w:eastAsia="方正仿宋_GBK"/>
          <w:sz w:val="32"/>
          <w:szCs w:val="32"/>
        </w:rPr>
      </w:pPr>
      <w:r>
        <w:rPr>
          <w:rFonts w:eastAsia="方正楷体_GBK"/>
          <w:sz w:val="32"/>
          <w:szCs w:val="32"/>
        </w:rPr>
        <w:t>（二）单位构成</w:t>
      </w:r>
    </w:p>
    <w:p>
      <w:pPr>
        <w:spacing w:line="600" w:lineRule="exact"/>
        <w:ind w:firstLine="684" w:firstLineChars="214"/>
        <w:rPr>
          <w:rFonts w:eastAsia="方正仿宋_GBK"/>
          <w:sz w:val="32"/>
          <w:szCs w:val="32"/>
        </w:rPr>
      </w:pPr>
      <w:r>
        <w:rPr>
          <w:rFonts w:hint="default" w:ascii="Times New Roman" w:hAnsi="Times New Roman" w:eastAsia="仿宋_GB2312" w:cs="Times New Roman"/>
          <w:sz w:val="32"/>
        </w:rPr>
        <w:t>本单位</w:t>
      </w:r>
      <w:r>
        <w:rPr>
          <w:rFonts w:hint="default" w:ascii="方正仿宋简体" w:hAnsi="方正仿宋简体" w:eastAsia="方正仿宋简体" w:cs="Times New Roman"/>
          <w:sz w:val="32"/>
          <w:szCs w:val="32"/>
          <w:highlight w:val="none"/>
          <w:lang w:val="en-US" w:eastAsia="zh-CN"/>
        </w:rPr>
        <w:t>由重庆市潼南区</w:t>
      </w:r>
      <w:r>
        <w:rPr>
          <w:rFonts w:hint="eastAsia" w:ascii="方正仿宋简体" w:hAnsi="方正仿宋简体" w:eastAsia="方正仿宋简体" w:cs="Times New Roman"/>
          <w:sz w:val="32"/>
          <w:szCs w:val="32"/>
          <w:highlight w:val="none"/>
          <w:lang w:val="en-US" w:eastAsia="zh-CN"/>
        </w:rPr>
        <w:t>群力</w:t>
      </w:r>
      <w:r>
        <w:rPr>
          <w:rFonts w:hint="eastAsia" w:ascii="方正仿宋简体" w:hAnsi="方正仿宋简体" w:eastAsia="方正仿宋简体"/>
          <w:sz w:val="32"/>
          <w:szCs w:val="32"/>
        </w:rPr>
        <w:t>镇综合行政执法大队组成，实有在职人员</w:t>
      </w:r>
      <w:r>
        <w:rPr>
          <w:rFonts w:hint="eastAsia" w:ascii="方正仿宋简体" w:hAnsi="方正仿宋简体" w:eastAsia="方正仿宋简体"/>
          <w:sz w:val="32"/>
          <w:szCs w:val="32"/>
          <w:lang w:val="en-US" w:eastAsia="zh-CN"/>
        </w:rPr>
        <w:t>4</w:t>
      </w:r>
      <w:r>
        <w:rPr>
          <w:rFonts w:hint="eastAsia" w:ascii="方正仿宋简体" w:hAnsi="方正仿宋简体" w:eastAsia="方正仿宋简体"/>
          <w:sz w:val="32"/>
          <w:szCs w:val="32"/>
        </w:rPr>
        <w:t>名，其中行政部门实有在职人员</w:t>
      </w:r>
      <w:r>
        <w:rPr>
          <w:rFonts w:hint="eastAsia" w:ascii="方正仿宋简体" w:hAnsi="方正仿宋简体" w:eastAsia="方正仿宋简体"/>
          <w:sz w:val="32"/>
          <w:szCs w:val="32"/>
          <w:lang w:val="en-US" w:eastAsia="zh-CN"/>
        </w:rPr>
        <w:t>0</w:t>
      </w:r>
      <w:r>
        <w:rPr>
          <w:rFonts w:hint="eastAsia" w:ascii="方正仿宋简体" w:hAnsi="方正仿宋简体" w:eastAsia="方正仿宋简体"/>
          <w:sz w:val="32"/>
          <w:szCs w:val="32"/>
        </w:rPr>
        <w:t>人，事业单位实有在职人员</w:t>
      </w:r>
      <w:r>
        <w:rPr>
          <w:rFonts w:hint="eastAsia" w:ascii="方正仿宋简体" w:hAnsi="方正仿宋简体" w:eastAsia="方正仿宋简体"/>
          <w:sz w:val="32"/>
          <w:szCs w:val="32"/>
          <w:lang w:val="en-US" w:eastAsia="zh-CN"/>
        </w:rPr>
        <w:t>4</w:t>
      </w:r>
      <w:r>
        <w:rPr>
          <w:rFonts w:hint="eastAsia" w:ascii="方正仿宋简体" w:hAnsi="方正仿宋简体" w:eastAsia="方正仿宋简体"/>
          <w:sz w:val="32"/>
          <w:szCs w:val="32"/>
        </w:rPr>
        <w:t>人。</w:t>
      </w:r>
      <w:r>
        <w:rPr>
          <w:rFonts w:hint="eastAsia" w:ascii="方正仿宋简体" w:hAnsi="方正仿宋简体" w:eastAsia="方正仿宋简体"/>
          <w:sz w:val="32"/>
          <w:szCs w:val="32"/>
          <w:highlight w:val="none"/>
        </w:rPr>
        <w:t>退休</w:t>
      </w:r>
      <w:r>
        <w:rPr>
          <w:rFonts w:hint="eastAsia" w:ascii="方正仿宋简体" w:hAnsi="方正仿宋简体" w:eastAsia="方正仿宋简体"/>
          <w:sz w:val="32"/>
          <w:szCs w:val="32"/>
          <w:highlight w:val="none"/>
          <w:lang w:val="en-US" w:eastAsia="zh-CN"/>
        </w:rPr>
        <w:t>人员0</w:t>
      </w:r>
      <w:r>
        <w:rPr>
          <w:rFonts w:hint="eastAsia" w:ascii="方正仿宋简体" w:hAnsi="方正仿宋简体" w:eastAsia="方正仿宋简体"/>
          <w:sz w:val="32"/>
          <w:szCs w:val="32"/>
          <w:highlight w:val="none"/>
        </w:rPr>
        <w:t>人。</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eastAsia="方正仿宋_GBK"/>
          <w:sz w:val="32"/>
          <w:szCs w:val="32"/>
        </w:rPr>
      </w:pPr>
      <w:r>
        <w:rPr>
          <w:rFonts w:eastAsia="方正楷体_GBK"/>
          <w:sz w:val="32"/>
          <w:szCs w:val="32"/>
        </w:rPr>
        <w:t>（一）收入预算：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97.7</w:t>
      </w:r>
      <w:r>
        <w:rPr>
          <w:rFonts w:eastAsia="方正仿宋_GBK"/>
          <w:sz w:val="32"/>
          <w:szCs w:val="32"/>
        </w:rPr>
        <w:t>万元，其中：一般公共预算拨款</w:t>
      </w:r>
      <w:r>
        <w:rPr>
          <w:rFonts w:hint="eastAsia" w:eastAsia="方正仿宋_GBK"/>
          <w:sz w:val="32"/>
          <w:szCs w:val="32"/>
        </w:rPr>
        <w:t>97.7</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万元，其他收入0万元。收入较去年</w:t>
      </w:r>
      <w:r>
        <w:rPr>
          <w:rFonts w:hint="eastAsia" w:eastAsia="方正仿宋_GBK"/>
          <w:sz w:val="32"/>
          <w:szCs w:val="32"/>
          <w:lang w:val="en-US" w:eastAsia="zh-CN"/>
        </w:rPr>
        <w:t>增加6.72</w:t>
      </w:r>
      <w:r>
        <w:rPr>
          <w:rFonts w:eastAsia="方正仿宋_GBK"/>
          <w:sz w:val="32"/>
          <w:szCs w:val="32"/>
        </w:rPr>
        <w:t>万元，主要是基本支出增加</w:t>
      </w:r>
      <w:r>
        <w:rPr>
          <w:rFonts w:hint="eastAsia" w:eastAsia="方正仿宋_GBK"/>
          <w:sz w:val="32"/>
          <w:szCs w:val="32"/>
          <w:lang w:val="en-US" w:eastAsia="zh-CN"/>
        </w:rPr>
        <w:t>6.72</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（二）支出预算：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97.7</w:t>
      </w:r>
      <w:r>
        <w:rPr>
          <w:rFonts w:eastAsia="方正仿宋_GBK"/>
          <w:sz w:val="32"/>
          <w:szCs w:val="32"/>
        </w:rPr>
        <w:t>万元，其中：</w:t>
      </w:r>
      <w:r>
        <w:rPr>
          <w:rFonts w:hint="eastAsia" w:eastAsia="方正仿宋_GBK"/>
          <w:sz w:val="32"/>
          <w:szCs w:val="32"/>
        </w:rPr>
        <w:t>一般公共服务支出78.63</w:t>
      </w:r>
      <w:r>
        <w:rPr>
          <w:rFonts w:hint="eastAsia" w:eastAsia="方正仿宋_GBK"/>
          <w:sz w:val="32"/>
          <w:szCs w:val="32"/>
          <w:lang w:val="en-US" w:eastAsia="zh-CN"/>
        </w:rPr>
        <w:t>万元，</w:t>
      </w:r>
      <w:r>
        <w:rPr>
          <w:rFonts w:eastAsia="方正仿宋_GBK"/>
          <w:sz w:val="32"/>
          <w:szCs w:val="32"/>
        </w:rPr>
        <w:t>社会保障和就业支出</w:t>
      </w:r>
      <w:r>
        <w:rPr>
          <w:rFonts w:hint="eastAsia" w:eastAsia="方正仿宋_GBK"/>
          <w:sz w:val="32"/>
          <w:szCs w:val="32"/>
        </w:rPr>
        <w:t>9.12</w:t>
      </w:r>
      <w:r>
        <w:rPr>
          <w:rFonts w:eastAsia="方正仿宋_GBK"/>
          <w:sz w:val="32"/>
          <w:szCs w:val="32"/>
        </w:rPr>
        <w:t>万元，卫生健康支出</w:t>
      </w:r>
      <w:r>
        <w:rPr>
          <w:rFonts w:hint="eastAsia" w:eastAsia="方正仿宋_GBK"/>
          <w:sz w:val="32"/>
          <w:szCs w:val="32"/>
        </w:rPr>
        <w:t>5.11</w:t>
      </w:r>
      <w:r>
        <w:rPr>
          <w:rFonts w:eastAsia="方正仿宋_GBK"/>
          <w:sz w:val="32"/>
          <w:szCs w:val="32"/>
        </w:rPr>
        <w:t>万元，住房保障支出</w:t>
      </w:r>
      <w:r>
        <w:rPr>
          <w:rFonts w:hint="eastAsia" w:eastAsia="方正仿宋_GBK"/>
          <w:sz w:val="32"/>
          <w:szCs w:val="32"/>
        </w:rPr>
        <w:t>4.84</w:t>
      </w:r>
      <w:r>
        <w:rPr>
          <w:rFonts w:eastAsia="方正仿宋_GBK"/>
          <w:sz w:val="32"/>
          <w:szCs w:val="32"/>
        </w:rPr>
        <w:t>万元。主要是基本支出增加</w:t>
      </w:r>
      <w:r>
        <w:rPr>
          <w:rFonts w:hint="eastAsia" w:eastAsia="方正仿宋_GBK"/>
          <w:sz w:val="32"/>
          <w:szCs w:val="32"/>
          <w:lang w:val="en-US" w:eastAsia="zh-CN"/>
        </w:rPr>
        <w:t>6.72</w:t>
      </w:r>
      <w:r>
        <w:rPr>
          <w:rFonts w:eastAsia="方正仿宋_GBK"/>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年一般公共预算财政拨款收入</w:t>
      </w:r>
      <w:r>
        <w:rPr>
          <w:rFonts w:hint="eastAsia" w:eastAsia="方正仿宋_GBK"/>
          <w:sz w:val="32"/>
          <w:szCs w:val="32"/>
        </w:rPr>
        <w:t>97.7</w:t>
      </w:r>
      <w:r>
        <w:rPr>
          <w:rFonts w:eastAsia="方正仿宋_GBK"/>
          <w:sz w:val="32"/>
          <w:szCs w:val="32"/>
        </w:rPr>
        <w:t>万元，一般公共预算财政拨款支出</w:t>
      </w:r>
      <w:r>
        <w:rPr>
          <w:rFonts w:hint="eastAsia" w:eastAsia="方正仿宋_GBK"/>
          <w:sz w:val="32"/>
          <w:szCs w:val="32"/>
        </w:rPr>
        <w:t>97.7</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增加6.72</w:t>
      </w:r>
      <w:r>
        <w:rPr>
          <w:rFonts w:eastAsia="方正仿宋_GBK"/>
          <w:sz w:val="32"/>
          <w:szCs w:val="32"/>
        </w:rPr>
        <w:t>万元。其中：基本支出</w:t>
      </w:r>
      <w:r>
        <w:rPr>
          <w:rFonts w:hint="eastAsia" w:eastAsia="方正仿宋_GBK"/>
          <w:sz w:val="32"/>
          <w:szCs w:val="32"/>
        </w:rPr>
        <w:t>97.7</w:t>
      </w:r>
      <w:r>
        <w:rPr>
          <w:rFonts w:eastAsia="方正仿宋_GBK"/>
          <w:sz w:val="32"/>
          <w:szCs w:val="32"/>
        </w:rPr>
        <w:t>万元，比202</w:t>
      </w:r>
      <w:r>
        <w:rPr>
          <w:rFonts w:hint="eastAsia" w:eastAsia="方正仿宋_GBK"/>
          <w:sz w:val="32"/>
          <w:szCs w:val="32"/>
          <w:lang w:val="en-US" w:eastAsia="zh-CN"/>
        </w:rPr>
        <w:t>3年</w:t>
      </w:r>
      <w:r>
        <w:rPr>
          <w:rFonts w:eastAsia="方正仿宋_GBK"/>
          <w:sz w:val="32"/>
          <w:szCs w:val="32"/>
        </w:rPr>
        <w:t>增加</w:t>
      </w:r>
      <w:r>
        <w:rPr>
          <w:rFonts w:hint="eastAsia" w:eastAsia="方正仿宋_GBK"/>
          <w:sz w:val="32"/>
          <w:szCs w:val="32"/>
          <w:lang w:val="en-US" w:eastAsia="zh-CN"/>
        </w:rPr>
        <w:t>6.72</w:t>
      </w:r>
      <w:r>
        <w:rPr>
          <w:rFonts w:eastAsia="方正仿宋_GBK"/>
          <w:sz w:val="32"/>
          <w:szCs w:val="32"/>
        </w:rPr>
        <w:t>万元，主要原因是</w:t>
      </w:r>
      <w:r>
        <w:rPr>
          <w:rFonts w:hint="eastAsia" w:eastAsia="方正仿宋_GBK"/>
          <w:sz w:val="32"/>
          <w:szCs w:val="32"/>
        </w:rPr>
        <w:t>一般公共服务支出</w:t>
      </w:r>
      <w:r>
        <w:rPr>
          <w:rFonts w:hint="eastAsia" w:eastAsia="方正仿宋_GBK"/>
          <w:sz w:val="32"/>
          <w:szCs w:val="32"/>
          <w:lang w:eastAsia="zh-CN"/>
        </w:rPr>
        <w:t>、</w:t>
      </w:r>
      <w:r>
        <w:rPr>
          <w:rFonts w:eastAsia="方正仿宋_GBK"/>
          <w:sz w:val="32"/>
          <w:szCs w:val="32"/>
        </w:rPr>
        <w:t>社会保障和就业支出</w:t>
      </w:r>
      <w:r>
        <w:rPr>
          <w:rFonts w:hint="eastAsia" w:eastAsia="方正仿宋_GBK"/>
          <w:sz w:val="32"/>
          <w:szCs w:val="32"/>
          <w:lang w:eastAsia="zh-CN"/>
        </w:rPr>
        <w:t>、</w:t>
      </w:r>
      <w:r>
        <w:rPr>
          <w:rFonts w:eastAsia="方正仿宋_GBK"/>
          <w:sz w:val="32"/>
          <w:szCs w:val="32"/>
        </w:rPr>
        <w:t>卫生健康支出</w:t>
      </w:r>
      <w:r>
        <w:rPr>
          <w:rFonts w:hint="eastAsia" w:eastAsia="方正仿宋_GBK"/>
          <w:sz w:val="32"/>
          <w:szCs w:val="32"/>
          <w:lang w:val="en-US" w:eastAsia="zh-CN"/>
        </w:rPr>
        <w:t>及</w:t>
      </w:r>
      <w:r>
        <w:rPr>
          <w:rFonts w:eastAsia="方正仿宋_GBK"/>
          <w:sz w:val="32"/>
          <w:szCs w:val="32"/>
        </w:rPr>
        <w:t>住房保障支出增加。</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年政府性基金预算收入</w:t>
      </w:r>
      <w:r>
        <w:rPr>
          <w:rFonts w:hint="eastAsia" w:eastAsia="方正仿宋_GBK"/>
          <w:sz w:val="32"/>
          <w:szCs w:val="32"/>
          <w:lang w:val="en-US" w:eastAsia="zh-CN"/>
        </w:rPr>
        <w:t>0</w:t>
      </w:r>
      <w:r>
        <w:rPr>
          <w:rFonts w:eastAsia="方正仿宋_GBK"/>
          <w:sz w:val="32"/>
          <w:szCs w:val="32"/>
        </w:rPr>
        <w:t>万元，政府性基金预算支出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val="en-US" w:eastAsia="zh-CN"/>
        </w:rPr>
        <w:t>与上年持平</w:t>
      </w:r>
      <w:r>
        <w:rPr>
          <w:rFonts w:eastAsia="方正仿宋_GBK"/>
          <w:sz w:val="32"/>
          <w:szCs w:val="32"/>
        </w:rPr>
        <w:t>。</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hint="eastAsia" w:eastAsia="方正仿宋_GBK"/>
          <w:sz w:val="32"/>
          <w:szCs w:val="32"/>
          <w:lang w:val="en-US" w:eastAsia="zh-CN"/>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年“三公”经费预算</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hint="eastAsia" w:eastAsia="方正仿宋_GBK"/>
          <w:sz w:val="32"/>
          <w:szCs w:val="32"/>
          <w:lang w:val="en-US" w:eastAsia="zh-CN"/>
        </w:rPr>
        <w:t>主要原因是该单位为群力镇二级预算单位，</w:t>
      </w:r>
      <w:r>
        <w:rPr>
          <w:rFonts w:eastAsia="方正仿宋_GBK"/>
          <w:sz w:val="32"/>
          <w:szCs w:val="32"/>
        </w:rPr>
        <w:t>“三公”经费</w:t>
      </w:r>
      <w:r>
        <w:rPr>
          <w:rFonts w:hint="eastAsia" w:eastAsia="方正仿宋_GBK"/>
          <w:sz w:val="32"/>
          <w:szCs w:val="32"/>
          <w:lang w:val="en-US" w:eastAsia="zh-CN"/>
        </w:rPr>
        <w:t>集中在群力镇（本级）支出，故本单位无“三公”经费预算</w:t>
      </w:r>
      <w:r>
        <w:rPr>
          <w:rFonts w:hint="eastAsia" w:eastAsia="方正仿宋_GBK"/>
          <w:sz w:val="32"/>
          <w:szCs w:val="32"/>
          <w:lang w:eastAsia="zh-CN"/>
        </w:rPr>
        <w:t>。</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年一般公共预算财政拨款运行经费</w:t>
      </w:r>
      <w:r>
        <w:rPr>
          <w:rFonts w:hint="eastAsia" w:eastAsia="方正仿宋_GBK"/>
          <w:sz w:val="32"/>
          <w:szCs w:val="32"/>
        </w:rPr>
        <w:t>18.96</w:t>
      </w:r>
      <w:r>
        <w:rPr>
          <w:rFonts w:eastAsia="方正仿宋_GBK"/>
          <w:sz w:val="32"/>
          <w:szCs w:val="32"/>
        </w:rPr>
        <w:t>万元，比上年</w:t>
      </w:r>
      <w:r>
        <w:rPr>
          <w:rFonts w:hint="eastAsia" w:eastAsia="方正仿宋_GBK"/>
          <w:sz w:val="32"/>
          <w:szCs w:val="32"/>
          <w:lang w:val="en-US" w:eastAsia="zh-CN"/>
        </w:rPr>
        <w:t>增加</w:t>
      </w:r>
      <w:r>
        <w:rPr>
          <w:rFonts w:hint="eastAsia" w:eastAsia="方正仿宋_GBK"/>
          <w:sz w:val="32"/>
          <w:szCs w:val="32"/>
          <w:highlight w:val="none"/>
          <w:lang w:val="en-US" w:eastAsia="zh-CN"/>
        </w:rPr>
        <w:t>4.4</w:t>
      </w:r>
      <w:r>
        <w:rPr>
          <w:rFonts w:eastAsia="方正仿宋_GBK"/>
          <w:sz w:val="32"/>
          <w:szCs w:val="32"/>
          <w:highlight w:val="none"/>
        </w:rPr>
        <w:t>万元</w:t>
      </w:r>
      <w:r>
        <w:rPr>
          <w:rFonts w:eastAsia="方正仿宋_GBK"/>
          <w:sz w:val="32"/>
          <w:szCs w:val="32"/>
        </w:rPr>
        <w:t>，主要原因为</w:t>
      </w:r>
      <w:r>
        <w:rPr>
          <w:rFonts w:hint="eastAsia" w:eastAsia="方正仿宋_GBK"/>
          <w:sz w:val="32"/>
          <w:szCs w:val="32"/>
        </w:rPr>
        <w:t>结转2023年公用经费</w:t>
      </w:r>
      <w:r>
        <w:rPr>
          <w:rFonts w:hint="eastAsia" w:eastAsia="方正仿宋_GBK"/>
          <w:sz w:val="32"/>
          <w:szCs w:val="32"/>
          <w:lang w:val="en-US" w:eastAsia="zh-CN"/>
        </w:rPr>
        <w:t>3.9万元，使机关运行经费较上年有所增加</w:t>
      </w:r>
      <w:r>
        <w:rPr>
          <w:rFonts w:eastAsia="方正仿宋_GBK"/>
          <w:sz w:val="32"/>
          <w:szCs w:val="32"/>
        </w:rPr>
        <w:t>。</w:t>
      </w:r>
    </w:p>
    <w:p>
      <w:pPr>
        <w:spacing w:line="600" w:lineRule="exact"/>
        <w:ind w:firstLine="684" w:firstLineChars="214"/>
        <w:rPr>
          <w:rFonts w:hint="eastAsia" w:eastAsia="方正仿宋_GBK"/>
          <w:sz w:val="32"/>
          <w:szCs w:val="32"/>
          <w:lang w:eastAsia="zh-CN"/>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lang w:val="en-US" w:eastAsia="zh-CN"/>
        </w:rPr>
        <w:t>0</w:t>
      </w:r>
      <w:r>
        <w:rPr>
          <w:rFonts w:eastAsia="方正仿宋_GBK"/>
          <w:sz w:val="32"/>
          <w:szCs w:val="32"/>
        </w:rPr>
        <w:t>万元：政府</w:t>
      </w:r>
      <w:bookmarkStart w:id="0" w:name="_GoBack"/>
      <w:bookmarkEnd w:id="0"/>
      <w:r>
        <w:rPr>
          <w:rFonts w:eastAsia="方正仿宋_GBK"/>
          <w:sz w:val="32"/>
          <w:szCs w:val="32"/>
        </w:rPr>
        <w:t>采购货物预算</w:t>
      </w:r>
      <w:r>
        <w:rPr>
          <w:rFonts w:hint="eastAsia" w:eastAsia="方正仿宋_GBK"/>
          <w:sz w:val="32"/>
          <w:szCs w:val="32"/>
          <w:lang w:val="en-US" w:eastAsia="zh-CN"/>
        </w:rPr>
        <w:t>0</w:t>
      </w:r>
      <w:r>
        <w:rPr>
          <w:rFonts w:eastAsia="方正仿宋_GBK"/>
          <w:sz w:val="32"/>
          <w:szCs w:val="32"/>
        </w:rPr>
        <w:t>万元、政府采购服务预算</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rPr>
        <w:t>97.7</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spacing w:line="560" w:lineRule="exact"/>
        <w:ind w:firstLine="640" w:firstLineChars="200"/>
        <w:rPr>
          <w:rFonts w:eastAsia="方正仿宋_GBK"/>
          <w:sz w:val="32"/>
          <w:szCs w:val="32"/>
        </w:rPr>
      </w:pPr>
      <w:r>
        <w:rPr>
          <w:rFonts w:eastAsia="方正楷体_GBK"/>
          <w:sz w:val="32"/>
          <w:szCs w:val="32"/>
        </w:rPr>
        <w:t>4、国有资产占有使用情况。</w:t>
      </w:r>
      <w:r>
        <w:rPr>
          <w:rFonts w:eastAsia="方正仿宋_GBK"/>
          <w:sz w:val="32"/>
          <w:szCs w:val="32"/>
        </w:rPr>
        <w:t>截止202</w:t>
      </w:r>
      <w:r>
        <w:rPr>
          <w:rFonts w:hint="eastAsia" w:eastAsia="方正仿宋_GBK"/>
          <w:sz w:val="32"/>
          <w:szCs w:val="32"/>
          <w:lang w:val="en-US" w:eastAsia="zh-CN"/>
        </w:rPr>
        <w:t>3</w:t>
      </w:r>
      <w:r>
        <w:rPr>
          <w:rFonts w:eastAsia="方正仿宋_GBK"/>
          <w:sz w:val="32"/>
          <w:szCs w:val="32"/>
        </w:rPr>
        <w:t>年12月，</w:t>
      </w:r>
      <w:r>
        <w:rPr>
          <w:rFonts w:ascii="方正仿宋简体" w:hAnsi="方正仿宋简体" w:eastAsia="方正仿宋简体"/>
          <w:color w:val="000000"/>
          <w:sz w:val="32"/>
          <w:szCs w:val="32"/>
        </w:rPr>
        <w:t>所属</w:t>
      </w:r>
      <w:r>
        <w:rPr>
          <w:rFonts w:hint="eastAsia" w:ascii="方正仿宋简体" w:hAnsi="方正仿宋简体" w:eastAsia="方正仿宋简体"/>
          <w:color w:val="000000"/>
          <w:sz w:val="32"/>
          <w:szCs w:val="32"/>
          <w:lang w:val="en-US" w:eastAsia="zh-CN"/>
        </w:rPr>
        <w:t>该</w:t>
      </w:r>
      <w:r>
        <w:rPr>
          <w:rFonts w:ascii="方正仿宋简体" w:hAnsi="方正仿宋简体" w:eastAsia="方正仿宋简体"/>
          <w:color w:val="000000"/>
          <w:sz w:val="32"/>
          <w:szCs w:val="32"/>
        </w:rPr>
        <w:t>预算单位共有车辆</w:t>
      </w:r>
      <w:r>
        <w:rPr>
          <w:rFonts w:hint="eastAsia" w:ascii="方正仿宋简体" w:hAnsi="方正仿宋简体" w:eastAsia="方正仿宋简体"/>
          <w:color w:val="000000"/>
          <w:sz w:val="32"/>
          <w:szCs w:val="32"/>
          <w:lang w:val="en-US" w:eastAsia="zh-CN"/>
        </w:rPr>
        <w:t>0</w:t>
      </w:r>
      <w:r>
        <w:rPr>
          <w:rFonts w:ascii="方正仿宋简体" w:hAnsi="方正仿宋简体" w:eastAsia="方正仿宋简体"/>
          <w:color w:val="000000"/>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rPr>
          <w:rFonts w:hint="eastAsia" w:eastAsia="方正仿宋_GBK"/>
          <w:sz w:val="32"/>
          <w:szCs w:val="32"/>
          <w:lang w:val="en-US" w:eastAsia="zh-CN"/>
        </w:rPr>
      </w:pPr>
      <w:r>
        <w:rPr>
          <w:rFonts w:eastAsia="方正仿宋_GBK"/>
          <w:sz w:val="32"/>
          <w:szCs w:val="32"/>
        </w:rPr>
        <w:t>部门预算公开联系人：</w:t>
      </w:r>
      <w:r>
        <w:rPr>
          <w:rFonts w:hint="eastAsia" w:ascii="方正仿宋简体" w:hAnsi="方正仿宋简体" w:eastAsia="方正仿宋简体"/>
          <w:sz w:val="32"/>
          <w:szCs w:val="32"/>
        </w:rPr>
        <w:t>戴雅丽</w:t>
      </w:r>
      <w:r>
        <w:rPr>
          <w:rFonts w:hint="eastAsia" w:eastAsia="方正仿宋_GBK"/>
          <w:sz w:val="32"/>
          <w:szCs w:val="32"/>
          <w:lang w:val="en-US" w:eastAsia="zh-CN"/>
        </w:rPr>
        <w:t xml:space="preserve">    </w:t>
      </w:r>
      <w:r>
        <w:rPr>
          <w:rFonts w:eastAsia="方正仿宋_GBK"/>
          <w:sz w:val="32"/>
          <w:szCs w:val="32"/>
        </w:rPr>
        <w:t xml:space="preserve">     联系方式：</w:t>
      </w:r>
      <w:r>
        <w:rPr>
          <w:rFonts w:ascii="方正仿宋简体" w:hAnsi="方正仿宋简体" w:eastAsia="方正仿宋简体"/>
          <w:sz w:val="32"/>
          <w:szCs w:val="32"/>
        </w:rPr>
        <w:t>023-</w:t>
      </w:r>
      <w:r>
        <w:rPr>
          <w:rFonts w:hint="eastAsia" w:ascii="方正仿宋简体" w:hAnsi="方正仿宋简体" w:eastAsia="方正仿宋简体"/>
          <w:sz w:val="32"/>
          <w:szCs w:val="32"/>
        </w:rPr>
        <w:t>44</w:t>
      </w:r>
      <w:r>
        <w:rPr>
          <w:rFonts w:hint="eastAsia" w:ascii="方正仿宋简体" w:hAnsi="方正仿宋简体" w:eastAsia="方正仿宋简体"/>
          <w:sz w:val="32"/>
          <w:szCs w:val="32"/>
          <w:lang w:val="en-US" w:eastAsia="zh-CN"/>
        </w:rPr>
        <w:t>816771</w:t>
      </w:r>
      <w:r>
        <w:rPr>
          <w:rFonts w:hint="eastAsia" w:eastAsia="方正仿宋_GBK"/>
          <w:sz w:val="32"/>
          <w:szCs w:val="32"/>
          <w:lang w:val="en-US" w:eastAsia="zh-CN"/>
        </w:rPr>
        <w:t xml:space="preserve"> </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附件1</w:t>
      </w:r>
    </w:p>
    <w:tbl>
      <w:tblPr>
        <w:tblStyle w:val="9"/>
        <w:tblW w:w="23768" w:type="dxa"/>
        <w:jc w:val="center"/>
        <w:tblLayout w:type="fixed"/>
        <w:tblCellMar>
          <w:top w:w="0" w:type="dxa"/>
          <w:left w:w="108" w:type="dxa"/>
          <w:bottom w:w="0" w:type="dxa"/>
          <w:right w:w="108" w:type="dxa"/>
        </w:tblCellMar>
      </w:tblPr>
      <w:tblGrid>
        <w:gridCol w:w="93"/>
        <w:gridCol w:w="2834"/>
        <w:gridCol w:w="2101"/>
        <w:gridCol w:w="2060"/>
        <w:gridCol w:w="1546"/>
        <w:gridCol w:w="11"/>
        <w:gridCol w:w="1609"/>
        <w:gridCol w:w="17"/>
        <w:gridCol w:w="1129"/>
        <w:gridCol w:w="708"/>
        <w:gridCol w:w="673"/>
        <w:gridCol w:w="1228"/>
        <w:gridCol w:w="165"/>
      </w:tblGrid>
      <w:tr>
        <w:tblPrEx>
          <w:tblCellMar>
            <w:top w:w="0" w:type="dxa"/>
            <w:left w:w="108" w:type="dxa"/>
            <w:bottom w:w="0" w:type="dxa"/>
            <w:right w:w="108" w:type="dxa"/>
          </w:tblCellMar>
        </w:tblPrEx>
        <w:trPr>
          <w:trHeight w:val="340" w:hRule="atLeast"/>
          <w:tblHeader/>
          <w:jc w:val="center"/>
        </w:trPr>
        <w:tc>
          <w:tcPr>
            <w:tcW w:w="14174" w:type="dxa"/>
            <w:gridSpan w:val="13"/>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5"/>
            <w:tcBorders>
              <w:top w:val="nil"/>
              <w:left w:val="nil"/>
              <w:bottom w:val="nil"/>
              <w:right w:val="nil"/>
            </w:tcBorders>
            <w:vAlign w:val="center"/>
          </w:tcPr>
          <w:p>
            <w:pPr>
              <w:spacing w:line="240" w:lineRule="exact"/>
              <w:jc w:val="center"/>
            </w:pPr>
          </w:p>
        </w:tc>
        <w:tc>
          <w:tcPr>
            <w:tcW w:w="1637" w:type="dxa"/>
            <w:gridSpan w:val="3"/>
            <w:tcBorders>
              <w:top w:val="nil"/>
              <w:left w:val="nil"/>
              <w:bottom w:val="nil"/>
              <w:right w:val="nil"/>
            </w:tcBorders>
            <w:vAlign w:val="center"/>
          </w:tcPr>
          <w:p>
            <w:pPr>
              <w:spacing w:line="240" w:lineRule="exact"/>
            </w:pPr>
          </w:p>
        </w:tc>
        <w:tc>
          <w:tcPr>
            <w:tcW w:w="1129" w:type="dxa"/>
            <w:tcBorders>
              <w:top w:val="nil"/>
              <w:left w:val="nil"/>
              <w:bottom w:val="nil"/>
              <w:right w:val="nil"/>
            </w:tcBorders>
            <w:vAlign w:val="center"/>
          </w:tcPr>
          <w:p>
            <w:pPr>
              <w:spacing w:line="240" w:lineRule="exact"/>
            </w:pPr>
          </w:p>
        </w:tc>
        <w:tc>
          <w:tcPr>
            <w:tcW w:w="1381" w:type="dxa"/>
            <w:gridSpan w:val="2"/>
            <w:tcBorders>
              <w:top w:val="nil"/>
              <w:left w:val="nil"/>
              <w:bottom w:val="nil"/>
              <w:right w:val="nil"/>
            </w:tcBorders>
            <w:vAlign w:val="center"/>
          </w:tcPr>
          <w:p>
            <w:pPr>
              <w:spacing w:line="240" w:lineRule="exact"/>
            </w:pPr>
          </w:p>
        </w:tc>
        <w:tc>
          <w:tcPr>
            <w:tcW w:w="1393"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84" w:hRule="atLeast"/>
        </w:trPr>
        <w:tc>
          <w:tcPr>
            <w:tcW w:w="4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898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91"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w:t>
            </w: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83"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一、本年收入</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一、本年支出</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65"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一般公共预算资金</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65"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政府性基金预算资金</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65"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65"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327"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48"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二、上年结转</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二、结转下年</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31"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14"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14"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国有资本经营收入</w:t>
            </w: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327"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210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trHeight w:val="483" w:hRule="atLeast"/>
        </w:trPr>
        <w:tc>
          <w:tcPr>
            <w:tcW w:w="2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收入合计</w:t>
            </w:r>
          </w:p>
        </w:tc>
        <w:tc>
          <w:tcPr>
            <w:tcW w:w="2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支出合计</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16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185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190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bl>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keepNext w:val="0"/>
        <w:keepLines w:val="0"/>
        <w:pageBreakBefore w:val="0"/>
        <w:kinsoku/>
        <w:wordWrap/>
        <w:overflowPunct/>
        <w:topLinePunct w:val="0"/>
        <w:autoSpaceDE/>
        <w:autoSpaceDN/>
        <w:bidi w:val="0"/>
        <w:adjustRightInd/>
        <w:spacing w:line="460" w:lineRule="exact"/>
        <w:rPr>
          <w:rFonts w:eastAsia="方正黑体_GBK"/>
          <w:sz w:val="32"/>
          <w:szCs w:val="32"/>
        </w:rPr>
      </w:pPr>
      <w:r>
        <w:rPr>
          <w:rFonts w:eastAsia="方正黑体_GBK"/>
          <w:sz w:val="32"/>
          <w:szCs w:val="32"/>
        </w:rPr>
        <w:t>附件2</w:t>
      </w:r>
    </w:p>
    <w:tbl>
      <w:tblPr>
        <w:tblStyle w:val="9"/>
        <w:tblW w:w="14122" w:type="dxa"/>
        <w:jc w:val="center"/>
        <w:tblLayout w:type="fixed"/>
        <w:tblCellMar>
          <w:top w:w="0" w:type="dxa"/>
          <w:left w:w="108" w:type="dxa"/>
          <w:bottom w:w="0" w:type="dxa"/>
          <w:right w:w="108" w:type="dxa"/>
        </w:tblCellMar>
      </w:tblPr>
      <w:tblGrid>
        <w:gridCol w:w="93"/>
        <w:gridCol w:w="988"/>
        <w:gridCol w:w="184"/>
        <w:gridCol w:w="494"/>
        <w:gridCol w:w="4391"/>
        <w:gridCol w:w="1927"/>
        <w:gridCol w:w="489"/>
        <w:gridCol w:w="1470"/>
        <w:gridCol w:w="197"/>
        <w:gridCol w:w="1667"/>
        <w:gridCol w:w="157"/>
        <w:gridCol w:w="1913"/>
        <w:gridCol w:w="152"/>
      </w:tblGrid>
      <w:tr>
        <w:tblPrEx>
          <w:tblCellMar>
            <w:top w:w="0" w:type="dxa"/>
            <w:left w:w="108" w:type="dxa"/>
            <w:bottom w:w="0" w:type="dxa"/>
            <w:right w:w="108" w:type="dxa"/>
          </w:tblCellMar>
        </w:tblPrEx>
        <w:trPr>
          <w:gridAfter w:val="1"/>
          <w:wAfter w:w="152" w:type="dxa"/>
          <w:trHeight w:val="340" w:hRule="atLeast"/>
          <w:tblHeader/>
          <w:jc w:val="center"/>
        </w:trPr>
        <w:tc>
          <w:tcPr>
            <w:tcW w:w="13970" w:type="dxa"/>
            <w:gridSpan w:val="12"/>
            <w:tcBorders>
              <w:top w:val="nil"/>
              <w:left w:val="nil"/>
              <w:bottom w:val="nil"/>
              <w:right w:val="nil"/>
            </w:tcBorders>
            <w:vAlign w:val="center"/>
          </w:tcPr>
          <w:p>
            <w:pPr>
              <w:keepNext w:val="0"/>
              <w:keepLines w:val="0"/>
              <w:pageBreakBefore w:val="0"/>
              <w:widowControl/>
              <w:kinsoku/>
              <w:wordWrap/>
              <w:overflowPunct/>
              <w:topLinePunct w:val="0"/>
              <w:autoSpaceDE/>
              <w:autoSpaceDN/>
              <w:bidi w:val="0"/>
              <w:adjustRightInd/>
              <w:spacing w:line="46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gridAfter w:val="1"/>
          <w:wAfter w:w="152" w:type="dxa"/>
          <w:trHeight w:val="340" w:hRule="atLeast"/>
          <w:tblHeader/>
          <w:jc w:val="center"/>
        </w:trPr>
        <w:tc>
          <w:tcPr>
            <w:tcW w:w="1759" w:type="dxa"/>
            <w:gridSpan w:val="4"/>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288" w:hRule="atLeast"/>
          <w:jc w:val="center"/>
        </w:trPr>
        <w:tc>
          <w:tcPr>
            <w:tcW w:w="6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60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20" w:hRule="atLeast"/>
          <w:jc w:val="center"/>
        </w:trPr>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科目编码</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基本支出 </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6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90.98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73.16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4"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2010350</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51.96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20106</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财政事务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2010601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2.60</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4.55</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2101103</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2101199</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住房保障支出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22102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2210201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65" w:hRule="atLeast"/>
          <w:jc w:val="center"/>
        </w:trPr>
        <w:tc>
          <w:tcPr>
            <w:tcW w:w="14029"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备注：本表反映当年一般公共预算财政拨款支出情况。</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附件3</w:t>
      </w:r>
    </w:p>
    <w:tbl>
      <w:tblPr>
        <w:tblStyle w:val="9"/>
        <w:tblW w:w="14092" w:type="dxa"/>
        <w:jc w:val="center"/>
        <w:tblLayout w:type="fixed"/>
        <w:tblCellMar>
          <w:top w:w="0" w:type="dxa"/>
          <w:left w:w="108" w:type="dxa"/>
          <w:bottom w:w="0" w:type="dxa"/>
          <w:right w:w="108" w:type="dxa"/>
        </w:tblCellMar>
      </w:tblPr>
      <w:tblGrid>
        <w:gridCol w:w="93"/>
        <w:gridCol w:w="1263"/>
        <w:gridCol w:w="433"/>
        <w:gridCol w:w="674"/>
        <w:gridCol w:w="3694"/>
        <w:gridCol w:w="2072"/>
        <w:gridCol w:w="448"/>
        <w:gridCol w:w="1528"/>
        <w:gridCol w:w="1154"/>
        <w:gridCol w:w="822"/>
        <w:gridCol w:w="1803"/>
        <w:gridCol w:w="108"/>
      </w:tblGrid>
      <w:tr>
        <w:tblPrEx>
          <w:tblCellMar>
            <w:top w:w="0" w:type="dxa"/>
            <w:left w:w="108" w:type="dxa"/>
            <w:bottom w:w="0" w:type="dxa"/>
            <w:right w:w="108" w:type="dxa"/>
          </w:tblCellMar>
        </w:tblPrEx>
        <w:trPr>
          <w:gridAfter w:val="1"/>
          <w:wAfter w:w="108" w:type="dxa"/>
          <w:trHeight w:val="340" w:hRule="atLeast"/>
          <w:tblHeader/>
          <w:jc w:val="center"/>
        </w:trPr>
        <w:tc>
          <w:tcPr>
            <w:tcW w:w="13984" w:type="dxa"/>
            <w:gridSpan w:val="11"/>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综合行政执法大队</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gridAfter w:val="1"/>
          <w:wAfter w:w="108" w:type="dxa"/>
          <w:trHeight w:val="340" w:hRule="atLeast"/>
          <w:tblHeader/>
          <w:jc w:val="center"/>
        </w:trPr>
        <w:tc>
          <w:tcPr>
            <w:tcW w:w="2463" w:type="dxa"/>
            <w:gridSpan w:val="4"/>
            <w:tcBorders>
              <w:top w:val="nil"/>
              <w:left w:val="nil"/>
              <w:bottom w:val="nil"/>
              <w:right w:val="nil"/>
            </w:tcBorders>
            <w:vAlign w:val="center"/>
          </w:tcPr>
          <w:p/>
        </w:tc>
        <w:tc>
          <w:tcPr>
            <w:tcW w:w="5766" w:type="dxa"/>
            <w:gridSpan w:val="2"/>
            <w:tcBorders>
              <w:top w:val="nil"/>
              <w:left w:val="nil"/>
              <w:bottom w:val="nil"/>
              <w:right w:val="nil"/>
            </w:tcBorders>
            <w:vAlign w:val="center"/>
          </w:tcPr>
          <w:p>
            <w:pPr>
              <w:jc w:val="center"/>
            </w:pPr>
          </w:p>
        </w:tc>
        <w:tc>
          <w:tcPr>
            <w:tcW w:w="1976" w:type="dxa"/>
            <w:gridSpan w:val="2"/>
            <w:tcBorders>
              <w:top w:val="nil"/>
              <w:left w:val="nil"/>
              <w:bottom w:val="nil"/>
              <w:right w:val="nil"/>
            </w:tcBorders>
            <w:vAlign w:val="center"/>
          </w:tcPr>
          <w:p/>
        </w:tc>
        <w:tc>
          <w:tcPr>
            <w:tcW w:w="1976" w:type="dxa"/>
            <w:gridSpan w:val="2"/>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9"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w:t>
            </w:r>
          </w:p>
        </w:tc>
        <w:tc>
          <w:tcPr>
            <w:tcW w:w="79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52"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人员经费</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78.75</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78.75</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78.75</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17.85</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17.85</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6.33</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6.33</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30103</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7.64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30107</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27.52</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30108</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6.08</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3.04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30110</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3.23</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0.20</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1.38</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30113</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4.84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30114</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0.64</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30205</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30207</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30226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30228</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30229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30239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1.25</w:t>
            </w:r>
          </w:p>
        </w:tc>
      </w:tr>
    </w:tbl>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r>
        <w:rPr>
          <w:rFonts w:eastAsia="方正黑体_GBK"/>
          <w:sz w:val="32"/>
          <w:szCs w:val="32"/>
        </w:rPr>
        <w:t>附件4</w:t>
      </w:r>
    </w:p>
    <w:p>
      <w:pPr>
        <w:pStyle w:val="6"/>
        <w:spacing w:line="600" w:lineRule="exact"/>
        <w:jc w:val="center"/>
        <w:rPr>
          <w:rFonts w:hint="eastAsia" w:eastAsia="方正小标宋_GBK" w:cs="Times New Roman"/>
          <w:kern w:val="0"/>
          <w:sz w:val="40"/>
          <w:szCs w:val="40"/>
          <w:lang w:val="en-US" w:eastAsia="zh-CN"/>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综合行政执法大队</w:t>
      </w:r>
    </w:p>
    <w:p>
      <w:pPr>
        <w:pStyle w:val="6"/>
        <w:spacing w:line="600" w:lineRule="exact"/>
        <w:jc w:val="center"/>
        <w:rPr>
          <w:rFonts w:eastAsia="方正黑体_GBK"/>
          <w:sz w:val="32"/>
          <w:szCs w:val="32"/>
        </w:rPr>
      </w:pPr>
      <w:r>
        <w:rPr>
          <w:rFonts w:eastAsia="方正小标宋_GBK"/>
          <w:sz w:val="40"/>
          <w:szCs w:val="40"/>
        </w:rPr>
        <w:t>一般公共预算支出“三公”经费预算表</w:t>
      </w:r>
    </w:p>
    <w:p>
      <w:pPr>
        <w:pStyle w:val="6"/>
        <w:spacing w:line="600" w:lineRule="exact"/>
        <w:jc w:val="right"/>
        <w:rPr>
          <w:rFonts w:eastAsia="方正黑体_GBK"/>
          <w:sz w:val="32"/>
          <w:szCs w:val="32"/>
        </w:rPr>
      </w:pPr>
      <w:r>
        <w:rPr>
          <w:kern w:val="0"/>
        </w:rPr>
        <w:t>单位：万元</w:t>
      </w:r>
    </w:p>
    <w:tbl>
      <w:tblPr>
        <w:tblStyle w:val="9"/>
        <w:tblW w:w="492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777"/>
        <w:gridCol w:w="1044"/>
        <w:gridCol w:w="1003"/>
        <w:gridCol w:w="1170"/>
        <w:gridCol w:w="1215"/>
        <w:gridCol w:w="735"/>
        <w:gridCol w:w="1185"/>
        <w:gridCol w:w="900"/>
        <w:gridCol w:w="1770"/>
        <w:gridCol w:w="1770"/>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21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28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jc w:val="left"/>
        <w:rPr>
          <w:rFonts w:hint="eastAsia" w:ascii="宋体" w:hAnsi="宋体" w:eastAsia="宋体" w:cs="宋体"/>
          <w:sz w:val="18"/>
          <w:szCs w:val="18"/>
        </w:rPr>
      </w:pPr>
    </w:p>
    <w:p>
      <w:pPr>
        <w:widowControl/>
        <w:jc w:val="left"/>
        <w:rPr>
          <w:rFonts w:hint="eastAsia" w:ascii="宋体" w:hAnsi="宋体" w:eastAsia="宋体" w:cs="宋体"/>
          <w:sz w:val="18"/>
          <w:szCs w:val="18"/>
          <w:lang w:eastAsia="zh-CN"/>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本单位无三公经费预算，故此表无数据</w:t>
      </w:r>
      <w:r>
        <w:rPr>
          <w:rFonts w:hint="eastAsia" w:ascii="宋体" w:hAnsi="宋体" w:eastAsia="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8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总计</w:t>
            </w:r>
          </w:p>
        </w:tc>
        <w:tc>
          <w:tcPr>
            <w:tcW w:w="23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基本支出</w:t>
            </w:r>
          </w:p>
        </w:tc>
        <w:tc>
          <w:tcPr>
            <w:tcW w:w="23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bl>
    <w:p>
      <w:pPr>
        <w:widowControl/>
        <w:jc w:val="left"/>
        <w:rPr>
          <w:rFonts w:eastAsia="方正黑体_GBK"/>
          <w:sz w:val="32"/>
          <w:szCs w:val="32"/>
        </w:rPr>
      </w:pP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备注：本单位无政府性基金收支，故此表无数据</w:t>
      </w:r>
      <w:r>
        <w:rPr>
          <w:rFonts w:hint="eastAsia" w:ascii="宋体" w:hAnsi="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93"/>
        <w:gridCol w:w="3935"/>
        <w:gridCol w:w="2466"/>
        <w:gridCol w:w="99"/>
        <w:gridCol w:w="4545"/>
        <w:gridCol w:w="683"/>
        <w:gridCol w:w="2167"/>
        <w:gridCol w:w="186"/>
      </w:tblGrid>
      <w:tr>
        <w:tblPrEx>
          <w:tblCellMar>
            <w:top w:w="0" w:type="dxa"/>
            <w:left w:w="108" w:type="dxa"/>
            <w:bottom w:w="0" w:type="dxa"/>
            <w:right w:w="108" w:type="dxa"/>
          </w:tblCellMar>
        </w:tblPrEx>
        <w:trPr>
          <w:trHeight w:val="340" w:hRule="atLeast"/>
          <w:tblHeader/>
          <w:jc w:val="center"/>
        </w:trPr>
        <w:tc>
          <w:tcPr>
            <w:tcW w:w="14174"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3"/>
            <w:tcBorders>
              <w:top w:val="nil"/>
              <w:left w:val="nil"/>
              <w:bottom w:val="nil"/>
              <w:right w:val="nil"/>
            </w:tcBorders>
            <w:vAlign w:val="center"/>
          </w:tcPr>
          <w:p>
            <w:pPr>
              <w:jc w:val="center"/>
            </w:pPr>
          </w:p>
        </w:tc>
        <w:tc>
          <w:tcPr>
            <w:tcW w:w="5327" w:type="dxa"/>
            <w:gridSpan w:val="3"/>
            <w:tcBorders>
              <w:top w:val="nil"/>
              <w:left w:val="nil"/>
              <w:bottom w:val="nil"/>
              <w:right w:val="nil"/>
            </w:tcBorders>
            <w:vAlign w:val="center"/>
          </w:tcPr>
          <w:p/>
        </w:tc>
        <w:tc>
          <w:tcPr>
            <w:tcW w:w="2353" w:type="dxa"/>
            <w:gridSpan w:val="2"/>
            <w:tcBorders>
              <w:top w:val="nil"/>
              <w:left w:val="nil"/>
              <w:bottom w:val="nil"/>
              <w:right w:val="nil"/>
            </w:tcBorders>
            <w:vAlign w:val="center"/>
          </w:tcPr>
          <w:p>
            <w:pPr>
              <w:jc w:val="right"/>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90" w:hRule="atLeast"/>
          <w:jc w:val="center"/>
        </w:trPr>
        <w:tc>
          <w:tcPr>
            <w:tcW w:w="6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55"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500"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97.70</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附属单位上缴收入资金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其他收入资金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附件7</w:t>
      </w:r>
    </w:p>
    <w:p>
      <w:pPr>
        <w:widowControl/>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sz w:val="40"/>
          <w:szCs w:val="40"/>
        </w:rPr>
        <w:t>部门收入总表</w:t>
      </w:r>
    </w:p>
    <w:p>
      <w:pPr>
        <w:widowControl/>
        <w:jc w:val="right"/>
        <w:rPr>
          <w:rFonts w:eastAsia="方正小标宋_GBK"/>
          <w:sz w:val="40"/>
          <w:szCs w:val="40"/>
        </w:rPr>
      </w:pPr>
      <w:r>
        <w:rPr>
          <w:kern w:val="0"/>
        </w:rPr>
        <w:t>单位：万元</w:t>
      </w:r>
    </w:p>
    <w:tbl>
      <w:tblPr>
        <w:tblStyle w:val="9"/>
        <w:tblW w:w="13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234"/>
        <w:gridCol w:w="3599"/>
        <w:gridCol w:w="1096"/>
        <w:gridCol w:w="1166"/>
        <w:gridCol w:w="945"/>
        <w:gridCol w:w="990"/>
        <w:gridCol w:w="960"/>
        <w:gridCol w:w="600"/>
        <w:gridCol w:w="810"/>
        <w:gridCol w:w="829"/>
        <w:gridCol w:w="975"/>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4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4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2010350</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20106</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财政事务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2010601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2101103</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住房保障支出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both"/>
        <w:rPr>
          <w:rFonts w:eastAsia="方正小标宋_GBK"/>
          <w:sz w:val="40"/>
          <w:szCs w:val="40"/>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附件8</w:t>
      </w:r>
    </w:p>
    <w:p>
      <w:pPr>
        <w:pStyle w:val="6"/>
        <w:spacing w:line="600" w:lineRule="exact"/>
        <w:jc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kern w:val="0"/>
          <w:sz w:val="40"/>
          <w:szCs w:val="40"/>
        </w:rPr>
        <w:t>部门支出总表</w:t>
      </w:r>
    </w:p>
    <w:p>
      <w:pPr>
        <w:pStyle w:val="6"/>
        <w:spacing w:line="600" w:lineRule="exact"/>
        <w:jc w:val="right"/>
        <w:rPr>
          <w:rFonts w:eastAsia="方正小标宋_GBK"/>
          <w:kern w:val="0"/>
          <w:sz w:val="40"/>
          <w:szCs w:val="40"/>
        </w:rPr>
      </w:pPr>
      <w:r>
        <w:rPr>
          <w:kern w:val="0"/>
        </w:rPr>
        <w:t>单位：万元</w:t>
      </w:r>
    </w:p>
    <w:tbl>
      <w:tblPr>
        <w:tblStyle w:val="9"/>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5253"/>
        <w:gridCol w:w="2265"/>
        <w:gridCol w:w="222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7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97.70</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政府办公厅（室）及相关机构事务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2010350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53.29</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20106</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2010601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2101103</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公务员医疗补助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2101199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2210201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6"/>
        <w:spacing w:line="600" w:lineRule="exact"/>
        <w:jc w:val="both"/>
        <w:rPr>
          <w:rFonts w:eastAsia="方正小标宋_GBK"/>
          <w:kern w:val="0"/>
          <w:sz w:val="40"/>
          <w:szCs w:val="40"/>
        </w:rPr>
      </w:pP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项目编号</w:t>
            </w: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516" w:hRule="atLeast"/>
          <w:jc w:val="center"/>
        </w:trPr>
        <w:tc>
          <w:tcPr>
            <w:tcW w:w="2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合计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bl>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rPr>
          <w:rFonts w:eastAsia="仿宋_GB2312"/>
          <w:sz w:val="20"/>
          <w:szCs w:val="20"/>
        </w:rPr>
      </w:pPr>
      <w:r>
        <w:rPr>
          <w:rFonts w:eastAsia="仿宋_GB2312"/>
          <w:sz w:val="20"/>
          <w:szCs w:val="20"/>
        </w:rPr>
        <w:t xml:space="preserve"> </w:t>
      </w: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jc w:val="both"/>
        <w:rPr>
          <w:rFonts w:hint="default" w:eastAsia="方正小标宋_GBK" w:cs="Times New Roman"/>
          <w:kern w:val="0"/>
          <w:sz w:val="40"/>
          <w:szCs w:val="40"/>
          <w:lang w:val="en-US" w:eastAsia="zh-CN" w:bidi="ar-SA"/>
        </w:rPr>
      </w:pPr>
    </w:p>
    <w:p>
      <w:pPr>
        <w:pStyle w:val="6"/>
        <w:spacing w:line="600" w:lineRule="exact"/>
        <w:rPr>
          <w:rFonts w:eastAsia="仿宋_GB2312"/>
          <w:sz w:val="20"/>
          <w:szCs w:val="20"/>
        </w:rPr>
      </w:pPr>
      <w:r>
        <w:rPr>
          <w:rFonts w:eastAsia="方正黑体_GBK"/>
          <w:sz w:val="32"/>
          <w:szCs w:val="32"/>
        </w:rPr>
        <w:t>附件10</w:t>
      </w:r>
      <w:r>
        <w:rPr>
          <w:rFonts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27"/>
        <w:gridCol w:w="1205"/>
        <w:gridCol w:w="953"/>
        <w:gridCol w:w="1290"/>
        <w:gridCol w:w="2400"/>
        <w:gridCol w:w="825"/>
        <w:gridCol w:w="907"/>
        <w:gridCol w:w="885"/>
        <w:gridCol w:w="923"/>
        <w:gridCol w:w="915"/>
        <w:gridCol w:w="776"/>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cs="Times New Roman"/>
                <w:kern w:val="0"/>
                <w:sz w:val="40"/>
                <w:szCs w:val="40"/>
                <w:lang w:val="en-US" w:eastAsia="zh-CN"/>
              </w:rPr>
              <w:t>综合行政执法大队</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585"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290" w:type="dxa"/>
            <w:tcBorders>
              <w:top w:val="nil"/>
              <w:left w:val="nil"/>
              <w:bottom w:val="nil"/>
              <w:right w:val="nil"/>
            </w:tcBorders>
            <w:shd w:val="clear" w:color="auto" w:fill="FFFFFF"/>
            <w:vAlign w:val="center"/>
          </w:tcPr>
          <w:p>
            <w:pPr>
              <w:spacing w:line="240" w:lineRule="exact"/>
              <w:jc w:val="left"/>
              <w:rPr>
                <w:spacing w:val="-6"/>
              </w:rPr>
            </w:pPr>
          </w:p>
        </w:tc>
        <w:tc>
          <w:tcPr>
            <w:tcW w:w="2400" w:type="dxa"/>
            <w:tcBorders>
              <w:top w:val="nil"/>
              <w:left w:val="nil"/>
              <w:bottom w:val="nil"/>
              <w:right w:val="nil"/>
            </w:tcBorders>
            <w:shd w:val="clear" w:color="auto" w:fill="FFFFFF"/>
            <w:vAlign w:val="center"/>
          </w:tcPr>
          <w:p>
            <w:pPr>
              <w:spacing w:line="240" w:lineRule="exact"/>
              <w:jc w:val="left"/>
              <w:rPr>
                <w:spacing w:val="-6"/>
              </w:rPr>
            </w:pPr>
          </w:p>
        </w:tc>
        <w:tc>
          <w:tcPr>
            <w:tcW w:w="825" w:type="dxa"/>
            <w:tcBorders>
              <w:top w:val="nil"/>
              <w:left w:val="nil"/>
              <w:bottom w:val="nil"/>
              <w:right w:val="nil"/>
            </w:tcBorders>
            <w:shd w:val="clear" w:color="auto" w:fill="FFFFFF"/>
            <w:vAlign w:val="center"/>
          </w:tcPr>
          <w:p>
            <w:pPr>
              <w:spacing w:line="240" w:lineRule="exact"/>
              <w:jc w:val="left"/>
              <w:rPr>
                <w:spacing w:val="-6"/>
              </w:rPr>
            </w:pPr>
          </w:p>
        </w:tc>
        <w:tc>
          <w:tcPr>
            <w:tcW w:w="907"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923" w:type="dxa"/>
            <w:tcBorders>
              <w:top w:val="nil"/>
              <w:left w:val="nil"/>
              <w:bottom w:val="nil"/>
              <w:right w:val="nil"/>
            </w:tcBorders>
            <w:shd w:val="clear" w:color="auto" w:fill="FFFFFF"/>
            <w:vAlign w:val="center"/>
          </w:tcPr>
          <w:p>
            <w:pPr>
              <w:spacing w:line="240" w:lineRule="exact"/>
              <w:jc w:val="left"/>
              <w:rPr>
                <w:spacing w:val="-6"/>
              </w:rPr>
            </w:pPr>
          </w:p>
        </w:tc>
        <w:tc>
          <w:tcPr>
            <w:tcW w:w="4157"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预算单位</w:t>
            </w:r>
          </w:p>
        </w:tc>
        <w:tc>
          <w:tcPr>
            <w:tcW w:w="22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功能分类科目</w:t>
            </w:r>
          </w:p>
        </w:tc>
        <w:tc>
          <w:tcPr>
            <w:tcW w:w="2400"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3630"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年初特定目标</w:t>
            </w:r>
          </w:p>
        </w:tc>
        <w:tc>
          <w:tcPr>
            <w:tcW w:w="324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1205" w:type="dxa"/>
            <w:vMerge w:val="continue"/>
            <w:tcBorders>
              <w:top w:val="single" w:color="000000" w:sz="4" w:space="0"/>
              <w:left w:val="nil"/>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953"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科目</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编码</w:t>
            </w:r>
          </w:p>
        </w:tc>
        <w:tc>
          <w:tcPr>
            <w:tcW w:w="129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科目名称</w:t>
            </w:r>
          </w:p>
        </w:tc>
        <w:tc>
          <w:tcPr>
            <w:tcW w:w="2400" w:type="dxa"/>
            <w:tcBorders>
              <w:top w:val="single" w:color="000000" w:sz="4" w:space="0"/>
              <w:left w:val="nil"/>
              <w:bottom w:val="single" w:color="000000" w:sz="4" w:space="0"/>
              <w:right w:val="nil"/>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人员性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23"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一般性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1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民生配套项目</w:t>
            </w:r>
          </w:p>
        </w:tc>
        <w:tc>
          <w:tcPr>
            <w:tcW w:w="776"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结转</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市级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53"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kern w:val="0"/>
                <w:sz w:val="18"/>
                <w:szCs w:val="18"/>
              </w:rPr>
            </w:pPr>
          </w:p>
        </w:tc>
        <w:tc>
          <w:tcPr>
            <w:tcW w:w="1290" w:type="dxa"/>
            <w:tcBorders>
              <w:top w:val="nil"/>
              <w:left w:val="nil"/>
              <w:bottom w:val="nil"/>
              <w:right w:val="single" w:color="000000" w:sz="4" w:space="0"/>
            </w:tcBorders>
            <w:shd w:val="clear" w:color="auto" w:fill="FFFFFF"/>
            <w:vAlign w:val="center"/>
          </w:tcPr>
          <w:p>
            <w:pPr>
              <w:spacing w:line="240" w:lineRule="exact"/>
              <w:jc w:val="left"/>
              <w:rPr>
                <w:rFonts w:hint="eastAsia" w:ascii="宋体" w:hAnsi="宋体" w:eastAsia="宋体" w:cs="宋体"/>
                <w:spacing w:val="-6"/>
                <w:sz w:val="18"/>
                <w:szCs w:val="18"/>
              </w:rPr>
            </w:pPr>
          </w:p>
        </w:tc>
        <w:tc>
          <w:tcPr>
            <w:tcW w:w="2400"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825" w:type="dxa"/>
            <w:tcBorders>
              <w:top w:val="nil"/>
              <w:left w:val="nil"/>
              <w:bottom w:val="nil"/>
              <w:right w:val="single" w:color="000000" w:sz="4" w:space="0"/>
            </w:tcBorders>
            <w:shd w:val="clear" w:color="auto" w:fill="FFFFFF"/>
            <w:vAlign w:val="center"/>
          </w:tcPr>
          <w:p>
            <w:pPr>
              <w:spacing w:line="240" w:lineRule="exact"/>
              <w:jc w:val="left"/>
              <w:rPr>
                <w:rFonts w:hint="default" w:ascii="宋体" w:hAnsi="宋体" w:eastAsia="宋体" w:cs="宋体"/>
                <w:b w:val="0"/>
                <w:bCs w:val="0"/>
                <w:spacing w:val="-6"/>
                <w:sz w:val="18"/>
                <w:szCs w:val="18"/>
                <w:lang w:val="en-US"/>
              </w:rPr>
            </w:pPr>
          </w:p>
        </w:tc>
        <w:tc>
          <w:tcPr>
            <w:tcW w:w="907"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b w:val="0"/>
                <w:bCs w:val="0"/>
                <w:spacing w:val="-6"/>
                <w:sz w:val="18"/>
                <w:szCs w:val="18"/>
              </w:rPr>
            </w:pPr>
          </w:p>
        </w:tc>
        <w:tc>
          <w:tcPr>
            <w:tcW w:w="885"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b w:val="0"/>
                <w:bCs w:val="0"/>
                <w:spacing w:val="-6"/>
                <w:sz w:val="18"/>
                <w:szCs w:val="18"/>
              </w:rPr>
            </w:pPr>
          </w:p>
        </w:tc>
        <w:tc>
          <w:tcPr>
            <w:tcW w:w="923" w:type="dxa"/>
            <w:tcBorders>
              <w:top w:val="nil"/>
              <w:left w:val="nil"/>
              <w:bottom w:val="nil"/>
              <w:right w:val="single" w:color="000000" w:sz="4" w:space="0"/>
            </w:tcBorders>
            <w:vAlign w:val="center"/>
          </w:tcPr>
          <w:p>
            <w:pPr>
              <w:spacing w:line="240" w:lineRule="exact"/>
              <w:jc w:val="left"/>
              <w:rPr>
                <w:rFonts w:hint="eastAsia" w:ascii="宋体" w:hAnsi="宋体" w:eastAsia="宋体" w:cs="宋体"/>
                <w:b w:val="0"/>
                <w:bCs w:val="0"/>
                <w:spacing w:val="-6"/>
                <w:sz w:val="18"/>
                <w:szCs w:val="18"/>
              </w:rPr>
            </w:pPr>
          </w:p>
        </w:tc>
        <w:tc>
          <w:tcPr>
            <w:tcW w:w="915"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1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备注：本单位无</w:t>
      </w:r>
      <w:r>
        <w:rPr>
          <w:rFonts w:hint="eastAsia" w:ascii="宋体" w:hAnsi="宋体" w:cs="宋体"/>
          <w:sz w:val="18"/>
          <w:szCs w:val="18"/>
          <w:lang w:val="en-US" w:eastAsia="zh-CN"/>
        </w:rPr>
        <w:t>项目支出</w:t>
      </w:r>
      <w:r>
        <w:rPr>
          <w:rFonts w:hint="eastAsia" w:ascii="宋体" w:hAnsi="宋体" w:eastAsia="宋体" w:cs="宋体"/>
          <w:sz w:val="18"/>
          <w:szCs w:val="18"/>
        </w:rPr>
        <w:t>，故此表无数据</w:t>
      </w:r>
      <w:r>
        <w:rPr>
          <w:rFonts w:hint="eastAsia" w:ascii="宋体" w:hAnsi="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108"/>
        <w:gridCol w:w="1499"/>
        <w:gridCol w:w="1133"/>
        <w:gridCol w:w="487"/>
        <w:gridCol w:w="646"/>
        <w:gridCol w:w="3276"/>
        <w:gridCol w:w="299"/>
        <w:gridCol w:w="1478"/>
        <w:gridCol w:w="1642"/>
        <w:gridCol w:w="505"/>
        <w:gridCol w:w="1220"/>
        <w:gridCol w:w="379"/>
        <w:gridCol w:w="1361"/>
        <w:gridCol w:w="141"/>
      </w:tblGrid>
      <w:tr>
        <w:tblPrEx>
          <w:tblCellMar>
            <w:top w:w="0" w:type="dxa"/>
            <w:left w:w="108" w:type="dxa"/>
            <w:bottom w:w="0" w:type="dxa"/>
            <w:right w:w="108" w:type="dxa"/>
          </w:tblCellMar>
        </w:tblPrEx>
        <w:trPr>
          <w:trHeight w:val="620" w:hRule="atLeast"/>
          <w:jc w:val="center"/>
        </w:trPr>
        <w:tc>
          <w:tcPr>
            <w:tcW w:w="14174" w:type="dxa"/>
            <w:gridSpan w:val="14"/>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val="en-US" w:eastAsia="zh-CN"/>
              </w:rPr>
              <w:t>群力镇综合行政执法大队</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3227" w:type="dxa"/>
            <w:gridSpan w:val="4"/>
            <w:tcBorders>
              <w:top w:val="nil"/>
              <w:left w:val="nil"/>
              <w:bottom w:val="nil"/>
              <w:right w:val="nil"/>
            </w:tcBorders>
            <w:vAlign w:val="center"/>
          </w:tcPr>
          <w:p>
            <w:pPr>
              <w:rPr>
                <w:rFonts w:hint="default" w:ascii="Times New Roman" w:hAnsi="Times New Roman" w:cs="Times New Roman"/>
              </w:rPr>
            </w:pPr>
          </w:p>
        </w:tc>
        <w:tc>
          <w:tcPr>
            <w:tcW w:w="3922" w:type="dxa"/>
            <w:gridSpan w:val="2"/>
            <w:tcBorders>
              <w:top w:val="nil"/>
              <w:left w:val="nil"/>
              <w:bottom w:val="nil"/>
              <w:right w:val="nil"/>
            </w:tcBorders>
            <w:vAlign w:val="center"/>
          </w:tcPr>
          <w:p>
            <w:pPr>
              <w:rPr>
                <w:rFonts w:hint="default" w:ascii="Times New Roman" w:hAnsi="Times New Roman" w:cs="Times New Roman"/>
              </w:rPr>
            </w:pPr>
          </w:p>
        </w:tc>
        <w:tc>
          <w:tcPr>
            <w:tcW w:w="1777" w:type="dxa"/>
            <w:gridSpan w:val="2"/>
            <w:tcBorders>
              <w:top w:val="nil"/>
              <w:left w:val="nil"/>
              <w:bottom w:val="nil"/>
              <w:right w:val="nil"/>
            </w:tcBorders>
            <w:vAlign w:val="center"/>
          </w:tcPr>
          <w:p>
            <w:pPr>
              <w:rPr>
                <w:rFonts w:hint="default" w:ascii="Times New Roman" w:hAnsi="Times New Roman" w:cs="Times New Roman"/>
              </w:rPr>
            </w:pPr>
          </w:p>
        </w:tc>
        <w:tc>
          <w:tcPr>
            <w:tcW w:w="2147" w:type="dxa"/>
            <w:gridSpan w:val="2"/>
            <w:tcBorders>
              <w:top w:val="nil"/>
              <w:left w:val="nil"/>
              <w:bottom w:val="nil"/>
              <w:right w:val="nil"/>
            </w:tcBorders>
            <w:vAlign w:val="center"/>
          </w:tcPr>
          <w:p>
            <w:pPr>
              <w:rPr>
                <w:rFonts w:hint="default" w:ascii="Times New Roman" w:hAnsi="Times New Roman" w:cs="Times New Roman"/>
              </w:rPr>
            </w:pPr>
          </w:p>
        </w:tc>
        <w:tc>
          <w:tcPr>
            <w:tcW w:w="1599" w:type="dxa"/>
            <w:gridSpan w:val="2"/>
            <w:tcBorders>
              <w:top w:val="nil"/>
              <w:left w:val="nil"/>
              <w:bottom w:val="nil"/>
              <w:right w:val="nil"/>
            </w:tcBorders>
            <w:vAlign w:val="center"/>
          </w:tcPr>
          <w:p>
            <w:pPr>
              <w:rPr>
                <w:rFonts w:hint="default" w:ascii="Times New Roman" w:hAnsi="Times New Roman" w:cs="Times New Roman"/>
              </w:rPr>
            </w:pPr>
          </w:p>
        </w:tc>
        <w:tc>
          <w:tcPr>
            <w:tcW w:w="1502" w:type="dxa"/>
            <w:gridSpan w:val="2"/>
            <w:tcBorders>
              <w:top w:val="nil"/>
              <w:left w:val="nil"/>
              <w:bottom w:val="nil"/>
              <w:right w:val="nil"/>
            </w:tcBorders>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210" w:hRule="exact"/>
          <w:jc w:val="center"/>
        </w:trPr>
        <w:tc>
          <w:tcPr>
            <w:tcW w:w="2632"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47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64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750"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部门(单位)名称</w:t>
            </w:r>
          </w:p>
        </w:tc>
        <w:tc>
          <w:tcPr>
            <w:tcW w:w="584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819-潼南区群力镇</w:t>
            </w:r>
          </w:p>
        </w:tc>
        <w:tc>
          <w:tcPr>
            <w:tcW w:w="31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部门支出预算数（元)</w:t>
            </w:r>
          </w:p>
        </w:tc>
        <w:tc>
          <w:tcPr>
            <w:tcW w:w="34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875"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当年整体绩效目标</w:t>
            </w:r>
          </w:p>
        </w:tc>
        <w:tc>
          <w:tcPr>
            <w:tcW w:w="12426"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本部门在党委政府的领导下，在人大的监督下，主要承担辖区内农林水利、规划建设、生态环境、卫生健康、文化旅游、民政管理、劳动监察、交通运输、民族宗教等领域的综合行政执法工作，与综合行政执法办公室统筹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绩效指标</w:t>
            </w: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指标权重</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指标性质</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满意度指标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可正常办公率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315" w:hRule="exact"/>
          <w:jc w:val="center"/>
        </w:trPr>
        <w:tc>
          <w:tcPr>
            <w:tcW w:w="149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right="20"/>
              <w:jc w:val="right"/>
              <w:rPr>
                <w:rFonts w:hint="eastAsia" w:ascii="宋体" w:hAnsi="宋体" w:eastAsia="宋体" w:cs="宋体"/>
                <w:sz w:val="18"/>
                <w:szCs w:val="18"/>
              </w:rPr>
            </w:pPr>
            <w:r>
              <w:rPr>
                <w:rFonts w:hint="eastAsia" w:ascii="宋体" w:hAnsi="宋体" w:eastAsia="宋体" w:cs="宋体"/>
                <w:sz w:val="18"/>
                <w:szCs w:val="18"/>
              </w:rPr>
              <w:t>联系人：</w:t>
            </w: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戴雅丽</w:t>
            </w: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312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联系电话：023-44816771</w:t>
            </w: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r>
    </w:tbl>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jc w:val="both"/>
        <w:rPr>
          <w:rFonts w:hint="default" w:eastAsia="方正小标宋_GBK" w:cs="Times New Roman"/>
          <w:kern w:val="0"/>
          <w:sz w:val="40"/>
          <w:szCs w:val="40"/>
          <w:lang w:val="en-US" w:eastAsia="zh-CN" w:bidi="ar-SA"/>
        </w:rPr>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A00002BF" w:usb1="38CF7CFA" w:usb2="00082016" w:usb3="00000000" w:csb0="00040001" w:csb1="00000000"/>
    <w:embedRegular r:id="rId1" w:fontKey="{9647D389-79C2-45E1-B35F-12B86EB15449}"/>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AE5405E1-D0BD-4320-9087-33951DC3148E}"/>
  </w:font>
  <w:font w:name="方正小标宋_GBK">
    <w:panose1 w:val="02000000000000000000"/>
    <w:charset w:val="86"/>
    <w:family w:val="script"/>
    <w:pitch w:val="default"/>
    <w:sig w:usb0="A00002BF" w:usb1="38CF7CFA" w:usb2="00082016" w:usb3="00000000" w:csb0="00040001" w:csb1="00000000"/>
    <w:embedRegular r:id="rId3" w:fontKey="{AAAF1E74-826D-433F-BA36-A5F594CC6789}"/>
  </w:font>
  <w:font w:name="仿宋_GB2312">
    <w:altName w:val="仿宋"/>
    <w:panose1 w:val="02010609030101010101"/>
    <w:charset w:val="86"/>
    <w:family w:val="modern"/>
    <w:pitch w:val="default"/>
    <w:sig w:usb0="00000000" w:usb1="00000000" w:usb2="00000000" w:usb3="00000000" w:csb0="00040000" w:csb1="00000000"/>
    <w:embedRegular r:id="rId4" w:fontKey="{BBBC3450-7FB5-45F2-B0AB-94A8A35255F7}"/>
  </w:font>
  <w:font w:name="方正黑体_GBK">
    <w:panose1 w:val="03000509000000000000"/>
    <w:charset w:val="86"/>
    <w:family w:val="script"/>
    <w:pitch w:val="default"/>
    <w:sig w:usb0="00000001" w:usb1="080E0000" w:usb2="00000000" w:usb3="00000000" w:csb0="00040000" w:csb1="00000000"/>
    <w:embedRegular r:id="rId5" w:fontKey="{BD2FB3E2-CB10-4C89-A622-3DE31FE684C3}"/>
  </w:font>
  <w:font w:name="方正楷体_GBK">
    <w:panose1 w:val="02000000000000000000"/>
    <w:charset w:val="86"/>
    <w:family w:val="script"/>
    <w:pitch w:val="default"/>
    <w:sig w:usb0="800002BF" w:usb1="38CF7CFA" w:usb2="00000016" w:usb3="00000000" w:csb0="00040000" w:csb1="00000000"/>
    <w:embedRegular r:id="rId6" w:fontKey="{82961344-D3FC-4D65-8F36-C53D9C4F0BBC}"/>
  </w:font>
  <w:font w:name="方正仿宋简体">
    <w:panose1 w:val="02000000000000000000"/>
    <w:charset w:val="86"/>
    <w:family w:val="auto"/>
    <w:pitch w:val="default"/>
    <w:sig w:usb0="A00002BF" w:usb1="184F6CFA" w:usb2="00000012" w:usb3="00000000" w:csb0="00040001" w:csb1="00000000"/>
    <w:embedRegular r:id="rId7" w:fontKey="{90CD51C1-3089-477B-9991-E348266DC43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408</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TMzZjhmYjY3MjYwODNhY2FjYmEwN2Q4MmY3NzU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2820350"/>
    <w:rsid w:val="0318024C"/>
    <w:rsid w:val="04227034"/>
    <w:rsid w:val="04371904"/>
    <w:rsid w:val="04622B4E"/>
    <w:rsid w:val="051B68CD"/>
    <w:rsid w:val="05E00732"/>
    <w:rsid w:val="05E16ED2"/>
    <w:rsid w:val="06616243"/>
    <w:rsid w:val="07D74CDF"/>
    <w:rsid w:val="0802440D"/>
    <w:rsid w:val="087459EC"/>
    <w:rsid w:val="09066342"/>
    <w:rsid w:val="092F6318"/>
    <w:rsid w:val="099C40FB"/>
    <w:rsid w:val="0A7F3D19"/>
    <w:rsid w:val="0B970E43"/>
    <w:rsid w:val="0DC43991"/>
    <w:rsid w:val="0E0F0F4F"/>
    <w:rsid w:val="10455B23"/>
    <w:rsid w:val="119D3C86"/>
    <w:rsid w:val="11C02C4D"/>
    <w:rsid w:val="13367EB4"/>
    <w:rsid w:val="14946A93"/>
    <w:rsid w:val="15681628"/>
    <w:rsid w:val="15F62788"/>
    <w:rsid w:val="16D61B09"/>
    <w:rsid w:val="18231D1A"/>
    <w:rsid w:val="1AA62AE4"/>
    <w:rsid w:val="1B071422"/>
    <w:rsid w:val="1E0302A5"/>
    <w:rsid w:val="1EED3BFB"/>
    <w:rsid w:val="206C2914"/>
    <w:rsid w:val="208115C4"/>
    <w:rsid w:val="21AA6177"/>
    <w:rsid w:val="22394811"/>
    <w:rsid w:val="22643293"/>
    <w:rsid w:val="236043E2"/>
    <w:rsid w:val="23C85263"/>
    <w:rsid w:val="2427482B"/>
    <w:rsid w:val="265F2724"/>
    <w:rsid w:val="27A02EA3"/>
    <w:rsid w:val="28133675"/>
    <w:rsid w:val="28E51EAA"/>
    <w:rsid w:val="2A150A97"/>
    <w:rsid w:val="2B2A36FB"/>
    <w:rsid w:val="2C194F20"/>
    <w:rsid w:val="301541ED"/>
    <w:rsid w:val="30263F71"/>
    <w:rsid w:val="307D7F63"/>
    <w:rsid w:val="32533F47"/>
    <w:rsid w:val="32D103B5"/>
    <w:rsid w:val="3315510C"/>
    <w:rsid w:val="35C64805"/>
    <w:rsid w:val="372904BF"/>
    <w:rsid w:val="37BD385B"/>
    <w:rsid w:val="38EA5078"/>
    <w:rsid w:val="39F9117C"/>
    <w:rsid w:val="3C9211CB"/>
    <w:rsid w:val="3C93402F"/>
    <w:rsid w:val="3EEB0939"/>
    <w:rsid w:val="3EF95346"/>
    <w:rsid w:val="3F1B53D0"/>
    <w:rsid w:val="3F212082"/>
    <w:rsid w:val="4087105B"/>
    <w:rsid w:val="426136E9"/>
    <w:rsid w:val="426F65D3"/>
    <w:rsid w:val="4374118B"/>
    <w:rsid w:val="43D9531B"/>
    <w:rsid w:val="44681FAE"/>
    <w:rsid w:val="44B64C4D"/>
    <w:rsid w:val="46EA05B5"/>
    <w:rsid w:val="47F75DFD"/>
    <w:rsid w:val="48621D83"/>
    <w:rsid w:val="48934632"/>
    <w:rsid w:val="4A0A726D"/>
    <w:rsid w:val="4A1B1550"/>
    <w:rsid w:val="4A68749E"/>
    <w:rsid w:val="4B0B6CBE"/>
    <w:rsid w:val="4B234E97"/>
    <w:rsid w:val="4B9049B6"/>
    <w:rsid w:val="50131BB5"/>
    <w:rsid w:val="50DA38A7"/>
    <w:rsid w:val="5372354D"/>
    <w:rsid w:val="548A5837"/>
    <w:rsid w:val="54DB3373"/>
    <w:rsid w:val="56A92D3D"/>
    <w:rsid w:val="56C71C1E"/>
    <w:rsid w:val="57902AC5"/>
    <w:rsid w:val="57E36D0C"/>
    <w:rsid w:val="585316E8"/>
    <w:rsid w:val="59F111B9"/>
    <w:rsid w:val="5B1435B0"/>
    <w:rsid w:val="5D6326D7"/>
    <w:rsid w:val="5D7F232B"/>
    <w:rsid w:val="5EC16571"/>
    <w:rsid w:val="60400885"/>
    <w:rsid w:val="621456D4"/>
    <w:rsid w:val="65FA3F4B"/>
    <w:rsid w:val="6630546A"/>
    <w:rsid w:val="666A7523"/>
    <w:rsid w:val="669F1F03"/>
    <w:rsid w:val="67B04461"/>
    <w:rsid w:val="685F3791"/>
    <w:rsid w:val="69A143EA"/>
    <w:rsid w:val="6DAA54AF"/>
    <w:rsid w:val="701B0AEA"/>
    <w:rsid w:val="72484540"/>
    <w:rsid w:val="72A221EF"/>
    <w:rsid w:val="739F1FE3"/>
    <w:rsid w:val="742A49F3"/>
    <w:rsid w:val="7491045C"/>
    <w:rsid w:val="74AB40B9"/>
    <w:rsid w:val="74AB522C"/>
    <w:rsid w:val="74FB44DA"/>
    <w:rsid w:val="77B81E09"/>
    <w:rsid w:val="77F8480C"/>
    <w:rsid w:val="790569F8"/>
    <w:rsid w:val="7D154B50"/>
    <w:rsid w:val="7D782ED3"/>
    <w:rsid w:val="7E0A6702"/>
    <w:rsid w:val="7E2C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1"/>
    <w:autoRedefine/>
    <w:qFormat/>
    <w:uiPriority w:val="99"/>
    <w:pPr>
      <w:widowControl/>
      <w:spacing w:line="480" w:lineRule="exact"/>
    </w:pPr>
    <w:rPr>
      <w:rFonts w:ascii="宋体" w:hAnsi="宋体" w:cs="宋体"/>
      <w:kern w:val="0"/>
      <w:sz w:val="24"/>
      <w:szCs w:val="24"/>
    </w:rPr>
  </w:style>
  <w:style w:type="paragraph" w:customStyle="1" w:styleId="3">
    <w:name w:val="默认"/>
    <w:basedOn w:val="1"/>
    <w:autoRedefine/>
    <w:qFormat/>
    <w:uiPriority w:val="99"/>
    <w:pPr>
      <w:widowControl/>
      <w:jc w:val="left"/>
    </w:pPr>
    <w:rPr>
      <w:rFonts w:ascii="Helvetica" w:hAnsi="Helvetica" w:cs="Helvetica"/>
      <w:color w:val="000000"/>
      <w:kern w:val="0"/>
      <w:sz w:val="22"/>
      <w:szCs w:val="22"/>
    </w:rPr>
  </w:style>
  <w:style w:type="paragraph" w:styleId="4">
    <w:name w:val="Plain Text"/>
    <w:basedOn w:val="1"/>
    <w:link w:val="32"/>
    <w:autoRedefine/>
    <w:qFormat/>
    <w:uiPriority w:val="99"/>
    <w:rPr>
      <w:rFonts w:ascii="宋体" w:hAnsi="Courier New" w:cs="宋体"/>
    </w:rPr>
  </w:style>
  <w:style w:type="paragraph" w:styleId="5">
    <w:name w:val="Balloon Text"/>
    <w:basedOn w:val="1"/>
    <w:link w:val="17"/>
    <w:autoRedefine/>
    <w:semiHidden/>
    <w:qFormat/>
    <w:uiPriority w:val="99"/>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character" w:customStyle="1" w:styleId="12">
    <w:name w:val="页脚 Char"/>
    <w:link w:val="6"/>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7"/>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5"/>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basedOn w:val="10"/>
    <w:autoRedefine/>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basedOn w:val="10"/>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4"/>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 w:type="character" w:customStyle="1" w:styleId="36">
    <w:name w:val="font41"/>
    <w:basedOn w:val="10"/>
    <w:autoRedefine/>
    <w:qFormat/>
    <w:uiPriority w:val="0"/>
    <w:rPr>
      <w:rFonts w:hint="eastAsia" w:ascii="方正仿宋_GBK" w:hAnsi="方正仿宋_GBK" w:eastAsia="方正仿宋_GBK" w:cs="方正仿宋_GBK"/>
      <w:color w:val="000000"/>
      <w:sz w:val="20"/>
      <w:szCs w:val="20"/>
      <w:u w:val="none"/>
    </w:rPr>
  </w:style>
  <w:style w:type="character" w:customStyle="1" w:styleId="37">
    <w:name w:val="font31"/>
    <w:basedOn w:val="10"/>
    <w:autoRedefine/>
    <w:qFormat/>
    <w:uiPriority w:val="0"/>
    <w:rPr>
      <w:rFonts w:hint="eastAsia" w:ascii="方正仿宋_GBK" w:hAnsi="方正仿宋_GBK" w:eastAsia="方正仿宋_GBK" w:cs="方正仿宋_GBK"/>
      <w:color w:val="000000"/>
      <w:sz w:val="20"/>
      <w:szCs w:val="20"/>
      <w:u w:val="none"/>
    </w:rPr>
  </w:style>
  <w:style w:type="paragraph" w:customStyle="1" w:styleId="38">
    <w:name w:val="普通(网站) Char"/>
    <w:basedOn w:val="1"/>
    <w:autoRedefine/>
    <w:hidden/>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39">
    <w:name w:val="font51"/>
    <w:basedOn w:val="10"/>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9533</Words>
  <Characters>14413</Characters>
  <Lines>1493</Lines>
  <Paragraphs>420</Paragraphs>
  <TotalTime>0</TotalTime>
  <ScaleCrop>false</ScaleCrop>
  <LinksUpToDate>false</LinksUpToDate>
  <CharactersWithSpaces>15205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是太阳的阳</cp:lastModifiedBy>
  <dcterms:modified xsi:type="dcterms:W3CDTF">2024-03-11T01:32:40Z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924225636B014AEB804601339960C34B</vt:lpwstr>
  </property>
</Properties>
</file>