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重庆市潼南区群力镇劳动就业和社会保障服务所</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pStyle w:val="38"/>
        <w:shd w:val="clear" w:fill="FFFFFF"/>
        <w:spacing w:before="0" w:beforeAutospacing="0" w:after="0" w:afterAutospacing="0" w:line="594" w:lineRule="exact"/>
        <w:ind w:left="0" w:right="0" w:firstLine="640" w:firstLineChars="200"/>
        <w:rPr>
          <w:rFonts w:hint="default" w:ascii="Times New Roman" w:hAnsi="Times New Roman" w:eastAsia="方正仿宋简体" w:cs="方正仿宋_GBK"/>
          <w:kern w:val="0"/>
          <w:sz w:val="32"/>
          <w:szCs w:val="32"/>
          <w:shd w:val="clear" w:fill="FFFFFF"/>
        </w:rPr>
      </w:pPr>
      <w:r>
        <w:rPr>
          <w:rFonts w:hint="eastAsia" w:ascii="方正仿宋简体" w:hAnsi="方正仿宋简体" w:eastAsia="方正仿宋简体" w:cs="方正仿宋简体"/>
          <w:kern w:val="0"/>
          <w:sz w:val="32"/>
          <w:szCs w:val="32"/>
          <w:shd w:val="clear" w:fill="FFFFFF"/>
        </w:rPr>
        <w:t>本部门在党委政府的领导下，在人大的监督下，负责提供就业、社会保障和劳动维权等服务。</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镇劳动就业和社会保障服务所组成，实有在职人员</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人员0</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67.78</w:t>
      </w:r>
      <w:r>
        <w:rPr>
          <w:rFonts w:eastAsia="方正仿宋_GBK"/>
          <w:sz w:val="32"/>
          <w:szCs w:val="32"/>
        </w:rPr>
        <w:t>万元，其中：一般公共预算拨款</w:t>
      </w:r>
      <w:r>
        <w:rPr>
          <w:rFonts w:hint="eastAsia" w:eastAsia="方正仿宋_GBK"/>
          <w:sz w:val="32"/>
          <w:szCs w:val="32"/>
        </w:rPr>
        <w:t>67.78</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w:t>
      </w:r>
      <w:r>
        <w:rPr>
          <w:rFonts w:hint="eastAsia" w:eastAsia="方正仿宋_GBK"/>
          <w:sz w:val="32"/>
          <w:szCs w:val="32"/>
          <w:lang w:val="en-US" w:eastAsia="zh-CN"/>
        </w:rPr>
        <w:t>增加2.89</w:t>
      </w:r>
      <w:r>
        <w:rPr>
          <w:rFonts w:eastAsia="方正仿宋_GBK"/>
          <w:sz w:val="32"/>
          <w:szCs w:val="32"/>
        </w:rPr>
        <w:t>万元，主要是基本支出增加</w:t>
      </w:r>
      <w:r>
        <w:rPr>
          <w:rFonts w:hint="eastAsia" w:eastAsia="方正仿宋_GBK"/>
          <w:sz w:val="32"/>
          <w:szCs w:val="32"/>
          <w:lang w:val="en-US" w:eastAsia="zh-CN"/>
        </w:rPr>
        <w:t>2.89</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67.78</w:t>
      </w:r>
      <w:r>
        <w:rPr>
          <w:rFonts w:eastAsia="方正仿宋_GBK"/>
          <w:sz w:val="32"/>
          <w:szCs w:val="32"/>
        </w:rPr>
        <w:t>万元，其中：社会保障和就业支出</w:t>
      </w:r>
      <w:r>
        <w:rPr>
          <w:rFonts w:hint="eastAsia" w:eastAsia="方正仿宋_GBK"/>
          <w:sz w:val="32"/>
          <w:szCs w:val="32"/>
        </w:rPr>
        <w:t>61.45</w:t>
      </w:r>
      <w:r>
        <w:rPr>
          <w:rFonts w:eastAsia="方正仿宋_GBK"/>
          <w:sz w:val="32"/>
          <w:szCs w:val="32"/>
        </w:rPr>
        <w:t>万元，卫生健康支出</w:t>
      </w:r>
      <w:r>
        <w:rPr>
          <w:rFonts w:hint="eastAsia" w:eastAsia="方正仿宋_GBK"/>
          <w:sz w:val="32"/>
          <w:szCs w:val="32"/>
        </w:rPr>
        <w:t>3.41</w:t>
      </w:r>
      <w:r>
        <w:rPr>
          <w:rFonts w:eastAsia="方正仿宋_GBK"/>
          <w:sz w:val="32"/>
          <w:szCs w:val="32"/>
        </w:rPr>
        <w:t>万元，住房保障支出</w:t>
      </w:r>
      <w:r>
        <w:rPr>
          <w:rFonts w:hint="eastAsia" w:eastAsia="方正仿宋_GBK"/>
          <w:sz w:val="32"/>
          <w:szCs w:val="32"/>
        </w:rPr>
        <w:t>2.93</w:t>
      </w:r>
      <w:r>
        <w:rPr>
          <w:rFonts w:eastAsia="方正仿宋_GBK"/>
          <w:sz w:val="32"/>
          <w:szCs w:val="32"/>
        </w:rPr>
        <w:t>万元。主要是基本支出增加</w:t>
      </w:r>
      <w:r>
        <w:rPr>
          <w:rFonts w:hint="eastAsia" w:eastAsia="方正仿宋_GBK"/>
          <w:sz w:val="32"/>
          <w:szCs w:val="32"/>
          <w:lang w:val="en-US" w:eastAsia="zh-CN"/>
        </w:rPr>
        <w:t>2.89</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67.78</w:t>
      </w:r>
      <w:r>
        <w:rPr>
          <w:rFonts w:eastAsia="方正仿宋_GBK"/>
          <w:sz w:val="32"/>
          <w:szCs w:val="32"/>
        </w:rPr>
        <w:t>万元，一般公共预算财政拨款支出</w:t>
      </w:r>
      <w:r>
        <w:rPr>
          <w:rFonts w:hint="eastAsia" w:eastAsia="方正仿宋_GBK"/>
          <w:sz w:val="32"/>
          <w:szCs w:val="32"/>
        </w:rPr>
        <w:t>67.78</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增加2.89</w:t>
      </w:r>
      <w:r>
        <w:rPr>
          <w:rFonts w:eastAsia="方正仿宋_GBK"/>
          <w:sz w:val="32"/>
          <w:szCs w:val="32"/>
        </w:rPr>
        <w:t>万元。其中：基本支出</w:t>
      </w:r>
      <w:r>
        <w:rPr>
          <w:rFonts w:hint="eastAsia" w:eastAsia="方正仿宋_GBK"/>
          <w:sz w:val="32"/>
          <w:szCs w:val="32"/>
        </w:rPr>
        <w:t>67.78</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lang w:val="en-US" w:eastAsia="zh-CN"/>
        </w:rPr>
        <w:t>2.89</w:t>
      </w:r>
      <w:r>
        <w:rPr>
          <w:rFonts w:eastAsia="方正仿宋_GBK"/>
          <w:sz w:val="32"/>
          <w:szCs w:val="32"/>
        </w:rPr>
        <w:t>万元，主要原因是社会保障和就业支出</w:t>
      </w:r>
      <w:r>
        <w:rPr>
          <w:rFonts w:hint="eastAsia" w:eastAsia="方正仿宋_GBK"/>
          <w:sz w:val="32"/>
          <w:szCs w:val="32"/>
          <w:lang w:eastAsia="zh-CN"/>
        </w:rPr>
        <w:t>、</w:t>
      </w:r>
      <w:r>
        <w:rPr>
          <w:rFonts w:eastAsia="方正仿宋_GBK"/>
          <w:sz w:val="32"/>
          <w:szCs w:val="32"/>
        </w:rPr>
        <w:t>卫生健康支出</w:t>
      </w:r>
      <w:r>
        <w:rPr>
          <w:rFonts w:hint="eastAsia" w:eastAsia="方正仿宋_GBK"/>
          <w:sz w:val="32"/>
          <w:szCs w:val="32"/>
          <w:lang w:val="en-US" w:eastAsia="zh-CN"/>
        </w:rPr>
        <w:t>及</w:t>
      </w:r>
      <w:r>
        <w:rPr>
          <w:rFonts w:eastAsia="方正仿宋_GBK"/>
          <w:sz w:val="32"/>
          <w:szCs w:val="32"/>
        </w:rPr>
        <w:t>住房保障支出增加。</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12.28</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1.98</w:t>
      </w:r>
      <w:r>
        <w:rPr>
          <w:rFonts w:eastAsia="方正仿宋_GBK"/>
          <w:sz w:val="32"/>
          <w:szCs w:val="32"/>
          <w:highlight w:val="none"/>
        </w:rPr>
        <w:t>万元</w:t>
      </w:r>
      <w:r>
        <w:rPr>
          <w:rFonts w:eastAsia="方正仿宋_GBK"/>
          <w:sz w:val="32"/>
          <w:szCs w:val="32"/>
        </w:rPr>
        <w:t>，主要原因为</w:t>
      </w:r>
      <w:r>
        <w:rPr>
          <w:rFonts w:hint="eastAsia" w:eastAsia="方正仿宋_GBK"/>
          <w:sz w:val="32"/>
          <w:szCs w:val="32"/>
        </w:rPr>
        <w:t>结转2023年公用经费</w:t>
      </w:r>
      <w:r>
        <w:rPr>
          <w:rFonts w:hint="eastAsia" w:eastAsia="方正仿宋_GBK"/>
          <w:sz w:val="32"/>
          <w:szCs w:val="32"/>
          <w:lang w:val="en-US" w:eastAsia="zh-CN"/>
        </w:rPr>
        <w:t>1.95万元，使机关运行经费较上年有所增加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67.78</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93"/>
        <w:gridCol w:w="2419"/>
        <w:gridCol w:w="2108"/>
        <w:gridCol w:w="2215"/>
        <w:gridCol w:w="1596"/>
        <w:gridCol w:w="203"/>
        <w:gridCol w:w="1637"/>
        <w:gridCol w:w="1129"/>
        <w:gridCol w:w="835"/>
        <w:gridCol w:w="546"/>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2"/>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6"/>
            <w:tcBorders>
              <w:top w:val="nil"/>
              <w:left w:val="nil"/>
              <w:bottom w:val="nil"/>
              <w:right w:val="nil"/>
            </w:tcBorders>
            <w:vAlign w:val="center"/>
          </w:tcPr>
          <w:p>
            <w:pPr>
              <w:spacing w:line="240" w:lineRule="exact"/>
              <w:jc w:val="center"/>
            </w:pPr>
          </w:p>
        </w:tc>
        <w:tc>
          <w:tcPr>
            <w:tcW w:w="1637" w:type="dxa"/>
            <w:tcBorders>
              <w:top w:val="nil"/>
              <w:left w:val="nil"/>
              <w:bottom w:val="nil"/>
              <w:right w:val="nil"/>
            </w:tcBorders>
            <w:vAlign w:val="center"/>
          </w:tcPr>
          <w:p>
            <w:pPr>
              <w:spacing w:line="240" w:lineRule="exact"/>
            </w:pPr>
          </w:p>
        </w:tc>
        <w:tc>
          <w:tcPr>
            <w:tcW w:w="1129" w:type="dxa"/>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4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67.78</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收入合计</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支出合计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988"/>
        <w:gridCol w:w="184"/>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2"/>
            <w:tcBorders>
              <w:top w:val="nil"/>
              <w:left w:val="nil"/>
              <w:bottom w:val="nil"/>
              <w:right w:val="nil"/>
            </w:tcBorders>
            <w:vAlign w:val="center"/>
          </w:tcPr>
          <w:p>
            <w:pPr>
              <w:widowControl/>
              <w:spacing w:line="600" w:lineRule="exact"/>
              <w:jc w:val="center"/>
              <w:textAlignment w:val="center"/>
              <w:rPr>
                <w:rFonts w:hint="eastAsia" w:eastAsia="方正小标宋_GBK" w:cs="Times New Roman"/>
                <w:kern w:val="0"/>
                <w:sz w:val="40"/>
                <w:szCs w:val="40"/>
                <w:lang w:val="en-US" w:eastAsia="zh-CN"/>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劳动就业和社会保障服务所</w:t>
            </w:r>
          </w:p>
          <w:p>
            <w:pPr>
              <w:widowControl/>
              <w:spacing w:line="600" w:lineRule="exact"/>
              <w:jc w:val="center"/>
              <w:textAlignment w:val="center"/>
              <w:rPr>
                <w:rFonts w:eastAsia="方正小标宋_GBK"/>
                <w:kern w:val="0"/>
                <w:sz w:val="40"/>
                <w:szCs w:val="40"/>
              </w:rPr>
            </w:pP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4"/>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80"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85" w:hRule="atLeast"/>
          <w:jc w:val="center"/>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64.89</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人力资源和社会保障管理事务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2080150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bookmarkStart w:id="0" w:name="_GoBack"/>
            <w:bookmarkEnd w:id="0"/>
            <w:r>
              <w:rPr>
                <w:rFonts w:hint="eastAsia" w:ascii="宋体" w:hAnsi="宋体" w:eastAsia="宋体" w:cs="宋体"/>
                <w:i w:val="0"/>
                <w:iCs w:val="0"/>
                <w:color w:val="000000"/>
                <w:kern w:val="0"/>
                <w:sz w:val="18"/>
                <w:szCs w:val="18"/>
                <w:u w:val="none"/>
                <w:lang w:val="en-US" w:eastAsia="zh-CN" w:bidi="ar"/>
              </w:rPr>
              <w:t>2210201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263"/>
        <w:gridCol w:w="433"/>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1"/>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4"/>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55.50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55.50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13.14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27.83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3.90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1.95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2.07</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1.17</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2.93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0.48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0.29</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0.85</w:t>
            </w: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hint="eastAsia" w:eastAsia="方正小标宋_GBK" w:cs="Times New Roman"/>
          <w:kern w:val="0"/>
          <w:sz w:val="40"/>
          <w:szCs w:val="40"/>
          <w:lang w:val="en-US"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p>
    <w:p>
      <w:pPr>
        <w:pStyle w:val="6"/>
        <w:spacing w:line="600" w:lineRule="exact"/>
        <w:jc w:val="center"/>
        <w:rPr>
          <w:rFonts w:eastAsia="方正黑体_GBK"/>
          <w:sz w:val="32"/>
          <w:szCs w:val="32"/>
        </w:rPr>
      </w:pP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67.78</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67.78</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人力资源和社会保障管理事务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2080150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67.78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人力资源和社会保障管理事务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2080150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jc w:val="both"/>
        <w:rPr>
          <w:rFonts w:eastAsia="方正小标宋_GBK"/>
          <w:kern w:val="0"/>
          <w:sz w:val="40"/>
          <w:szCs w:val="40"/>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rPr>
          <w:rFonts w:eastAsia="仿宋_GB2312"/>
          <w:sz w:val="20"/>
          <w:szCs w:val="20"/>
        </w:rPr>
      </w:pP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劳动就业和社会保障服务所</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spacing w:line="240" w:lineRule="exact"/>
              <w:jc w:val="left"/>
              <w:rPr>
                <w:rFonts w:hint="default" w:ascii="宋体" w:hAnsi="宋体" w:eastAsia="宋体" w:cs="宋体"/>
                <w:b w:val="0"/>
                <w:bCs w:val="0"/>
                <w:spacing w:val="-6"/>
                <w:sz w:val="18"/>
                <w:szCs w:val="18"/>
                <w:lang w:val="en-US"/>
              </w:rPr>
            </w:pPr>
          </w:p>
        </w:tc>
        <w:tc>
          <w:tcPr>
            <w:tcW w:w="907"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885"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spacing w:line="240" w:lineRule="exact"/>
              <w:jc w:val="left"/>
              <w:rPr>
                <w:rFonts w:hint="eastAsia" w:ascii="宋体" w:hAnsi="宋体" w:eastAsia="宋体" w:cs="宋体"/>
                <w:b w:val="0"/>
                <w:bCs w:val="0"/>
                <w:spacing w:val="-6"/>
                <w:sz w:val="18"/>
                <w:szCs w:val="18"/>
              </w:rPr>
            </w:pP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1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w:t>
      </w:r>
      <w:r>
        <w:rPr>
          <w:rFonts w:hint="eastAsia" w:ascii="宋体" w:hAnsi="宋体" w:cs="宋体"/>
          <w:sz w:val="18"/>
          <w:szCs w:val="18"/>
          <w:lang w:val="en-US" w:eastAsia="zh-CN"/>
        </w:rPr>
        <w:t>项目支出</w:t>
      </w:r>
      <w:r>
        <w:rPr>
          <w:rFonts w:hint="eastAsia" w:ascii="宋体" w:hAnsi="宋体" w:eastAsia="宋体" w:cs="宋体"/>
          <w:sz w:val="18"/>
          <w:szCs w:val="18"/>
        </w:rPr>
        <w:t>，故此表无数据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群力镇劳动就业和社会保障服务所</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67.78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本部门在党委政府的领导下，在人大的监督下，负责提供就业、社会保障和劳动维权等服务。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720D068E-5DB4-4F9B-B5CA-704657446954}"/>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A23F02D2-39FE-4FBD-A6CC-D03CE9AFF763}"/>
  </w:font>
  <w:font w:name="方正小标宋_GBK">
    <w:panose1 w:val="02000000000000000000"/>
    <w:charset w:val="86"/>
    <w:family w:val="script"/>
    <w:pitch w:val="default"/>
    <w:sig w:usb0="A00002BF" w:usb1="38CF7CFA" w:usb2="00082016" w:usb3="00000000" w:csb0="00040001" w:csb1="00000000"/>
    <w:embedRegular r:id="rId3" w:fontKey="{1B54B821-2AA7-4D7A-BF4D-34865A0EA0A4}"/>
  </w:font>
  <w:font w:name="仿宋_GB2312">
    <w:altName w:val="仿宋"/>
    <w:panose1 w:val="02010609030101010101"/>
    <w:charset w:val="86"/>
    <w:family w:val="modern"/>
    <w:pitch w:val="default"/>
    <w:sig w:usb0="00000000" w:usb1="00000000" w:usb2="00000000" w:usb3="00000000" w:csb0="00040000" w:csb1="00000000"/>
    <w:embedRegular r:id="rId4" w:fontKey="{BF6A5517-DAC1-4932-B0A6-A8B48F5923D2}"/>
  </w:font>
  <w:font w:name="方正黑体_GBK">
    <w:panose1 w:val="03000509000000000000"/>
    <w:charset w:val="86"/>
    <w:family w:val="script"/>
    <w:pitch w:val="default"/>
    <w:sig w:usb0="00000001" w:usb1="080E0000" w:usb2="00000000" w:usb3="00000000" w:csb0="00040000" w:csb1="00000000"/>
    <w:embedRegular r:id="rId5" w:fontKey="{A8FA8AA8-6A97-4782-BE71-4A800D4855F6}"/>
  </w:font>
  <w:font w:name="方正楷体_GBK">
    <w:panose1 w:val="02000000000000000000"/>
    <w:charset w:val="86"/>
    <w:family w:val="script"/>
    <w:pitch w:val="default"/>
    <w:sig w:usb0="800002BF" w:usb1="38CF7CFA" w:usb2="00000016" w:usb3="00000000" w:csb0="00040000" w:csb1="00000000"/>
    <w:embedRegular r:id="rId6" w:fontKey="{0E074C4B-7E14-44C6-AFA5-AE40A3942B65}"/>
  </w:font>
  <w:font w:name="方正仿宋简体">
    <w:panose1 w:val="02000000000000000000"/>
    <w:charset w:val="86"/>
    <w:family w:val="auto"/>
    <w:pitch w:val="default"/>
    <w:sig w:usb0="A00002BF" w:usb1="184F6CFA" w:usb2="00000012" w:usb3="00000000" w:csb0="00040001" w:csb1="00000000"/>
    <w:embedRegular r:id="rId7" w:fontKey="{E662579F-8F05-429E-9E6B-7C581C2993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820350"/>
    <w:rsid w:val="0318024C"/>
    <w:rsid w:val="04227034"/>
    <w:rsid w:val="04371904"/>
    <w:rsid w:val="04622B4E"/>
    <w:rsid w:val="051B68CD"/>
    <w:rsid w:val="05E00732"/>
    <w:rsid w:val="05E16ED2"/>
    <w:rsid w:val="06616243"/>
    <w:rsid w:val="07D74CDF"/>
    <w:rsid w:val="0802440D"/>
    <w:rsid w:val="087459EC"/>
    <w:rsid w:val="09066342"/>
    <w:rsid w:val="099C40FB"/>
    <w:rsid w:val="0A7F3D19"/>
    <w:rsid w:val="0B970E43"/>
    <w:rsid w:val="0DC43991"/>
    <w:rsid w:val="10455B23"/>
    <w:rsid w:val="119D3C86"/>
    <w:rsid w:val="13367EB4"/>
    <w:rsid w:val="14946A93"/>
    <w:rsid w:val="15681628"/>
    <w:rsid w:val="15F62788"/>
    <w:rsid w:val="18231D1A"/>
    <w:rsid w:val="1AA62AE4"/>
    <w:rsid w:val="1EED3BFB"/>
    <w:rsid w:val="206C2914"/>
    <w:rsid w:val="208115C4"/>
    <w:rsid w:val="21AA6177"/>
    <w:rsid w:val="22394811"/>
    <w:rsid w:val="22643293"/>
    <w:rsid w:val="236043E2"/>
    <w:rsid w:val="23C85263"/>
    <w:rsid w:val="2427482B"/>
    <w:rsid w:val="265F2724"/>
    <w:rsid w:val="27A02EA3"/>
    <w:rsid w:val="28E51EAA"/>
    <w:rsid w:val="2A150A97"/>
    <w:rsid w:val="2B2A36FB"/>
    <w:rsid w:val="2C194F20"/>
    <w:rsid w:val="301541ED"/>
    <w:rsid w:val="30263F71"/>
    <w:rsid w:val="32533F47"/>
    <w:rsid w:val="32D103B5"/>
    <w:rsid w:val="35C64805"/>
    <w:rsid w:val="372904BF"/>
    <w:rsid w:val="37BD385B"/>
    <w:rsid w:val="38EA5078"/>
    <w:rsid w:val="39F9117C"/>
    <w:rsid w:val="3C9211CB"/>
    <w:rsid w:val="3C93402F"/>
    <w:rsid w:val="3EEB0939"/>
    <w:rsid w:val="3EF95346"/>
    <w:rsid w:val="3F1B53D0"/>
    <w:rsid w:val="3F212082"/>
    <w:rsid w:val="4087105B"/>
    <w:rsid w:val="426136E9"/>
    <w:rsid w:val="426F65D3"/>
    <w:rsid w:val="4374118B"/>
    <w:rsid w:val="43D9531B"/>
    <w:rsid w:val="44681FAE"/>
    <w:rsid w:val="44B64C4D"/>
    <w:rsid w:val="46EA05B5"/>
    <w:rsid w:val="48621D83"/>
    <w:rsid w:val="48934632"/>
    <w:rsid w:val="4A0A726D"/>
    <w:rsid w:val="4A68749E"/>
    <w:rsid w:val="4B0B6CBE"/>
    <w:rsid w:val="4B234E97"/>
    <w:rsid w:val="4BA163BC"/>
    <w:rsid w:val="50131BB5"/>
    <w:rsid w:val="50DA38A7"/>
    <w:rsid w:val="5372354D"/>
    <w:rsid w:val="548A5837"/>
    <w:rsid w:val="54DB3373"/>
    <w:rsid w:val="56A92D3D"/>
    <w:rsid w:val="56C71C1E"/>
    <w:rsid w:val="57902AC5"/>
    <w:rsid w:val="585316E8"/>
    <w:rsid w:val="59F111B9"/>
    <w:rsid w:val="5B1435B0"/>
    <w:rsid w:val="5D6326D7"/>
    <w:rsid w:val="5D7F232B"/>
    <w:rsid w:val="5E5F41D0"/>
    <w:rsid w:val="5EC16571"/>
    <w:rsid w:val="60400885"/>
    <w:rsid w:val="621456D4"/>
    <w:rsid w:val="65FA3F4B"/>
    <w:rsid w:val="6630546A"/>
    <w:rsid w:val="666A7523"/>
    <w:rsid w:val="669F1F03"/>
    <w:rsid w:val="685F3791"/>
    <w:rsid w:val="69A143EA"/>
    <w:rsid w:val="6DAA54AF"/>
    <w:rsid w:val="701B0AEA"/>
    <w:rsid w:val="72484540"/>
    <w:rsid w:val="72A221EF"/>
    <w:rsid w:val="739F1FE3"/>
    <w:rsid w:val="742A49F3"/>
    <w:rsid w:val="74AB40B9"/>
    <w:rsid w:val="74AB522C"/>
    <w:rsid w:val="77B81E09"/>
    <w:rsid w:val="77F8480C"/>
    <w:rsid w:val="790569F8"/>
    <w:rsid w:val="7D154B50"/>
    <w:rsid w:val="7D782ED3"/>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basedOn w:val="10"/>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autoRedefine/>
    <w:qFormat/>
    <w:uiPriority w:val="99"/>
    <w:rPr>
      <w:rFonts w:ascii="方正仿宋_GBK" w:eastAsia="方正仿宋_GBK" w:cs="方正仿宋_GBK"/>
      <w:color w:val="000000"/>
      <w:sz w:val="18"/>
      <w:szCs w:val="18"/>
    </w:rPr>
  </w:style>
  <w:style w:type="character" w:customStyle="1" w:styleId="24">
    <w:name w:val="18"/>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10"/>
    <w:autoRedefine/>
    <w:qFormat/>
    <w:uiPriority w:val="0"/>
    <w:rPr>
      <w:rFonts w:hint="eastAsia" w:ascii="方正仿宋_GBK" w:hAnsi="方正仿宋_GBK" w:eastAsia="方正仿宋_GBK" w:cs="方正仿宋_GBK"/>
      <w:color w:val="000000"/>
      <w:sz w:val="20"/>
      <w:szCs w:val="20"/>
      <w:u w:val="none"/>
    </w:rPr>
  </w:style>
  <w:style w:type="paragraph" w:customStyle="1" w:styleId="38">
    <w:name w:val="普通(网站) Char"/>
    <w:basedOn w:val="1"/>
    <w:autoRedefine/>
    <w:hidden/>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1</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2024-03-11T01:37:42Z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