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重庆市潼南区群力镇产业发展服务中心</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spacing w:line="600" w:lineRule="exact"/>
        <w:ind w:firstLine="684" w:firstLineChars="214"/>
        <w:rPr>
          <w:rFonts w:hint="eastAsia" w:ascii="方正仿宋简体" w:hAnsi="方正仿宋简体" w:eastAsia="方正仿宋简体" w:cs="方正仿宋简体"/>
          <w:color w:val="000000"/>
          <w:spacing w:val="4"/>
          <w:kern w:val="0"/>
          <w:sz w:val="32"/>
          <w:szCs w:val="32"/>
        </w:rPr>
      </w:pPr>
      <w:r>
        <w:rPr>
          <w:rFonts w:hint="eastAsia" w:ascii="方正仿宋简体" w:hAnsi="方正仿宋简体" w:eastAsia="方正仿宋简体" w:cs="方正仿宋简体"/>
          <w:color w:val="000000"/>
          <w:kern w:val="0"/>
          <w:sz w:val="32"/>
          <w:szCs w:val="32"/>
        </w:rPr>
        <w:t>本</w:t>
      </w:r>
      <w:r>
        <w:rPr>
          <w:rFonts w:hint="eastAsia" w:ascii="方正仿宋简体" w:hAnsi="方正仿宋简体" w:eastAsia="方正仿宋简体" w:cs="方正仿宋简体"/>
          <w:color w:val="000000"/>
          <w:kern w:val="0"/>
          <w:sz w:val="32"/>
          <w:szCs w:val="32"/>
          <w:shd w:val="clear" w:fill="FFFFFF"/>
        </w:rPr>
        <w:t>部门</w:t>
      </w:r>
      <w:r>
        <w:rPr>
          <w:rFonts w:hint="eastAsia" w:ascii="方正仿宋简体" w:hAnsi="方正仿宋简体" w:eastAsia="方正仿宋简体" w:cs="方正仿宋简体"/>
          <w:color w:val="000000"/>
          <w:kern w:val="0"/>
          <w:sz w:val="32"/>
          <w:szCs w:val="32"/>
        </w:rPr>
        <w:t>在党委政府的领导下，在人大的监督下，</w:t>
      </w:r>
      <w:r>
        <w:rPr>
          <w:rFonts w:hint="eastAsia" w:ascii="方正仿宋简体" w:hAnsi="方正仿宋简体" w:eastAsia="方正仿宋简体" w:cs="方正仿宋简体"/>
          <w:color w:val="000000"/>
          <w:spacing w:val="2"/>
          <w:kern w:val="0"/>
          <w:sz w:val="32"/>
          <w:szCs w:val="32"/>
        </w:rPr>
        <w:t>主要承担产业规划、布局、引进、</w:t>
      </w:r>
      <w:r>
        <w:rPr>
          <w:rFonts w:hint="eastAsia" w:ascii="方正仿宋简体" w:hAnsi="方正仿宋简体" w:eastAsia="方正仿宋简体" w:cs="方正仿宋简体"/>
          <w:color w:val="000000"/>
          <w:spacing w:val="6"/>
          <w:kern w:val="0"/>
          <w:sz w:val="32"/>
          <w:szCs w:val="32"/>
        </w:rPr>
        <w:t>培育、发展等工作；负责招商引资年度计划和产业发展规划的实</w:t>
      </w:r>
      <w:r>
        <w:rPr>
          <w:rFonts w:hint="eastAsia" w:ascii="方正仿宋简体" w:hAnsi="方正仿宋简体" w:eastAsia="方正仿宋简体" w:cs="方正仿宋简体"/>
          <w:color w:val="000000"/>
          <w:spacing w:val="4"/>
          <w:kern w:val="0"/>
          <w:sz w:val="32"/>
          <w:szCs w:val="32"/>
        </w:rPr>
        <w:t>施；承担农村经营管理、经济社会统计、扶贫开发、产业扶贫、</w:t>
      </w:r>
      <w:r>
        <w:rPr>
          <w:rFonts w:hint="eastAsia" w:ascii="方正仿宋简体" w:hAnsi="方正仿宋简体" w:eastAsia="方正仿宋简体" w:cs="方正仿宋简体"/>
          <w:color w:val="000000"/>
          <w:spacing w:val="7"/>
          <w:kern w:val="0"/>
          <w:sz w:val="32"/>
          <w:szCs w:val="32"/>
        </w:rPr>
        <w:t>脱贫攻坚等事务性工作，承担各类招商项目洽谈、推介活动等投</w:t>
      </w:r>
      <w:r>
        <w:rPr>
          <w:rFonts w:hint="eastAsia" w:ascii="方正仿宋简体" w:hAnsi="方正仿宋简体" w:eastAsia="方正仿宋简体" w:cs="方正仿宋简体"/>
          <w:color w:val="000000"/>
          <w:spacing w:val="4"/>
          <w:kern w:val="0"/>
          <w:sz w:val="32"/>
          <w:szCs w:val="32"/>
        </w:rPr>
        <w:t>资服务具体工作。</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镇产业发展服务中心组成，实有在职人员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人员0</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94.62</w:t>
      </w:r>
      <w:r>
        <w:rPr>
          <w:rFonts w:eastAsia="方正仿宋_GBK"/>
          <w:sz w:val="32"/>
          <w:szCs w:val="32"/>
        </w:rPr>
        <w:t>万元，其中：一般公共预算拨款</w:t>
      </w:r>
      <w:r>
        <w:rPr>
          <w:rFonts w:hint="eastAsia" w:eastAsia="方正仿宋_GBK"/>
          <w:sz w:val="32"/>
          <w:szCs w:val="32"/>
        </w:rPr>
        <w:t>94.62</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增加12.73</w:t>
      </w:r>
      <w:r>
        <w:rPr>
          <w:rFonts w:eastAsia="方正仿宋_GBK"/>
          <w:sz w:val="32"/>
          <w:szCs w:val="32"/>
        </w:rPr>
        <w:t>万元，主要是基本支出增加</w:t>
      </w:r>
      <w:r>
        <w:rPr>
          <w:rFonts w:hint="eastAsia" w:eastAsia="方正仿宋_GBK"/>
          <w:sz w:val="32"/>
          <w:szCs w:val="32"/>
          <w:lang w:val="en-US" w:eastAsia="zh-CN"/>
        </w:rPr>
        <w:t>12.51</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94.62</w:t>
      </w:r>
      <w:r>
        <w:rPr>
          <w:rFonts w:eastAsia="方正仿宋_GBK"/>
          <w:sz w:val="32"/>
          <w:szCs w:val="32"/>
        </w:rPr>
        <w:t>万元，其中：</w:t>
      </w:r>
      <w:r>
        <w:rPr>
          <w:rFonts w:hint="eastAsia" w:eastAsia="方正仿宋_GBK"/>
          <w:sz w:val="32"/>
          <w:szCs w:val="32"/>
        </w:rPr>
        <w:t>一般公共服务支出80.13</w:t>
      </w:r>
      <w:r>
        <w:rPr>
          <w:rFonts w:hint="eastAsia" w:eastAsia="方正仿宋_GBK"/>
          <w:sz w:val="32"/>
          <w:szCs w:val="32"/>
          <w:lang w:val="en-US" w:eastAsia="zh-CN"/>
        </w:rPr>
        <w:t>万元，</w:t>
      </w:r>
      <w:r>
        <w:rPr>
          <w:rFonts w:eastAsia="方正仿宋_GBK"/>
          <w:sz w:val="32"/>
          <w:szCs w:val="32"/>
        </w:rPr>
        <w:t>社会保障和就业支出</w:t>
      </w:r>
      <w:r>
        <w:rPr>
          <w:rFonts w:hint="eastAsia" w:eastAsia="方正仿宋_GBK"/>
          <w:sz w:val="32"/>
          <w:szCs w:val="32"/>
        </w:rPr>
        <w:t>6.92</w:t>
      </w:r>
      <w:r>
        <w:rPr>
          <w:rFonts w:eastAsia="方正仿宋_GBK"/>
          <w:sz w:val="32"/>
          <w:szCs w:val="32"/>
        </w:rPr>
        <w:t>万元，卫生健康支出</w:t>
      </w:r>
      <w:r>
        <w:rPr>
          <w:rFonts w:hint="eastAsia" w:eastAsia="方正仿宋_GBK"/>
          <w:sz w:val="32"/>
          <w:szCs w:val="32"/>
        </w:rPr>
        <w:t>4.1</w:t>
      </w:r>
      <w:r>
        <w:rPr>
          <w:rFonts w:eastAsia="方正仿宋_GBK"/>
          <w:sz w:val="32"/>
          <w:szCs w:val="32"/>
        </w:rPr>
        <w:t>万元，住房保障支出</w:t>
      </w:r>
      <w:r>
        <w:rPr>
          <w:rFonts w:hint="eastAsia" w:eastAsia="方正仿宋_GBK"/>
          <w:sz w:val="32"/>
          <w:szCs w:val="32"/>
        </w:rPr>
        <w:t>3.46</w:t>
      </w:r>
      <w:r>
        <w:rPr>
          <w:rFonts w:eastAsia="方正仿宋_GBK"/>
          <w:sz w:val="32"/>
          <w:szCs w:val="32"/>
        </w:rPr>
        <w:t>万元。主要是基本支出增加</w:t>
      </w:r>
      <w:r>
        <w:rPr>
          <w:rFonts w:hint="eastAsia" w:eastAsia="方正仿宋_GBK"/>
          <w:sz w:val="32"/>
          <w:szCs w:val="32"/>
          <w:lang w:val="en-US" w:eastAsia="zh-CN"/>
        </w:rPr>
        <w:t>12.73</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94.62</w:t>
      </w:r>
      <w:r>
        <w:rPr>
          <w:rFonts w:eastAsia="方正仿宋_GBK"/>
          <w:sz w:val="32"/>
          <w:szCs w:val="32"/>
        </w:rPr>
        <w:t>万元，一般公共预算财政拨款支出</w:t>
      </w:r>
      <w:r>
        <w:rPr>
          <w:rFonts w:hint="eastAsia" w:eastAsia="方正仿宋_GBK"/>
          <w:sz w:val="32"/>
          <w:szCs w:val="32"/>
        </w:rPr>
        <w:t>94.62</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增加12.73</w:t>
      </w:r>
      <w:r>
        <w:rPr>
          <w:rFonts w:eastAsia="方正仿宋_GBK"/>
          <w:sz w:val="32"/>
          <w:szCs w:val="32"/>
        </w:rPr>
        <w:t>万元。其中：基本支出</w:t>
      </w:r>
      <w:r>
        <w:rPr>
          <w:rFonts w:hint="eastAsia" w:eastAsia="方正仿宋_GBK"/>
          <w:sz w:val="32"/>
          <w:szCs w:val="32"/>
        </w:rPr>
        <w:t>94.62</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12.73</w:t>
      </w:r>
      <w:r>
        <w:rPr>
          <w:rFonts w:eastAsia="方正仿宋_GBK"/>
          <w:sz w:val="32"/>
          <w:szCs w:val="32"/>
        </w:rPr>
        <w:t>万元，主要原因是</w:t>
      </w:r>
      <w:r>
        <w:rPr>
          <w:rFonts w:hint="eastAsia" w:eastAsia="方正仿宋_GBK"/>
          <w:sz w:val="32"/>
          <w:szCs w:val="32"/>
        </w:rPr>
        <w:t>一般公共服务支出</w:t>
      </w:r>
      <w:r>
        <w:rPr>
          <w:rFonts w:hint="eastAsia" w:eastAsia="方正仿宋_GBK"/>
          <w:sz w:val="32"/>
          <w:szCs w:val="32"/>
          <w:lang w:eastAsia="zh-CN"/>
        </w:rPr>
        <w:t>、</w:t>
      </w:r>
      <w:r>
        <w:rPr>
          <w:rFonts w:eastAsia="方正仿宋_GBK"/>
          <w:sz w:val="32"/>
          <w:szCs w:val="32"/>
        </w:rPr>
        <w:t>社会保障和就业支出增加。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26.69</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13</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rPr>
        <w:t>结转2023年公用经费</w:t>
      </w:r>
      <w:r>
        <w:rPr>
          <w:rFonts w:hint="eastAsia" w:eastAsia="方正仿宋_GBK"/>
          <w:sz w:val="32"/>
          <w:szCs w:val="32"/>
          <w:lang w:val="en-US" w:eastAsia="zh-CN"/>
        </w:rPr>
        <w:t>13.11万元，使机关运行经费较上年有所增加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94.62</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5"/>
        <w:spacing w:line="600" w:lineRule="exact"/>
        <w:rPr>
          <w:rFonts w:eastAsia="方正黑体_GBK"/>
          <w:sz w:val="32"/>
          <w:szCs w:val="32"/>
        </w:rPr>
      </w:pPr>
      <w:r>
        <w:rPr>
          <w:rFonts w:eastAsia="方正黑体_GBK"/>
          <w:sz w:val="32"/>
          <w:szCs w:val="32"/>
        </w:rPr>
        <w:t>附件1</w:t>
      </w:r>
    </w:p>
    <w:tbl>
      <w:tblPr>
        <w:tblStyle w:val="8"/>
        <w:tblW w:w="14174" w:type="dxa"/>
        <w:jc w:val="center"/>
        <w:tblLayout w:type="fixed"/>
        <w:tblCellMar>
          <w:top w:w="0" w:type="dxa"/>
          <w:left w:w="108" w:type="dxa"/>
          <w:bottom w:w="0" w:type="dxa"/>
          <w:right w:w="108" w:type="dxa"/>
        </w:tblCellMar>
      </w:tblPr>
      <w:tblGrid>
        <w:gridCol w:w="93"/>
        <w:gridCol w:w="2419"/>
        <w:gridCol w:w="2108"/>
        <w:gridCol w:w="2215"/>
        <w:gridCol w:w="1596"/>
        <w:gridCol w:w="203"/>
        <w:gridCol w:w="1637"/>
        <w:gridCol w:w="1129"/>
        <w:gridCol w:w="835"/>
        <w:gridCol w:w="546"/>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2"/>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产业发展服务中心</w:t>
            </w:r>
            <w:bookmarkStart w:id="0" w:name="_GoBack"/>
            <w:bookmarkEnd w:id="0"/>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pPr>
          </w:p>
        </w:tc>
        <w:tc>
          <w:tcPr>
            <w:tcW w:w="1637" w:type="dxa"/>
            <w:tcBorders>
              <w:top w:val="nil"/>
              <w:left w:val="nil"/>
              <w:bottom w:val="nil"/>
              <w:right w:val="nil"/>
            </w:tcBorders>
            <w:vAlign w:val="center"/>
          </w:tcPr>
          <w:p>
            <w:pPr>
              <w:spacing w:line="240" w:lineRule="exact"/>
            </w:pPr>
          </w:p>
        </w:tc>
        <w:tc>
          <w:tcPr>
            <w:tcW w:w="1129"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keepNext w:val="0"/>
        <w:keepLines w:val="0"/>
        <w:pageBreakBefore w:val="0"/>
        <w:kinsoku/>
        <w:wordWrap/>
        <w:overflowPunct/>
        <w:topLinePunct w:val="0"/>
        <w:autoSpaceDE/>
        <w:autoSpaceDN/>
        <w:bidi w:val="0"/>
        <w:adjustRightInd/>
        <w:spacing w:line="460" w:lineRule="exact"/>
        <w:rPr>
          <w:rFonts w:eastAsia="方正黑体_GBK"/>
          <w:sz w:val="32"/>
          <w:szCs w:val="32"/>
        </w:rPr>
      </w:pPr>
      <w:r>
        <w:rPr>
          <w:rFonts w:eastAsia="方正黑体_GBK"/>
          <w:sz w:val="32"/>
          <w:szCs w:val="32"/>
        </w:rPr>
        <w:t>附件2</w:t>
      </w:r>
    </w:p>
    <w:tbl>
      <w:tblPr>
        <w:tblStyle w:val="8"/>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pacing w:line="46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288"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20"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81.89</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4"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2011350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5"/>
        <w:spacing w:line="600" w:lineRule="exact"/>
        <w:rPr>
          <w:rFonts w:eastAsia="方正黑体_GBK"/>
          <w:sz w:val="32"/>
          <w:szCs w:val="32"/>
        </w:rPr>
      </w:pPr>
      <w:r>
        <w:rPr>
          <w:rFonts w:eastAsia="方正黑体_GBK"/>
          <w:sz w:val="32"/>
          <w:szCs w:val="32"/>
        </w:rPr>
        <w:t>附件3</w:t>
      </w:r>
    </w:p>
    <w:tbl>
      <w:tblPr>
        <w:tblStyle w:val="8"/>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67.93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67.93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15.26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2.12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35.69</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4.62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2.45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1.38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3.46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0.64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30299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r>
    </w:tbl>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p>
    <w:p>
      <w:pPr>
        <w:pStyle w:val="5"/>
        <w:spacing w:line="600" w:lineRule="exact"/>
        <w:rPr>
          <w:rFonts w:eastAsia="方正黑体_GBK"/>
          <w:sz w:val="32"/>
          <w:szCs w:val="32"/>
        </w:rPr>
      </w:pPr>
      <w:r>
        <w:rPr>
          <w:rFonts w:eastAsia="方正黑体_GBK"/>
          <w:sz w:val="32"/>
          <w:szCs w:val="32"/>
        </w:rPr>
        <w:t>附件4</w:t>
      </w:r>
    </w:p>
    <w:p>
      <w:pPr>
        <w:pStyle w:val="5"/>
        <w:spacing w:line="600" w:lineRule="exact"/>
        <w:jc w:val="center"/>
        <w:rPr>
          <w:rFonts w:hint="eastAsia" w:eastAsia="方正小标宋_GBK" w:cs="Times New Roman"/>
          <w:kern w:val="0"/>
          <w:sz w:val="40"/>
          <w:szCs w:val="40"/>
          <w:lang w:val="en-US"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p>
    <w:p>
      <w:pPr>
        <w:pStyle w:val="5"/>
        <w:spacing w:line="600" w:lineRule="exact"/>
        <w:jc w:val="center"/>
        <w:rPr>
          <w:rFonts w:eastAsia="方正黑体_GBK"/>
          <w:sz w:val="32"/>
          <w:szCs w:val="32"/>
        </w:rPr>
      </w:pPr>
      <w:r>
        <w:rPr>
          <w:rFonts w:eastAsia="方正小标宋_GBK"/>
          <w:sz w:val="40"/>
          <w:szCs w:val="40"/>
        </w:rPr>
        <w:t>一般公共预算支出“三公”经费预算表</w:t>
      </w:r>
    </w:p>
    <w:p>
      <w:pPr>
        <w:pStyle w:val="5"/>
        <w:spacing w:line="600" w:lineRule="exact"/>
        <w:jc w:val="right"/>
        <w:rPr>
          <w:rFonts w:eastAsia="方正黑体_GBK"/>
          <w:sz w:val="32"/>
          <w:szCs w:val="32"/>
        </w:rPr>
      </w:pPr>
      <w:r>
        <w:rPr>
          <w:kern w:val="0"/>
        </w:rPr>
        <w:t>单位：万元</w:t>
      </w:r>
    </w:p>
    <w:tbl>
      <w:tblPr>
        <w:tblStyle w:val="8"/>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5"/>
        <w:spacing w:line="600" w:lineRule="exact"/>
        <w:rPr>
          <w:rFonts w:eastAsia="方正黑体_GBK"/>
          <w:sz w:val="32"/>
          <w:szCs w:val="32"/>
        </w:rPr>
      </w:pPr>
      <w:r>
        <w:rPr>
          <w:rFonts w:eastAsia="方正黑体_GBK"/>
          <w:sz w:val="32"/>
          <w:szCs w:val="32"/>
        </w:rPr>
        <w:t>附件5</w:t>
      </w:r>
    </w:p>
    <w:tbl>
      <w:tblPr>
        <w:tblStyle w:val="8"/>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村镇产业发展服务中心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5"/>
        <w:spacing w:line="600" w:lineRule="exact"/>
        <w:rPr>
          <w:rFonts w:eastAsia="方正黑体_GBK"/>
          <w:sz w:val="32"/>
          <w:szCs w:val="32"/>
        </w:rPr>
      </w:pPr>
      <w:r>
        <w:rPr>
          <w:rFonts w:eastAsia="方正黑体_GBK"/>
          <w:sz w:val="32"/>
          <w:szCs w:val="32"/>
        </w:rPr>
        <w:t>附件6</w:t>
      </w:r>
    </w:p>
    <w:tbl>
      <w:tblPr>
        <w:tblStyle w:val="8"/>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94.62</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5"/>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8"/>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94.62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94.62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一般公共服务支出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20113</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商贸事务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2011350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4.62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4.62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4.10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4.10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0.64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0.64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5"/>
        <w:spacing w:line="600" w:lineRule="exact"/>
        <w:rPr>
          <w:rFonts w:eastAsia="方正黑体_GBK"/>
          <w:sz w:val="32"/>
          <w:szCs w:val="32"/>
        </w:rPr>
      </w:pPr>
      <w:r>
        <w:rPr>
          <w:rFonts w:eastAsia="方正黑体_GBK"/>
          <w:sz w:val="32"/>
          <w:szCs w:val="32"/>
        </w:rPr>
        <w:t>附件8</w:t>
      </w:r>
    </w:p>
    <w:p>
      <w:pPr>
        <w:pStyle w:val="5"/>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kern w:val="0"/>
          <w:sz w:val="40"/>
          <w:szCs w:val="40"/>
        </w:rPr>
        <w:t>部门支出总表</w:t>
      </w:r>
    </w:p>
    <w:p>
      <w:pPr>
        <w:pStyle w:val="5"/>
        <w:spacing w:line="600" w:lineRule="exact"/>
        <w:jc w:val="right"/>
        <w:rPr>
          <w:rFonts w:eastAsia="方正小标宋_GBK"/>
          <w:kern w:val="0"/>
          <w:sz w:val="40"/>
          <w:szCs w:val="40"/>
        </w:rPr>
      </w:pPr>
      <w:r>
        <w:rPr>
          <w:kern w:val="0"/>
        </w:rPr>
        <w:t>单位：万元</w:t>
      </w:r>
    </w:p>
    <w:tbl>
      <w:tblPr>
        <w:tblStyle w:val="8"/>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商贸事务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2011350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5"/>
        <w:spacing w:line="600" w:lineRule="exact"/>
        <w:rPr>
          <w:rFonts w:eastAsia="方正黑体_GBK"/>
          <w:sz w:val="32"/>
          <w:szCs w:val="32"/>
        </w:rPr>
      </w:pPr>
      <w:r>
        <w:rPr>
          <w:rFonts w:eastAsia="方正黑体_GBK"/>
          <w:sz w:val="32"/>
          <w:szCs w:val="32"/>
        </w:rPr>
        <w:t>附件9</w:t>
      </w:r>
    </w:p>
    <w:tbl>
      <w:tblPr>
        <w:tblStyle w:val="8"/>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5"/>
        <w:rPr>
          <w:rFonts w:eastAsia="仿宋_GB2312"/>
          <w:sz w:val="20"/>
          <w:szCs w:val="20"/>
        </w:rPr>
      </w:pPr>
      <w:r>
        <w:rPr>
          <w:rFonts w:eastAsia="仿宋_GB2312"/>
          <w:sz w:val="20"/>
          <w:szCs w:val="20"/>
        </w:rPr>
        <w:t xml:space="preserve"> </w:t>
      </w:r>
    </w:p>
    <w:p>
      <w:pPr>
        <w:pStyle w:val="5"/>
        <w:rPr>
          <w:rFonts w:eastAsia="仿宋_GB2312"/>
          <w:sz w:val="20"/>
          <w:szCs w:val="20"/>
        </w:rPr>
      </w:pPr>
      <w:r>
        <w:rPr>
          <w:rFonts w:eastAsia="仿宋_GB2312"/>
          <w:sz w:val="20"/>
          <w:szCs w:val="20"/>
        </w:rPr>
        <w:t xml:space="preserve"> </w:t>
      </w:r>
    </w:p>
    <w:p>
      <w:pPr>
        <w:pStyle w:val="5"/>
        <w:rPr>
          <w:rFonts w:eastAsia="仿宋_GB2312"/>
          <w:sz w:val="20"/>
          <w:szCs w:val="20"/>
        </w:rPr>
      </w:pPr>
      <w:r>
        <w:rPr>
          <w:rFonts w:eastAsia="仿宋_GB2312"/>
          <w:sz w:val="20"/>
          <w:szCs w:val="20"/>
        </w:rPr>
        <w:t xml:space="preserve"> </w:t>
      </w:r>
    </w:p>
    <w:p>
      <w:pPr>
        <w:pStyle w:val="5"/>
        <w:rPr>
          <w:rFonts w:eastAsia="仿宋_GB2312"/>
          <w:sz w:val="20"/>
          <w:szCs w:val="20"/>
        </w:rPr>
      </w:pPr>
      <w:r>
        <w:rPr>
          <w:rFonts w:eastAsia="仿宋_GB2312"/>
          <w:sz w:val="20"/>
          <w:szCs w:val="20"/>
        </w:rPr>
        <w:t xml:space="preserve"> </w:t>
      </w:r>
    </w:p>
    <w:p>
      <w:pPr>
        <w:pStyle w:val="5"/>
        <w:rPr>
          <w:rFonts w:eastAsia="仿宋_GB2312"/>
          <w:sz w:val="20"/>
          <w:szCs w:val="20"/>
        </w:rPr>
      </w:pPr>
      <w:r>
        <w:rPr>
          <w:rFonts w:eastAsia="仿宋_GB2312"/>
          <w:sz w:val="20"/>
          <w:szCs w:val="20"/>
        </w:rPr>
        <w:t xml:space="preserve"> </w:t>
      </w: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jc w:val="both"/>
        <w:rPr>
          <w:rFonts w:hint="default" w:eastAsia="方正小标宋_GBK" w:cs="Times New Roman"/>
          <w:kern w:val="0"/>
          <w:sz w:val="40"/>
          <w:szCs w:val="40"/>
          <w:lang w:val="en-US" w:eastAsia="zh-CN" w:bidi="ar-SA"/>
        </w:rPr>
      </w:pPr>
    </w:p>
    <w:p>
      <w:pPr>
        <w:pStyle w:val="5"/>
        <w:spacing w:line="600" w:lineRule="exact"/>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8"/>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产业发展服务中心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5"/>
        <w:spacing w:line="600" w:lineRule="exact"/>
        <w:rPr>
          <w:rFonts w:eastAsia="方正黑体_GBK"/>
          <w:sz w:val="32"/>
          <w:szCs w:val="32"/>
        </w:rPr>
      </w:pPr>
      <w:r>
        <w:rPr>
          <w:rFonts w:eastAsia="方正黑体_GBK"/>
          <w:sz w:val="32"/>
          <w:szCs w:val="32"/>
        </w:rPr>
        <w:t>附件11</w:t>
      </w:r>
    </w:p>
    <w:tbl>
      <w:tblPr>
        <w:tblStyle w:val="8"/>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群力镇产业发展服务中心</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主要承担产业规划、布局、引进、培育、发展等工作；负责招商引资年度计划和产业发展规划的实施；承担农村经营管理、经济社会统计、扶贫开发、产业扶贫、脱贫攻坚等事务性工作，承担各类招商项目洽谈、推介活动等投资服务具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5"/>
        <w:spacing w:line="600" w:lineRule="exact"/>
        <w:rPr>
          <w:rFonts w:hint="eastAsia" w:ascii="Times New Roman" w:hAnsi="Times New Roman" w:eastAsia="方正黑体_GBK" w:cs="Times New Roman"/>
          <w:sz w:val="32"/>
          <w:szCs w:val="32"/>
          <w:lang w:val="en-US" w:eastAsia="zh-CN"/>
        </w:rPr>
      </w:pPr>
    </w:p>
    <w:p>
      <w:pPr>
        <w:pStyle w:val="5"/>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F9DA78BA-A5AB-4C16-A9CE-AA0C19B34ACA}"/>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E4E0C52D-23B7-451D-B16E-53557B6EAC00}"/>
  </w:font>
  <w:font w:name="方正小标宋_GBK">
    <w:panose1 w:val="02000000000000000000"/>
    <w:charset w:val="86"/>
    <w:family w:val="script"/>
    <w:pitch w:val="default"/>
    <w:sig w:usb0="A00002BF" w:usb1="38CF7CFA" w:usb2="00082016" w:usb3="00000000" w:csb0="00040001" w:csb1="00000000"/>
    <w:embedRegular r:id="rId3" w:fontKey="{17973C84-F6C9-4F8A-B680-A2179D2FDFF9}"/>
  </w:font>
  <w:font w:name="仿宋_GB2312">
    <w:altName w:val="仿宋"/>
    <w:panose1 w:val="02010609030101010101"/>
    <w:charset w:val="86"/>
    <w:family w:val="modern"/>
    <w:pitch w:val="default"/>
    <w:sig w:usb0="00000000" w:usb1="00000000" w:usb2="00000000" w:usb3="00000000" w:csb0="00040000" w:csb1="00000000"/>
    <w:embedRegular r:id="rId4" w:fontKey="{067996AC-D2E1-402C-9AF3-DF058375C109}"/>
  </w:font>
  <w:font w:name="方正黑体_GBK">
    <w:panose1 w:val="03000509000000000000"/>
    <w:charset w:val="86"/>
    <w:family w:val="script"/>
    <w:pitch w:val="default"/>
    <w:sig w:usb0="00000001" w:usb1="080E0000" w:usb2="00000000" w:usb3="00000000" w:csb0="00040000" w:csb1="00000000"/>
    <w:embedRegular r:id="rId5" w:fontKey="{9A775043-FA12-48D0-8818-4ABDBEA3C023}"/>
  </w:font>
  <w:font w:name="方正楷体_GBK">
    <w:panose1 w:val="02000000000000000000"/>
    <w:charset w:val="86"/>
    <w:family w:val="script"/>
    <w:pitch w:val="default"/>
    <w:sig w:usb0="800002BF" w:usb1="38CF7CFA" w:usb2="00000016" w:usb3="00000000" w:csb0="00040000" w:csb1="00000000"/>
    <w:embedRegular r:id="rId6" w:fontKey="{8607CA59-0A7F-4CCD-8A51-7F82C9DE1E48}"/>
  </w:font>
  <w:font w:name="方正仿宋简体">
    <w:panose1 w:val="02000000000000000000"/>
    <w:charset w:val="86"/>
    <w:family w:val="auto"/>
    <w:pitch w:val="default"/>
    <w:sig w:usb0="A00002BF" w:usb1="184F6CFA" w:usb2="00000012" w:usb3="00000000" w:csb0="00040001" w:csb1="00000000"/>
    <w:embedRegular r:id="rId7" w:fontKey="{6B4418BB-14FD-41F2-B28D-6D086A468B4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408</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083043"/>
    <w:rsid w:val="02820350"/>
    <w:rsid w:val="0318024C"/>
    <w:rsid w:val="04227034"/>
    <w:rsid w:val="04371904"/>
    <w:rsid w:val="04622B4E"/>
    <w:rsid w:val="051B68CD"/>
    <w:rsid w:val="05E00732"/>
    <w:rsid w:val="05E16ED2"/>
    <w:rsid w:val="06616243"/>
    <w:rsid w:val="06BF59E7"/>
    <w:rsid w:val="07D74CDF"/>
    <w:rsid w:val="0802440D"/>
    <w:rsid w:val="087459EC"/>
    <w:rsid w:val="09066342"/>
    <w:rsid w:val="092F6318"/>
    <w:rsid w:val="099C40FB"/>
    <w:rsid w:val="0A7F3D19"/>
    <w:rsid w:val="0B970E43"/>
    <w:rsid w:val="0DC43991"/>
    <w:rsid w:val="10455B23"/>
    <w:rsid w:val="119D3C86"/>
    <w:rsid w:val="11B1345F"/>
    <w:rsid w:val="13367EB4"/>
    <w:rsid w:val="14946A93"/>
    <w:rsid w:val="15681628"/>
    <w:rsid w:val="15F62788"/>
    <w:rsid w:val="18231D1A"/>
    <w:rsid w:val="1AA62AE4"/>
    <w:rsid w:val="1B071422"/>
    <w:rsid w:val="1EED3BFB"/>
    <w:rsid w:val="206C2914"/>
    <w:rsid w:val="208115C4"/>
    <w:rsid w:val="21AA6177"/>
    <w:rsid w:val="22394811"/>
    <w:rsid w:val="22643293"/>
    <w:rsid w:val="236043E2"/>
    <w:rsid w:val="23C85263"/>
    <w:rsid w:val="2427482B"/>
    <w:rsid w:val="24C35462"/>
    <w:rsid w:val="265F2724"/>
    <w:rsid w:val="27A02EA3"/>
    <w:rsid w:val="28133675"/>
    <w:rsid w:val="28E51EAA"/>
    <w:rsid w:val="2A150A97"/>
    <w:rsid w:val="2B2A36FB"/>
    <w:rsid w:val="2C194F20"/>
    <w:rsid w:val="2DCD3AA1"/>
    <w:rsid w:val="301541ED"/>
    <w:rsid w:val="30263F71"/>
    <w:rsid w:val="32533F47"/>
    <w:rsid w:val="32D103B5"/>
    <w:rsid w:val="3315510C"/>
    <w:rsid w:val="35C64805"/>
    <w:rsid w:val="372904BF"/>
    <w:rsid w:val="37BD385B"/>
    <w:rsid w:val="38EA5078"/>
    <w:rsid w:val="39AD4279"/>
    <w:rsid w:val="39F9117C"/>
    <w:rsid w:val="3B7364AD"/>
    <w:rsid w:val="3C9211CB"/>
    <w:rsid w:val="3C93402F"/>
    <w:rsid w:val="3D2757A1"/>
    <w:rsid w:val="3D5F6DA0"/>
    <w:rsid w:val="3EEB0939"/>
    <w:rsid w:val="3EF95346"/>
    <w:rsid w:val="3F1B53D0"/>
    <w:rsid w:val="3F212082"/>
    <w:rsid w:val="4087105B"/>
    <w:rsid w:val="426136E9"/>
    <w:rsid w:val="426F65D3"/>
    <w:rsid w:val="4374118B"/>
    <w:rsid w:val="43D9531B"/>
    <w:rsid w:val="44681FAE"/>
    <w:rsid w:val="44B64C4D"/>
    <w:rsid w:val="465772CB"/>
    <w:rsid w:val="46EA05B5"/>
    <w:rsid w:val="47F65B00"/>
    <w:rsid w:val="48621D83"/>
    <w:rsid w:val="48934632"/>
    <w:rsid w:val="4A0A726D"/>
    <w:rsid w:val="4A68749E"/>
    <w:rsid w:val="4AAA3564"/>
    <w:rsid w:val="4B0B6CBE"/>
    <w:rsid w:val="4B234E97"/>
    <w:rsid w:val="4B9049B6"/>
    <w:rsid w:val="50131BB5"/>
    <w:rsid w:val="50DA38A7"/>
    <w:rsid w:val="5372354D"/>
    <w:rsid w:val="548A5837"/>
    <w:rsid w:val="54DB3373"/>
    <w:rsid w:val="56A92D3D"/>
    <w:rsid w:val="56C71C1E"/>
    <w:rsid w:val="57902AC5"/>
    <w:rsid w:val="57E36D0C"/>
    <w:rsid w:val="585316E8"/>
    <w:rsid w:val="59F111B9"/>
    <w:rsid w:val="5B1435B0"/>
    <w:rsid w:val="5BD90156"/>
    <w:rsid w:val="5D6326D7"/>
    <w:rsid w:val="5D7F232B"/>
    <w:rsid w:val="5EC16571"/>
    <w:rsid w:val="5FA9791C"/>
    <w:rsid w:val="60400885"/>
    <w:rsid w:val="621456D4"/>
    <w:rsid w:val="65FA3F4B"/>
    <w:rsid w:val="6630546A"/>
    <w:rsid w:val="666A7523"/>
    <w:rsid w:val="669F1F03"/>
    <w:rsid w:val="685F3791"/>
    <w:rsid w:val="69A143EA"/>
    <w:rsid w:val="6DAA54AF"/>
    <w:rsid w:val="701B0AEA"/>
    <w:rsid w:val="72484540"/>
    <w:rsid w:val="72A221EF"/>
    <w:rsid w:val="739F1FE3"/>
    <w:rsid w:val="742A49F3"/>
    <w:rsid w:val="7491045C"/>
    <w:rsid w:val="74AB40B9"/>
    <w:rsid w:val="74AB522C"/>
    <w:rsid w:val="77B81E09"/>
    <w:rsid w:val="77F8480C"/>
    <w:rsid w:val="790569F8"/>
    <w:rsid w:val="79393B8B"/>
    <w:rsid w:val="7D154B50"/>
    <w:rsid w:val="7D782ED3"/>
    <w:rsid w:val="7E0A6702"/>
    <w:rsid w:val="7E2C493A"/>
    <w:rsid w:val="7E584A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1"/>
    <w:autoRedefine/>
    <w:qFormat/>
    <w:uiPriority w:val="99"/>
    <w:pPr>
      <w:widowControl/>
      <w:spacing w:line="480" w:lineRule="exact"/>
    </w:pPr>
    <w:rPr>
      <w:rFonts w:ascii="宋体" w:hAnsi="宋体" w:cs="宋体"/>
      <w:kern w:val="0"/>
      <w:sz w:val="24"/>
      <w:szCs w:val="24"/>
    </w:rPr>
  </w:style>
  <w:style w:type="paragraph" w:styleId="3">
    <w:name w:val="Plain Text"/>
    <w:basedOn w:val="1"/>
    <w:link w:val="32"/>
    <w:autoRedefine/>
    <w:qFormat/>
    <w:uiPriority w:val="99"/>
    <w:rPr>
      <w:rFonts w:ascii="宋体" w:hAnsi="Courier New" w:cs="宋体"/>
    </w:rPr>
  </w:style>
  <w:style w:type="paragraph" w:styleId="4">
    <w:name w:val="Balloon Text"/>
    <w:basedOn w:val="1"/>
    <w:link w:val="17"/>
    <w:autoRedefine/>
    <w:semiHidden/>
    <w:qFormat/>
    <w:uiPriority w:val="99"/>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autoRedefine/>
    <w:qFormat/>
    <w:uiPriority w:val="99"/>
  </w:style>
  <w:style w:type="paragraph" w:customStyle="1" w:styleId="11">
    <w:name w:val="默认"/>
    <w:basedOn w:val="1"/>
    <w:autoRedefine/>
    <w:qFormat/>
    <w:uiPriority w:val="99"/>
    <w:pPr>
      <w:widowControl/>
      <w:jc w:val="left"/>
    </w:pPr>
    <w:rPr>
      <w:rFonts w:ascii="Helvetica" w:hAnsi="Helvetica" w:cs="Helvetica"/>
      <w:color w:val="000000"/>
      <w:kern w:val="0"/>
      <w:sz w:val="22"/>
      <w:szCs w:val="22"/>
    </w:rPr>
  </w:style>
  <w:style w:type="character" w:customStyle="1" w:styleId="12">
    <w:name w:val="页脚 Char"/>
    <w:link w:val="5"/>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6"/>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4"/>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basedOn w:val="9"/>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basedOn w:val="9"/>
    <w:autoRedefine/>
    <w:qFormat/>
    <w:uiPriority w:val="99"/>
    <w:rPr>
      <w:rFonts w:ascii="方正仿宋_GBK" w:eastAsia="方正仿宋_GBK" w:cs="方正仿宋_GBK"/>
      <w:color w:val="000000"/>
      <w:sz w:val="18"/>
      <w:szCs w:val="18"/>
    </w:rPr>
  </w:style>
  <w:style w:type="character" w:customStyle="1" w:styleId="24">
    <w:name w:val="18"/>
    <w:basedOn w:val="9"/>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3"/>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9"/>
    <w:autoRedefine/>
    <w:qFormat/>
    <w:uiPriority w:val="0"/>
    <w:rPr>
      <w:rFonts w:hint="default" w:ascii="Times New Roman" w:hAnsi="Times New Roman" w:cs="Times New Roman"/>
      <w:color w:val="000000"/>
      <w:sz w:val="20"/>
      <w:szCs w:val="20"/>
      <w:u w:val="none"/>
    </w:rPr>
  </w:style>
  <w:style w:type="character" w:customStyle="1" w:styleId="36">
    <w:name w:val="font41"/>
    <w:basedOn w:val="9"/>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9"/>
    <w:autoRedefine/>
    <w:qFormat/>
    <w:uiPriority w:val="0"/>
    <w:rPr>
      <w:rFonts w:hint="eastAsia" w:ascii="方正仿宋_GBK" w:hAnsi="方正仿宋_GBK" w:eastAsia="方正仿宋_GBK" w:cs="方正仿宋_GBK"/>
      <w:color w:val="000000"/>
      <w:sz w:val="20"/>
      <w:szCs w:val="20"/>
      <w:u w:val="none"/>
    </w:rPr>
  </w:style>
  <w:style w:type="paragraph" w:customStyle="1" w:styleId="38">
    <w:name w:val="普通(网站) Char"/>
    <w:basedOn w:val="1"/>
    <w:autoRedefine/>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9">
    <w:name w:val="font51"/>
    <w:basedOn w:val="9"/>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1</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2024-03-11T01:26:56Z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