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345" w:type="dxa"/>
        <w:jc w:val="center"/>
        <w:shd w:val="clear"/>
        <w:tblLayout w:type="autofit"/>
        <w:tblCellMar>
          <w:top w:w="0" w:type="dxa"/>
          <w:left w:w="0" w:type="dxa"/>
          <w:bottom w:w="0" w:type="dxa"/>
          <w:right w:w="0" w:type="dxa"/>
        </w:tblCellMar>
      </w:tblPr>
      <w:tblGrid>
        <w:gridCol w:w="7759"/>
        <w:gridCol w:w="1586"/>
      </w:tblGrid>
      <w:tr>
        <w:tblPrEx>
          <w:shd w:val="clear"/>
          <w:tblCellMar>
            <w:top w:w="0" w:type="dxa"/>
            <w:left w:w="0" w:type="dxa"/>
            <w:bottom w:w="0" w:type="dxa"/>
            <w:right w:w="0" w:type="dxa"/>
          </w:tblCellMar>
        </w:tblPrEx>
        <w:trPr>
          <w:trHeight w:val="2367" w:hRule="atLeast"/>
          <w:jc w:val="center"/>
        </w:trPr>
        <w:tc>
          <w:tcPr>
            <w:tcW w:w="7757" w:type="dxa"/>
            <w:shd w:val="clear"/>
            <w:tcMar>
              <w:left w:w="108" w:type="dxa"/>
              <w:right w:w="108" w:type="dxa"/>
            </w:tcMar>
            <w:vAlign w:val="top"/>
          </w:tcPr>
          <w:p>
            <w:pPr>
              <w:pStyle w:val="2"/>
              <w:keepNext w:val="0"/>
              <w:keepLines w:val="0"/>
              <w:widowControl/>
              <w:suppressLineNumbers w:val="0"/>
              <w:spacing w:before="0" w:beforeAutospacing="0" w:after="0" w:afterAutospacing="0" w:line="1200" w:lineRule="atLeast"/>
              <w:ind w:left="0" w:right="0"/>
              <w:jc w:val="both"/>
              <w:rPr>
                <w:rFonts w:ascii="Calibri" w:hAnsi="Calibri" w:cs="Calibri"/>
                <w:sz w:val="21"/>
                <w:szCs w:val="21"/>
              </w:rPr>
            </w:pPr>
            <w:r>
              <w:rPr>
                <w:rFonts w:ascii="方正小标宋_GBK" w:hAnsi="方正小标宋_GBK" w:eastAsia="方正小标宋_GBK" w:cs="方正小标宋_GBK"/>
                <w:color w:val="FF0000"/>
                <w:sz w:val="100"/>
                <w:szCs w:val="100"/>
              </w:rPr>
              <w:t>重庆市新型冠状病毒感染的肺炎</w:t>
            </w:r>
          </w:p>
          <w:p>
            <w:pPr>
              <w:pStyle w:val="2"/>
              <w:keepNext w:val="0"/>
              <w:keepLines w:val="0"/>
              <w:widowControl/>
              <w:suppressLineNumbers w:val="0"/>
              <w:spacing w:before="0" w:beforeAutospacing="0" w:after="0" w:afterAutospacing="0" w:line="1200" w:lineRule="atLeast"/>
              <w:ind w:left="0" w:right="0"/>
              <w:jc w:val="both"/>
              <w:rPr>
                <w:rFonts w:hint="default" w:ascii="Calibri" w:hAnsi="Calibri" w:cs="Calibri"/>
                <w:sz w:val="21"/>
                <w:szCs w:val="21"/>
              </w:rPr>
            </w:pPr>
            <w:r>
              <w:rPr>
                <w:rFonts w:hint="eastAsia" w:ascii="方正小标宋_GBK" w:hAnsi="方正小标宋_GBK" w:eastAsia="方正小标宋_GBK" w:cs="方正小标宋_GBK"/>
                <w:color w:val="FF0000"/>
                <w:spacing w:val="-6"/>
                <w:sz w:val="100"/>
                <w:szCs w:val="100"/>
              </w:rPr>
              <w:t>疫情防控工作领导小组疫情防控组</w:t>
            </w:r>
          </w:p>
        </w:tc>
        <w:tc>
          <w:tcPr>
            <w:tcW w:w="1586" w:type="dxa"/>
            <w:shd w:val="clear"/>
            <w:tcMar>
              <w:left w:w="108" w:type="dxa"/>
              <w:right w:w="108" w:type="dxa"/>
            </w:tcMar>
            <w:vAlign w:val="center"/>
          </w:tcPr>
          <w:p>
            <w:pPr>
              <w:pStyle w:val="2"/>
              <w:keepNext w:val="0"/>
              <w:keepLines w:val="0"/>
              <w:widowControl/>
              <w:suppressLineNumbers w:val="0"/>
              <w:spacing w:before="0" w:beforeAutospacing="0" w:after="0" w:afterAutospacing="0" w:line="1400" w:lineRule="atLeast"/>
              <w:ind w:left="0" w:right="0"/>
              <w:jc w:val="center"/>
              <w:rPr>
                <w:rFonts w:hint="default" w:ascii="Calibri" w:hAnsi="Calibri" w:cs="Calibri"/>
                <w:sz w:val="21"/>
                <w:szCs w:val="21"/>
              </w:rPr>
            </w:pPr>
            <w:r>
              <w:rPr>
                <w:rFonts w:hint="eastAsia" w:ascii="方正小标宋_GBK" w:hAnsi="方正小标宋_GBK" w:eastAsia="方正小标宋_GBK" w:cs="方正小标宋_GBK"/>
                <w:color w:val="FF0000"/>
                <w:sz w:val="120"/>
                <w:szCs w:val="120"/>
              </w:rPr>
              <w:t>文件</w:t>
            </w:r>
          </w:p>
        </w:tc>
      </w:tr>
    </w:tbl>
    <w:p>
      <w:pPr>
        <w:pStyle w:val="2"/>
        <w:keepNext w:val="0"/>
        <w:keepLines w:val="0"/>
        <w:widowControl/>
        <w:suppressLineNumbers w:val="0"/>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default" w:ascii="Times New Roman" w:hAnsi="Times New Roman" w:cs="Times New Roman"/>
          <w:i w:val="0"/>
          <w:caps w:val="0"/>
          <w:color w:val="FF0000"/>
          <w:spacing w:val="0"/>
          <w:sz w:val="32"/>
          <w:szCs w:val="32"/>
        </w:rPr>
        <w:t> </w:t>
      </w:r>
    </w:p>
    <w:p>
      <w:pPr>
        <w:pStyle w:val="2"/>
        <w:keepNext w:val="0"/>
        <w:keepLines w:val="0"/>
        <w:widowControl/>
        <w:suppressLineNumbers w:val="0"/>
        <w:spacing w:before="0" w:beforeAutospacing="0" w:after="0" w:afterAutospacing="0"/>
        <w:ind w:left="0" w:right="0" w:firstLine="0"/>
        <w:jc w:val="center"/>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rPr>
        <w:drawing>
          <wp:inline distT="0" distB="0" distL="114300" distR="114300">
            <wp:extent cx="5772150" cy="476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772150" cy="47625"/>
                    </a:xfrm>
                    <a:prstGeom prst="rect">
                      <a:avLst/>
                    </a:prstGeom>
                    <a:noFill/>
                    <a:ln w="9525">
                      <a:noFill/>
                    </a:ln>
                  </pic:spPr>
                </pic:pic>
              </a:graphicData>
            </a:graphic>
          </wp:inline>
        </w:drawing>
      </w:r>
      <w:r>
        <w:rPr>
          <w:rFonts w:ascii="方正仿宋_GBK" w:hAnsi="方正仿宋_GBK" w:eastAsia="方正仿宋_GBK" w:cs="方正仿宋_GBK"/>
          <w:i w:val="0"/>
          <w:caps w:val="0"/>
          <w:color w:val="000000"/>
          <w:spacing w:val="0"/>
          <w:sz w:val="32"/>
          <w:szCs w:val="32"/>
        </w:rPr>
        <w:t>渝肺炎组办发〔</w:t>
      </w:r>
      <w:r>
        <w:rPr>
          <w:rFonts w:hint="default" w:ascii="Times New Roman" w:hAnsi="Times New Roman" w:cs="Times New Roman"/>
          <w:i w:val="0"/>
          <w:caps w:val="0"/>
          <w:color w:val="000000"/>
          <w:spacing w:val="0"/>
          <w:sz w:val="32"/>
          <w:szCs w:val="32"/>
        </w:rPr>
        <w:t>2020</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cs="Times New Roman"/>
          <w:i w:val="0"/>
          <w:caps w:val="0"/>
          <w:color w:val="000000"/>
          <w:spacing w:val="0"/>
          <w:sz w:val="32"/>
          <w:szCs w:val="32"/>
        </w:rPr>
        <w:t>121</w:t>
      </w:r>
      <w:r>
        <w:rPr>
          <w:rFonts w:hint="eastAsia" w:ascii="方正仿宋_GBK" w:hAnsi="方正仿宋_GBK" w:eastAsia="方正仿宋_GBK" w:cs="方正仿宋_GBK"/>
          <w:i w:val="0"/>
          <w:caps w:val="0"/>
          <w:color w:val="000000"/>
          <w:spacing w:val="0"/>
          <w:sz w:val="32"/>
          <w:szCs w:val="32"/>
        </w:rPr>
        <w:t>号</w:t>
      </w:r>
    </w:p>
    <w:p>
      <w:pPr>
        <w:pStyle w:val="2"/>
        <w:keepNext w:val="0"/>
        <w:keepLines w:val="0"/>
        <w:widowControl/>
        <w:suppressLineNumbers w:val="0"/>
        <w:spacing w:before="0" w:beforeAutospacing="0" w:after="0" w:afterAutospacing="0" w:line="560" w:lineRule="atLeast"/>
        <w:ind w:left="0" w:right="0" w:firstLine="0"/>
        <w:jc w:val="both"/>
        <w:rPr>
          <w:rFonts w:hint="default" w:ascii="Calibri" w:hAnsi="Calibri" w:cs="Calibri"/>
          <w:i w:val="0"/>
          <w:caps w:val="0"/>
          <w:color w:val="000000"/>
          <w:spacing w:val="0"/>
          <w:sz w:val="21"/>
          <w:szCs w:val="21"/>
        </w:rPr>
      </w:pPr>
      <w:r>
        <w:rPr>
          <w:rFonts w:hint="default" w:ascii="Times New Roman" w:hAnsi="Times New Roman" w:cs="Times New Roman"/>
          <w:i w:val="0"/>
          <w:caps w:val="0"/>
          <w:color w:val="FF0000"/>
          <w:spacing w:val="0"/>
          <w:sz w:val="32"/>
          <w:szCs w:val="32"/>
        </w:rPr>
        <w:t> </w:t>
      </w:r>
    </w:p>
    <w:p>
      <w:pPr>
        <w:pStyle w:val="2"/>
        <w:keepNext w:val="0"/>
        <w:keepLines w:val="0"/>
        <w:widowControl/>
        <w:suppressLineNumbers w:val="0"/>
        <w:spacing w:before="0" w:beforeAutospacing="0" w:after="0" w:afterAutospacing="0" w:line="600" w:lineRule="atLeast"/>
        <w:ind w:left="0" w:right="0" w:firstLine="0"/>
        <w:jc w:val="center"/>
        <w:rPr>
          <w:rFonts w:hint="default" w:ascii="Calibri" w:hAnsi="Calibri" w:cs="Calibri"/>
          <w:i w:val="0"/>
          <w:caps w:val="0"/>
          <w:color w:val="000000"/>
          <w:spacing w:val="0"/>
          <w:sz w:val="21"/>
          <w:szCs w:val="21"/>
        </w:rPr>
      </w:pPr>
      <w:r>
        <w:rPr>
          <w:rFonts w:hint="eastAsia" w:ascii="方正小标宋_GBK" w:hAnsi="方正小标宋_GBK" w:eastAsia="方正小标宋_GBK" w:cs="方正小标宋_GBK"/>
          <w:i w:val="0"/>
          <w:caps w:val="0"/>
          <w:color w:val="000000"/>
          <w:spacing w:val="0"/>
          <w:sz w:val="44"/>
          <w:szCs w:val="44"/>
        </w:rPr>
        <w:t>关于调整国内其他地区来渝返渝人员</w:t>
      </w:r>
    </w:p>
    <w:p>
      <w:pPr>
        <w:pStyle w:val="2"/>
        <w:keepNext w:val="0"/>
        <w:keepLines w:val="0"/>
        <w:widowControl/>
        <w:suppressLineNumbers w:val="0"/>
        <w:spacing w:before="0" w:beforeAutospacing="0" w:after="0" w:afterAutospacing="0" w:line="600" w:lineRule="atLeast"/>
        <w:ind w:left="0" w:right="0" w:firstLine="0"/>
        <w:jc w:val="center"/>
        <w:rPr>
          <w:rFonts w:hint="default" w:ascii="Calibri" w:hAnsi="Calibri" w:cs="Calibri"/>
          <w:i w:val="0"/>
          <w:caps w:val="0"/>
          <w:color w:val="000000"/>
          <w:spacing w:val="0"/>
          <w:sz w:val="21"/>
          <w:szCs w:val="21"/>
        </w:rPr>
      </w:pPr>
      <w:r>
        <w:rPr>
          <w:rFonts w:hint="eastAsia" w:ascii="方正小标宋_GBK" w:hAnsi="方正小标宋_GBK" w:eastAsia="方正小标宋_GBK" w:cs="方正小标宋_GBK"/>
          <w:i w:val="0"/>
          <w:caps w:val="0"/>
          <w:color w:val="000000"/>
          <w:spacing w:val="0"/>
          <w:sz w:val="44"/>
          <w:szCs w:val="44"/>
        </w:rPr>
        <w:t>健康管理措施的通知</w:t>
      </w:r>
    </w:p>
    <w:p>
      <w:pPr>
        <w:pStyle w:val="2"/>
        <w:keepNext w:val="0"/>
        <w:keepLines w:val="0"/>
        <w:widowControl/>
        <w:suppressLineNumbers w:val="0"/>
        <w:spacing w:before="0" w:beforeAutospacing="0" w:after="120" w:afterAutospacing="0"/>
        <w:ind w:left="0" w:right="0" w:firstLine="0"/>
        <w:jc w:val="both"/>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rPr>
        <w:t> </w:t>
      </w:r>
    </w:p>
    <w:p>
      <w:pPr>
        <w:pStyle w:val="2"/>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各区县（自治县）新冠肺炎疫情防控工作领导小组，市级有关部门，有关单位：</w:t>
      </w:r>
    </w:p>
    <w:p>
      <w:pPr>
        <w:pStyle w:val="2"/>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  根据国务院联防联控机制综合组《关于做好离京人员新冠肺炎健康管理服务工作的通知》（联防联控机制综发〔2020〕198号）、《关于做好精准健康管理推进人员有序流动的通知》（联防联控机制综发〔2020〕203号）的要求，经市新冠肺炎疫情防控工作领导小组同意，对国内其他地区来渝返渝人员健康管理措施进行如下调整：</w:t>
      </w:r>
    </w:p>
    <w:p>
      <w:pPr>
        <w:pStyle w:val="2"/>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28"/>
          <w:szCs w:val="28"/>
        </w:rPr>
      </w:pPr>
      <w:r>
        <w:rPr>
          <w:rFonts w:ascii="方正黑体_GBK" w:hAnsi="方正黑体_GBK" w:eastAsia="方正黑体_GBK" w:cs="方正黑体_GBK"/>
          <w:i w:val="0"/>
          <w:caps w:val="0"/>
          <w:color w:val="000000"/>
          <w:spacing w:val="0"/>
          <w:sz w:val="32"/>
          <w:szCs w:val="32"/>
        </w:rPr>
        <w:t>  </w:t>
      </w:r>
      <w:r>
        <w:rPr>
          <w:rFonts w:hint="eastAsia" w:ascii="方正黑体_GBK" w:hAnsi="方正黑体_GBK" w:eastAsia="方正黑体_GBK" w:cs="方正黑体_GBK"/>
          <w:i w:val="0"/>
          <w:caps w:val="0"/>
          <w:color w:val="000000"/>
          <w:spacing w:val="0"/>
          <w:sz w:val="32"/>
          <w:szCs w:val="32"/>
        </w:rPr>
        <w:t> 一、关于国内其他省区市（除北京市外）来渝返渝人员健康管理措施</w:t>
      </w:r>
    </w:p>
    <w:p>
      <w:pPr>
        <w:pStyle w:val="2"/>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    （一）国内中高风险地区来渝返渝人员。持有来渝前7日内核酸检测阴性证明或能够出示包含核酸检测阴性信息的健康通行码“绿码”的，在测温正常且做好个人防护的前提下可自由有序流动。无法提供上述核酸检测阴性信息的，到达我市后应当立即接受核酸检测或接受14天隔离医学观察。瞒报、谎报人员将承担法律责任。</w:t>
      </w:r>
    </w:p>
    <w:p>
      <w:pPr>
        <w:pStyle w:val="2"/>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    （二）国内低风险地区持健康通行码“绿码”的来渝返渝人员，在测温正常且做好个人防护的前提下可自由有序流动。</w:t>
      </w:r>
    </w:p>
    <w:p>
      <w:pPr>
        <w:pStyle w:val="2"/>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    </w:t>
      </w:r>
      <w:r>
        <w:rPr>
          <w:rFonts w:hint="eastAsia" w:ascii="方正黑体_GBK" w:hAnsi="方正黑体_GBK" w:eastAsia="方正黑体_GBK" w:cs="方正黑体_GBK"/>
          <w:i w:val="0"/>
          <w:caps w:val="0"/>
          <w:color w:val="000000"/>
          <w:spacing w:val="0"/>
          <w:sz w:val="32"/>
          <w:szCs w:val="32"/>
        </w:rPr>
        <w:t>二、关于北京市来渝返渝人员健康管理措施</w:t>
      </w:r>
    </w:p>
    <w:p>
      <w:pPr>
        <w:pStyle w:val="2"/>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    （一）5月30日至6月16日期间自北京市中高风险地区人员、北京新发地批发市场等地来渝返渝相关人员。要继续做好排查管理，核酸检测要应检尽检，对核酸检测阳性者及时进行隔离治疗。对疑似或确诊病例、无症状感染者的密切接触者但核酸检测阴性人员实施14天集中隔离医学观察；对其他核酸检测阴性者，单位和社区要加强健康管理，督促做好14天健康监测和个人防护，出现发热、呼吸道及其他可疑症状应当及时就医。</w:t>
      </w:r>
    </w:p>
    <w:p>
      <w:pPr>
        <w:pStyle w:val="2"/>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    （二）6月16日以后自北京市中高风险地区来渝返渝人员。按照国内中高风险地区来渝返渝人员防控措施管理。</w:t>
      </w:r>
    </w:p>
    <w:p>
      <w:pPr>
        <w:pStyle w:val="2"/>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    （三）北京市低风险地区来渝返渝人员。持有来渝前7日内核酸检测阴性证明或能够出示包含核酸检测阴性信息的健康通行码“绿码”的，在测温正常且做好个人防护的前提下可自由有序流动。无法提供上述核酸检测阴性信息的，应当立即接受核酸检测。</w:t>
      </w:r>
    </w:p>
    <w:p>
      <w:pPr>
        <w:pStyle w:val="2"/>
        <w:keepNext w:val="0"/>
        <w:keepLines w:val="0"/>
        <w:widowControl/>
        <w:suppressLineNumbers w:val="0"/>
        <w:spacing w:before="0" w:beforeAutospacing="0" w:after="0" w:afterAutospacing="0" w:line="600" w:lineRule="atLeast"/>
        <w:ind w:left="0" w:right="0" w:firstLine="630"/>
        <w:jc w:val="both"/>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我市原有健康管理措施与本通知要求不一致的，按本通知执行。各区县（自治县）不得附加常态化防控措施之外其他不合理限制要求。上述措施根据国内疫情防控工作形势及时动态调整。   </w:t>
      </w:r>
    </w:p>
    <w:p>
      <w:pPr>
        <w:pStyle w:val="2"/>
        <w:keepNext w:val="0"/>
        <w:keepLines w:val="0"/>
        <w:widowControl/>
        <w:suppressLineNumbers w:val="0"/>
        <w:spacing w:before="0" w:beforeAutospacing="0" w:after="0" w:afterAutospacing="0" w:line="600" w:lineRule="atLeast"/>
        <w:ind w:left="0" w:right="0" w:firstLine="630"/>
        <w:jc w:val="both"/>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联系人：李志丹；联系电话：023—67706572，13752933152。</w:t>
      </w:r>
    </w:p>
    <w:p>
      <w:pPr>
        <w:pStyle w:val="2"/>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 </w:t>
      </w:r>
    </w:p>
    <w:p>
      <w:pPr>
        <w:pStyle w:val="2"/>
        <w:keepNext w:val="0"/>
        <w:keepLines w:val="0"/>
        <w:widowControl/>
        <w:suppressLineNumbers w:val="0"/>
        <w:spacing w:before="0" w:beforeAutospacing="0" w:after="0" w:afterAutospacing="0" w:line="600" w:lineRule="atLeast"/>
        <w:ind w:left="0" w:right="0" w:firstLine="0"/>
        <w:jc w:val="right"/>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                         重庆市新型冠状病毒肺炎疫情</w:t>
      </w:r>
    </w:p>
    <w:p>
      <w:pPr>
        <w:pStyle w:val="2"/>
        <w:keepNext w:val="0"/>
        <w:keepLines w:val="0"/>
        <w:widowControl/>
        <w:suppressLineNumbers w:val="0"/>
        <w:spacing w:before="0" w:beforeAutospacing="0" w:after="0" w:afterAutospacing="0" w:line="600" w:lineRule="atLeast"/>
        <w:ind w:left="0" w:right="0" w:firstLine="0"/>
        <w:jc w:val="right"/>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                         防控工作领导小组综合办公室</w:t>
      </w:r>
    </w:p>
    <w:p>
      <w:pPr>
        <w:pStyle w:val="2"/>
        <w:keepNext w:val="0"/>
        <w:keepLines w:val="0"/>
        <w:widowControl/>
        <w:suppressLineNumbers w:val="0"/>
        <w:spacing w:before="0" w:beforeAutospacing="0" w:after="0" w:afterAutospacing="0" w:line="600" w:lineRule="atLeast"/>
        <w:ind w:left="0" w:right="0" w:firstLine="0"/>
        <w:jc w:val="right"/>
        <w:rPr>
          <w:rFonts w:hint="eastAsia" w:ascii="宋体" w:hAnsi="宋体" w:eastAsia="宋体" w:cs="宋体"/>
          <w:i w:val="0"/>
          <w:caps w:val="0"/>
          <w:color w:val="000000"/>
          <w:spacing w:val="0"/>
          <w:sz w:val="28"/>
          <w:szCs w:val="28"/>
        </w:rPr>
      </w:pPr>
      <w:r>
        <w:rPr>
          <w:rFonts w:hint="eastAsia" w:ascii="方正仿宋_GBK" w:hAnsi="方正仿宋_GBK" w:eastAsia="方正仿宋_GBK" w:cs="方正仿宋_GBK"/>
          <w:i w:val="0"/>
          <w:caps w:val="0"/>
          <w:color w:val="000000"/>
          <w:spacing w:val="0"/>
          <w:sz w:val="32"/>
          <w:szCs w:val="32"/>
        </w:rPr>
        <w:t>                               2020年6月29日</w:t>
      </w:r>
    </w:p>
    <w:p>
      <w:pPr>
        <w:pStyle w:val="2"/>
        <w:keepNext w:val="0"/>
        <w:keepLines w:val="0"/>
        <w:widowControl/>
        <w:suppressLineNumbers w:val="0"/>
        <w:spacing w:before="0" w:beforeAutospacing="0" w:after="0" w:afterAutospacing="0" w:line="600" w:lineRule="atLeast"/>
        <w:ind w:left="0" w:right="0" w:firstLine="0"/>
        <w:jc w:val="both"/>
      </w:pPr>
      <w:r>
        <w:rPr>
          <w:rFonts w:hint="eastAsia" w:ascii="方正仿宋_GBK" w:hAnsi="方正仿宋_GBK" w:eastAsia="方正仿宋_GBK" w:cs="方正仿宋_GBK"/>
          <w:i w:val="0"/>
          <w:caps w:val="0"/>
          <w:color w:val="000000"/>
          <w:spacing w:val="0"/>
          <w:sz w:val="32"/>
          <w:szCs w:val="32"/>
        </w:rPr>
        <w:t>  （此件公开发布）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93E0E"/>
    <w:rsid w:val="39C93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2021-01-19T03:02:00Z</dcterms:created>
  <dc:creator>范洪飞</dc:creator>
  <cp:lastModifiedBy>范洪飞</cp:lastModifiedBy>
  <dcterms:modified xsi:type="dcterms:W3CDTF">2021-01-19T03:05:31Z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293631907_stopsync</vt:lpwstr>
  </property>
</Properties>
</file>