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20" w:lineRule="exact"/>
        <w:jc w:val="center"/>
        <w:rPr>
          <w:rFonts w:hint="eastAsia" w:ascii="方正小标宋_GBK" w:eastAsia="方正小标宋_GBK"/>
          <w:kern w:val="0"/>
          <w:sz w:val="44"/>
          <w:szCs w:val="44"/>
          <w:lang w:val="en-US" w:eastAsia="zh-CN"/>
        </w:rPr>
      </w:pPr>
      <w:r>
        <w:rPr>
          <w:rFonts w:hint="eastAsia" w:ascii="方正小标宋_GBK" w:eastAsia="方正小标宋_GBK"/>
          <w:kern w:val="0"/>
          <w:sz w:val="44"/>
          <w:szCs w:val="44"/>
          <w:lang w:eastAsia="zh-Hans"/>
        </w:rPr>
        <w:t>重庆市潼南区</w:t>
      </w:r>
      <w:r>
        <w:rPr>
          <w:rFonts w:hint="eastAsia" w:ascii="方正小标宋_GBK" w:eastAsia="方正小标宋_GBK"/>
          <w:kern w:val="0"/>
          <w:sz w:val="44"/>
          <w:szCs w:val="44"/>
          <w:lang w:eastAsia="zh-CN"/>
        </w:rPr>
        <w:t>人民政府大佛街道办事处</w:t>
      </w:r>
    </w:p>
    <w:p>
      <w:pPr>
        <w:widowControl/>
        <w:shd w:val="clear" w:color="auto" w:fill="FFFFFF"/>
        <w:spacing w:line="620" w:lineRule="exact"/>
        <w:jc w:val="center"/>
        <w:rPr>
          <w:rFonts w:hint="eastAsia" w:eastAsia="方正仿宋_GBK"/>
          <w:kern w:val="0"/>
          <w:sz w:val="32"/>
          <w:szCs w:val="32"/>
        </w:rPr>
      </w:pPr>
      <w:r>
        <w:rPr>
          <w:rFonts w:hint="eastAsia" w:ascii="方正小标宋_GBK" w:eastAsia="方正小标宋_GBK"/>
          <w:kern w:val="0"/>
          <w:sz w:val="44"/>
          <w:szCs w:val="44"/>
          <w:lang w:eastAsia="zh-Hans"/>
        </w:rPr>
        <w:t>202</w:t>
      </w:r>
      <w:r>
        <w:rPr>
          <w:rFonts w:hint="eastAsia" w:ascii="方正小标宋_GBK" w:eastAsia="方正小标宋_GBK"/>
          <w:kern w:val="0"/>
          <w:sz w:val="44"/>
          <w:szCs w:val="44"/>
          <w:lang w:val="en-US" w:eastAsia="zh-CN"/>
        </w:rPr>
        <w:t>1</w:t>
      </w:r>
      <w:r>
        <w:rPr>
          <w:rFonts w:hint="eastAsia" w:ascii="方正小标宋_GBK" w:eastAsia="方正小标宋_GBK"/>
          <w:kern w:val="0"/>
          <w:sz w:val="44"/>
          <w:szCs w:val="44"/>
          <w:lang w:eastAsia="zh-Hans"/>
        </w:rPr>
        <w:t>年度部门决算情况说明</w:t>
      </w:r>
    </w:p>
    <w:p>
      <w:pPr>
        <w:spacing w:line="620" w:lineRule="exact"/>
        <w:ind w:firstLine="685" w:firstLineChars="214"/>
        <w:rPr>
          <w:rFonts w:hint="eastAsia" w:ascii="方正黑体_GBK" w:eastAsia="方正黑体_GBK"/>
          <w:kern w:val="0"/>
          <w:sz w:val="32"/>
          <w:szCs w:val="32"/>
          <w:lang w:eastAsia="zh-Hans"/>
        </w:rPr>
      </w:pPr>
      <w:r>
        <w:rPr>
          <w:rFonts w:hint="eastAsia" w:ascii="方正黑体_GBK" w:eastAsia="方正黑体_GBK"/>
          <w:b/>
          <w:bCs/>
          <w:kern w:val="0"/>
          <w:sz w:val="32"/>
          <w:szCs w:val="32"/>
          <w:lang w:eastAsia="zh-Hans"/>
        </w:rPr>
        <w:t>一、部门基本情况</w:t>
      </w:r>
    </w:p>
    <w:p>
      <w:pPr>
        <w:spacing w:line="620" w:lineRule="exact"/>
        <w:ind w:firstLine="685" w:firstLineChars="214"/>
        <w:rPr>
          <w:rFonts w:hint="eastAsia" w:ascii="方正楷体_GBK" w:eastAsia="方正楷体_GBK"/>
          <w:b/>
          <w:bCs/>
          <w:kern w:val="0"/>
          <w:sz w:val="32"/>
          <w:szCs w:val="32"/>
          <w:lang w:eastAsia="zh-Hans"/>
        </w:rPr>
      </w:pPr>
      <w:r>
        <w:rPr>
          <w:rFonts w:hint="eastAsia" w:ascii="方正楷体_GBK" w:eastAsia="方正楷体_GBK"/>
          <w:b/>
          <w:bCs/>
          <w:kern w:val="0"/>
          <w:sz w:val="32"/>
          <w:szCs w:val="32"/>
        </w:rPr>
        <w:t>（一）</w:t>
      </w:r>
      <w:r>
        <w:rPr>
          <w:rFonts w:hint="eastAsia" w:ascii="方正楷体_GBK" w:eastAsia="方正楷体_GBK"/>
          <w:b/>
          <w:bCs/>
          <w:kern w:val="0"/>
          <w:sz w:val="32"/>
          <w:szCs w:val="32"/>
          <w:lang w:eastAsia="zh-Hans"/>
        </w:rPr>
        <w:t>职能职责</w:t>
      </w:r>
    </w:p>
    <w:p>
      <w:pPr>
        <w:spacing w:line="620" w:lineRule="exact"/>
        <w:ind w:firstLine="684" w:firstLineChars="214"/>
        <w:rPr>
          <w:rFonts w:hint="eastAsia" w:eastAsia="方正仿宋_GBK"/>
          <w:kern w:val="0"/>
          <w:sz w:val="32"/>
          <w:szCs w:val="32"/>
          <w:lang w:eastAsia="zh-Hans"/>
        </w:rPr>
      </w:pPr>
      <w:r>
        <w:rPr>
          <w:rFonts w:hint="eastAsia" w:eastAsia="方正仿宋_GBK"/>
          <w:kern w:val="0"/>
          <w:sz w:val="32"/>
          <w:szCs w:val="32"/>
          <w:lang w:eastAsia="zh-Hans"/>
        </w:rPr>
        <w:t>在区委、区政府和街道党工委的领导下，贯彻执行党和国家各项方针、政策、法律、法规；负责辖区内的地区性、群众性、公益性、社会性工作；负责精神文明建设工作；做好辖区范围内的城市建设和管理、市容环境卫生、园林绿化、生态环境保护、市政、规划、房地产等监督、管理、服务工作；负责辖区内的维护稳定工作及社会治安综合治理、应急管理工作；负责村（社区）建设和管理，指导开展村（社区）服务工作，发动和组织社区成员开展各类社区公益活动；负责民兵、兵役、拥军优属、优抚安置、社会救济、社会福利、社区文化、科普、体育、教育、旅游工作;发展街道和村级经济，管理街道国有资产和集体资产;负责卫生健康、劳动就业、社会保障工作；指导和帮助居（村）民委员会搞好组织建设和制度建设，发挥居（村）民委员会的群众自治作用；配合有关部门做好防讯、防风、防火、防震、抢险和救灾工作；向区人民政府反映群众的意见和要求，办理人民群众的来信来访事项；承办区委、区政府交办的其它工作。</w:t>
      </w:r>
    </w:p>
    <w:p>
      <w:pPr>
        <w:spacing w:line="620" w:lineRule="exact"/>
        <w:ind w:firstLine="685" w:firstLineChars="214"/>
        <w:rPr>
          <w:rFonts w:ascii="方正楷体_GBK" w:eastAsia="方正楷体_GBK"/>
          <w:b/>
          <w:bCs/>
          <w:kern w:val="0"/>
          <w:sz w:val="32"/>
          <w:szCs w:val="32"/>
        </w:rPr>
      </w:pPr>
      <w:r>
        <w:rPr>
          <w:rFonts w:ascii="方正楷体_GBK" w:eastAsia="方正楷体_GBK"/>
          <w:b/>
          <w:bCs/>
          <w:kern w:val="0"/>
          <w:sz w:val="32"/>
          <w:szCs w:val="32"/>
        </w:rPr>
        <w:t>（二）机构设置</w:t>
      </w:r>
    </w:p>
    <w:p>
      <w:pPr>
        <w:spacing w:line="620" w:lineRule="exact"/>
        <w:ind w:firstLine="684" w:firstLineChars="214"/>
        <w:rPr>
          <w:rFonts w:hint="eastAsia" w:eastAsia="方正仿宋_GBK"/>
          <w:kern w:val="0"/>
          <w:sz w:val="32"/>
          <w:szCs w:val="32"/>
          <w:lang w:eastAsia="zh-Hans"/>
        </w:rPr>
      </w:pPr>
      <w:r>
        <w:rPr>
          <w:rFonts w:hint="eastAsia" w:eastAsia="方正仿宋_GBK"/>
          <w:kern w:val="0"/>
          <w:sz w:val="32"/>
          <w:szCs w:val="32"/>
          <w:lang w:eastAsia="zh-Hans"/>
        </w:rPr>
        <w:t>本决算包含区大佛街道和区大佛寺景区管理委员会两个单位。</w:t>
      </w:r>
    </w:p>
    <w:p>
      <w:pPr>
        <w:spacing w:line="620" w:lineRule="exact"/>
        <w:ind w:firstLine="684" w:firstLineChars="214"/>
        <w:rPr>
          <w:rFonts w:hint="eastAsia" w:eastAsia="方正仿宋_GBK"/>
          <w:kern w:val="0"/>
          <w:sz w:val="32"/>
          <w:szCs w:val="32"/>
          <w:lang w:eastAsia="zh-Hans"/>
        </w:rPr>
      </w:pPr>
      <w:r>
        <w:rPr>
          <w:rFonts w:hint="eastAsia" w:eastAsia="方正仿宋_GBK"/>
          <w:kern w:val="0"/>
          <w:sz w:val="32"/>
          <w:szCs w:val="32"/>
          <w:lang w:eastAsia="zh-Hans"/>
        </w:rPr>
        <w:t>大佛街道办事处辖6个社区居委会，5个行政村，内设党政办公室、党建工作办公室、经济发展办公室、民政和社区事务办公室、平安建设办公室、规划建设管理环保办公室、财政办公室、应急管理办公室、人大、工会、团委、妇联等12个办公室及社区事务服务中心、社区文化服务中心、劳动就业和社会保障服务所、退役军人服务站、综合行政执法大队、农业服务中心、社区建设服务中心等7个财政全额拨款公益一类正科级事业单位。大佛街道核定编制人数86人，在职职工82人，离退休人员53名，在编公务车1辆。</w:t>
      </w:r>
    </w:p>
    <w:p>
      <w:pPr>
        <w:spacing w:line="620" w:lineRule="exact"/>
        <w:ind w:firstLine="684" w:firstLineChars="214"/>
        <w:rPr>
          <w:rFonts w:hint="eastAsia" w:eastAsia="方正仿宋_GBK"/>
          <w:kern w:val="0"/>
          <w:sz w:val="32"/>
          <w:szCs w:val="32"/>
          <w:lang w:eastAsia="zh-Hans"/>
        </w:rPr>
      </w:pPr>
      <w:r>
        <w:rPr>
          <w:rFonts w:hint="eastAsia" w:eastAsia="方正仿宋_GBK"/>
          <w:kern w:val="0"/>
          <w:sz w:val="32"/>
          <w:szCs w:val="32"/>
          <w:lang w:eastAsia="zh-Hans"/>
        </w:rPr>
        <w:t>大佛寺景区管理委员会核定编制人数3人，在职职工2人。</w:t>
      </w:r>
    </w:p>
    <w:p>
      <w:pPr>
        <w:spacing w:line="620" w:lineRule="exact"/>
        <w:ind w:firstLine="685" w:firstLineChars="214"/>
        <w:rPr>
          <w:rFonts w:ascii="方正楷体_GBK" w:eastAsia="方正楷体_GBK"/>
          <w:b/>
          <w:bCs/>
          <w:kern w:val="0"/>
          <w:sz w:val="32"/>
          <w:szCs w:val="32"/>
        </w:rPr>
      </w:pPr>
      <w:r>
        <w:rPr>
          <w:rFonts w:hint="eastAsia" w:ascii="方正楷体_GBK" w:eastAsia="方正楷体_GBK"/>
          <w:b/>
          <w:bCs/>
          <w:kern w:val="0"/>
          <w:sz w:val="32"/>
          <w:szCs w:val="32"/>
        </w:rPr>
        <w:t>（三）</w:t>
      </w:r>
      <w:r>
        <w:rPr>
          <w:rFonts w:ascii="方正楷体_GBK" w:eastAsia="方正楷体_GBK"/>
          <w:b/>
          <w:bCs/>
          <w:kern w:val="0"/>
          <w:sz w:val="32"/>
          <w:szCs w:val="32"/>
        </w:rPr>
        <w:t>单位构成</w:t>
      </w:r>
    </w:p>
    <w:p>
      <w:pPr>
        <w:spacing w:line="620" w:lineRule="exact"/>
        <w:ind w:firstLine="684" w:firstLineChars="214"/>
        <w:rPr>
          <w:rFonts w:eastAsia="方正仿宋_GBK"/>
          <w:kern w:val="0"/>
          <w:sz w:val="32"/>
          <w:szCs w:val="32"/>
          <w:lang w:eastAsia="zh-Hans"/>
        </w:rPr>
      </w:pPr>
      <w:r>
        <w:rPr>
          <w:rFonts w:eastAsia="方正仿宋_GBK"/>
          <w:kern w:val="0"/>
          <w:sz w:val="32"/>
          <w:szCs w:val="32"/>
        </w:rPr>
        <w:t>从预算单位构成看，我单位20</w:t>
      </w:r>
      <w:r>
        <w:rPr>
          <w:rFonts w:hint="eastAsia" w:eastAsia="方正仿宋_GBK"/>
          <w:kern w:val="0"/>
          <w:sz w:val="32"/>
          <w:szCs w:val="32"/>
        </w:rPr>
        <w:t>2</w:t>
      </w:r>
      <w:r>
        <w:rPr>
          <w:rFonts w:hint="eastAsia" w:eastAsia="方正仿宋_GBK"/>
          <w:kern w:val="0"/>
          <w:sz w:val="32"/>
          <w:szCs w:val="32"/>
          <w:lang w:val="en-US" w:eastAsia="zh-CN"/>
        </w:rPr>
        <w:t>1</w:t>
      </w:r>
      <w:r>
        <w:rPr>
          <w:rFonts w:eastAsia="方正仿宋_GBK"/>
          <w:kern w:val="0"/>
          <w:sz w:val="32"/>
          <w:szCs w:val="32"/>
        </w:rPr>
        <w:t>年为一级预算单位。</w:t>
      </w:r>
    </w:p>
    <w:p>
      <w:pPr>
        <w:spacing w:line="620" w:lineRule="exact"/>
        <w:ind w:firstLine="685" w:firstLineChars="214"/>
        <w:rPr>
          <w:rFonts w:ascii="方正黑体_GBK" w:eastAsia="方正黑体_GBK"/>
          <w:b/>
          <w:bCs/>
          <w:kern w:val="0"/>
          <w:sz w:val="32"/>
          <w:szCs w:val="32"/>
          <w:lang w:eastAsia="zh-Hans"/>
        </w:rPr>
      </w:pPr>
      <w:r>
        <w:rPr>
          <w:rFonts w:ascii="方正黑体_GBK" w:eastAsia="方正黑体_GBK"/>
          <w:b/>
          <w:bCs/>
          <w:kern w:val="0"/>
          <w:sz w:val="32"/>
          <w:szCs w:val="32"/>
          <w:lang w:eastAsia="zh-Hans"/>
        </w:rPr>
        <w:t>二、部门决算情况说明</w:t>
      </w:r>
    </w:p>
    <w:p>
      <w:pPr>
        <w:spacing w:line="620" w:lineRule="exact"/>
        <w:ind w:firstLine="685" w:firstLineChars="214"/>
        <w:rPr>
          <w:rFonts w:ascii="方正楷体_GBK" w:eastAsia="方正楷体_GBK"/>
          <w:b/>
          <w:bCs/>
          <w:kern w:val="0"/>
          <w:sz w:val="32"/>
          <w:szCs w:val="32"/>
        </w:rPr>
      </w:pPr>
      <w:r>
        <w:rPr>
          <w:rFonts w:ascii="方正楷体_GBK" w:eastAsia="方正楷体_GBK"/>
          <w:b/>
          <w:bCs/>
          <w:kern w:val="0"/>
          <w:sz w:val="32"/>
          <w:szCs w:val="32"/>
        </w:rPr>
        <w:t>（一）收入支出决算总体情况说明</w:t>
      </w:r>
    </w:p>
    <w:p>
      <w:pPr>
        <w:spacing w:line="620" w:lineRule="exact"/>
        <w:ind w:firstLine="685" w:firstLineChars="214"/>
        <w:rPr>
          <w:rFonts w:eastAsia="方正仿宋_GBK"/>
          <w:kern w:val="0"/>
          <w:sz w:val="32"/>
          <w:szCs w:val="32"/>
          <w:lang w:eastAsia="zh-Hans"/>
        </w:rPr>
      </w:pPr>
      <w:r>
        <w:rPr>
          <w:rFonts w:eastAsia="方正仿宋_GBK"/>
          <w:b/>
          <w:bCs/>
          <w:kern w:val="0"/>
          <w:sz w:val="32"/>
          <w:szCs w:val="32"/>
          <w:lang w:eastAsia="zh-Hans"/>
        </w:rPr>
        <w:t>1</w:t>
      </w:r>
      <w:r>
        <w:rPr>
          <w:rFonts w:hint="eastAsia" w:eastAsia="方正仿宋_GBK"/>
          <w:b/>
          <w:bCs/>
          <w:kern w:val="0"/>
          <w:sz w:val="32"/>
          <w:szCs w:val="32"/>
        </w:rPr>
        <w:t>、</w:t>
      </w:r>
      <w:r>
        <w:rPr>
          <w:rFonts w:eastAsia="方正仿宋_GBK"/>
          <w:b/>
          <w:bCs/>
          <w:kern w:val="0"/>
          <w:sz w:val="32"/>
          <w:szCs w:val="32"/>
          <w:lang w:eastAsia="zh-Hans"/>
        </w:rPr>
        <w:t>总体情况。</w:t>
      </w:r>
      <w:r>
        <w:rPr>
          <w:rFonts w:hint="eastAsia" w:eastAsia="方正仿宋_GBK"/>
          <w:kern w:val="0"/>
          <w:sz w:val="32"/>
          <w:szCs w:val="32"/>
          <w:lang w:eastAsia="zh-Hans"/>
        </w:rPr>
        <w:t>2021年度收入总计2420.15万元，支出总计2420.15万元。收支较上年决算数增加334.34万元、增长16.03%，主要原因是从梓潼街道办事处等单位调入人员40名导致经费拨款增加。</w:t>
      </w:r>
    </w:p>
    <w:p>
      <w:pPr>
        <w:spacing w:line="620" w:lineRule="exact"/>
        <w:ind w:firstLine="685" w:firstLineChars="214"/>
        <w:rPr>
          <w:rFonts w:hint="eastAsia" w:eastAsia="方正仿宋_GBK"/>
          <w:kern w:val="0"/>
          <w:sz w:val="32"/>
          <w:szCs w:val="32"/>
          <w:lang w:eastAsia="zh-Hans"/>
        </w:rPr>
      </w:pPr>
      <w:r>
        <w:rPr>
          <w:rFonts w:eastAsia="方正仿宋_GBK"/>
          <w:b/>
          <w:bCs/>
          <w:kern w:val="0"/>
          <w:sz w:val="32"/>
          <w:szCs w:val="32"/>
          <w:lang w:eastAsia="zh-Hans"/>
        </w:rPr>
        <w:t>2</w:t>
      </w:r>
      <w:r>
        <w:rPr>
          <w:rFonts w:hint="eastAsia" w:eastAsia="方正仿宋_GBK"/>
          <w:b/>
          <w:bCs/>
          <w:kern w:val="0"/>
          <w:sz w:val="32"/>
          <w:szCs w:val="32"/>
        </w:rPr>
        <w:t>、</w:t>
      </w:r>
      <w:r>
        <w:rPr>
          <w:rFonts w:eastAsia="方正仿宋_GBK"/>
          <w:b/>
          <w:bCs/>
          <w:kern w:val="0"/>
          <w:sz w:val="32"/>
          <w:szCs w:val="32"/>
          <w:lang w:eastAsia="zh-Hans"/>
        </w:rPr>
        <w:t>收入情况。</w:t>
      </w:r>
      <w:r>
        <w:rPr>
          <w:rFonts w:hint="eastAsia" w:eastAsia="方正仿宋_GBK"/>
          <w:kern w:val="0"/>
          <w:sz w:val="32"/>
          <w:szCs w:val="32"/>
          <w:lang w:eastAsia="zh-Hans"/>
        </w:rPr>
        <w:t>2021年度收入合计2420.15万元，较上年决算数增加334.34万元，增长16.03%，其中：财政拨款收入2420.15万元，占100%。</w:t>
      </w:r>
    </w:p>
    <w:p>
      <w:pPr>
        <w:spacing w:line="620" w:lineRule="exact"/>
        <w:ind w:firstLine="685" w:firstLineChars="214"/>
        <w:rPr>
          <w:rFonts w:eastAsia="方正仿宋_GBK"/>
          <w:kern w:val="0"/>
          <w:sz w:val="32"/>
          <w:szCs w:val="32"/>
          <w:lang w:eastAsia="zh-Hans"/>
        </w:rPr>
      </w:pPr>
      <w:r>
        <w:rPr>
          <w:rFonts w:eastAsia="方正仿宋_GBK"/>
          <w:b/>
          <w:bCs/>
          <w:kern w:val="0"/>
          <w:sz w:val="32"/>
          <w:szCs w:val="32"/>
          <w:lang w:eastAsia="zh-Hans"/>
        </w:rPr>
        <w:t>3</w:t>
      </w:r>
      <w:r>
        <w:rPr>
          <w:rFonts w:hint="eastAsia" w:eastAsia="方正仿宋_GBK"/>
          <w:b/>
          <w:bCs/>
          <w:kern w:val="0"/>
          <w:sz w:val="32"/>
          <w:szCs w:val="32"/>
        </w:rPr>
        <w:t>、</w:t>
      </w:r>
      <w:r>
        <w:rPr>
          <w:rFonts w:eastAsia="方正仿宋_GBK"/>
          <w:b/>
          <w:bCs/>
          <w:kern w:val="0"/>
          <w:sz w:val="32"/>
          <w:szCs w:val="32"/>
          <w:lang w:eastAsia="zh-Hans"/>
        </w:rPr>
        <w:t>支出情况。</w:t>
      </w:r>
      <w:r>
        <w:rPr>
          <w:rFonts w:hint="eastAsia" w:eastAsia="方正仿宋_GBK"/>
          <w:kern w:val="0"/>
          <w:sz w:val="32"/>
          <w:szCs w:val="32"/>
          <w:lang w:eastAsia="zh-Hans"/>
        </w:rPr>
        <w:t>2021年度支出合计2420.15万元，较上年决算数增加334.34万元，增长16.03%，其中：基本支出 1715.32万元，占70.88%；项目支出704.83万元，占29.12%。</w:t>
      </w:r>
    </w:p>
    <w:p>
      <w:pPr>
        <w:spacing w:line="620" w:lineRule="exact"/>
        <w:ind w:firstLine="685" w:firstLineChars="214"/>
        <w:rPr>
          <w:rFonts w:eastAsia="方正仿宋_GBK"/>
          <w:kern w:val="0"/>
          <w:sz w:val="32"/>
          <w:szCs w:val="32"/>
          <w:lang w:eastAsia="zh-Hans"/>
        </w:rPr>
      </w:pPr>
      <w:r>
        <w:rPr>
          <w:rFonts w:eastAsia="方正仿宋_GBK"/>
          <w:b/>
          <w:bCs/>
          <w:kern w:val="0"/>
          <w:sz w:val="32"/>
          <w:szCs w:val="32"/>
          <w:lang w:eastAsia="zh-Hans"/>
        </w:rPr>
        <w:t>4</w:t>
      </w:r>
      <w:r>
        <w:rPr>
          <w:rFonts w:hint="eastAsia" w:eastAsia="方正仿宋_GBK"/>
          <w:b/>
          <w:bCs/>
          <w:kern w:val="0"/>
          <w:sz w:val="32"/>
          <w:szCs w:val="32"/>
        </w:rPr>
        <w:t>、</w:t>
      </w:r>
      <w:r>
        <w:rPr>
          <w:rFonts w:eastAsia="方正仿宋_GBK"/>
          <w:b/>
          <w:bCs/>
          <w:kern w:val="0"/>
          <w:sz w:val="32"/>
          <w:szCs w:val="32"/>
          <w:lang w:eastAsia="zh-Hans"/>
        </w:rPr>
        <w:t>结转结余情况。</w:t>
      </w:r>
      <w:r>
        <w:rPr>
          <w:rFonts w:hint="eastAsia" w:eastAsia="方正仿宋_GBK"/>
          <w:kern w:val="0"/>
          <w:sz w:val="32"/>
          <w:szCs w:val="32"/>
          <w:lang w:eastAsia="zh-Hans"/>
        </w:rPr>
        <w:t>2021年度年末结转和结余0万元，较上年决算数增加0万元，增长0.0%，主要原因是收支平衡，无结转结余。</w:t>
      </w:r>
    </w:p>
    <w:p>
      <w:pPr>
        <w:spacing w:line="620" w:lineRule="exact"/>
        <w:ind w:firstLine="685" w:firstLineChars="214"/>
        <w:rPr>
          <w:rFonts w:ascii="方正楷体_GBK" w:eastAsia="方正楷体_GBK"/>
          <w:b/>
          <w:bCs/>
          <w:kern w:val="0"/>
          <w:sz w:val="32"/>
          <w:szCs w:val="32"/>
        </w:rPr>
      </w:pPr>
      <w:r>
        <w:rPr>
          <w:rFonts w:ascii="方正楷体_GBK" w:eastAsia="方正楷体_GBK"/>
          <w:b/>
          <w:bCs/>
          <w:kern w:val="0"/>
          <w:sz w:val="32"/>
          <w:szCs w:val="32"/>
        </w:rPr>
        <w:t>（二）财政拨款收入支出决算总体情况说明</w:t>
      </w:r>
    </w:p>
    <w:p>
      <w:pPr>
        <w:spacing w:line="620" w:lineRule="exact"/>
        <w:ind w:firstLine="684" w:firstLineChars="214"/>
        <w:rPr>
          <w:rFonts w:hint="eastAsia" w:eastAsia="方正仿宋_GBK"/>
          <w:kern w:val="0"/>
          <w:sz w:val="32"/>
          <w:szCs w:val="32"/>
          <w:lang w:eastAsia="zh-Hans"/>
        </w:rPr>
      </w:pPr>
      <w:r>
        <w:rPr>
          <w:rFonts w:hint="eastAsia" w:eastAsia="方正仿宋_GBK"/>
          <w:kern w:val="0"/>
          <w:sz w:val="32"/>
          <w:szCs w:val="32"/>
          <w:lang w:eastAsia="zh-Hans"/>
        </w:rPr>
        <w:t>2021年度财政拨款收、支总计2420.15万元。与2020年相比，财政拨款收、支总计各增加334.34万元，增长16.03%。主要原因是从梓潼街道办事处等单位调入人员40名导致经费拨款增加。</w:t>
      </w:r>
    </w:p>
    <w:p>
      <w:pPr>
        <w:spacing w:line="620" w:lineRule="exact"/>
        <w:ind w:firstLine="685" w:firstLineChars="214"/>
        <w:rPr>
          <w:rFonts w:ascii="方正楷体_GBK" w:eastAsia="方正楷体_GBK"/>
          <w:b/>
          <w:bCs/>
          <w:kern w:val="0"/>
          <w:sz w:val="32"/>
          <w:szCs w:val="32"/>
        </w:rPr>
      </w:pPr>
      <w:r>
        <w:rPr>
          <w:rFonts w:ascii="方正楷体_GBK" w:eastAsia="方正楷体_GBK"/>
          <w:b/>
          <w:bCs/>
          <w:kern w:val="0"/>
          <w:sz w:val="32"/>
          <w:szCs w:val="32"/>
        </w:rPr>
        <w:t>（三）一般公共预算财政拨款支出决算情况说明</w:t>
      </w:r>
    </w:p>
    <w:p>
      <w:pPr>
        <w:spacing w:line="620" w:lineRule="exact"/>
        <w:ind w:firstLine="685" w:firstLineChars="214"/>
        <w:rPr>
          <w:rFonts w:eastAsia="方正仿宋_GBK"/>
          <w:kern w:val="0"/>
          <w:sz w:val="32"/>
          <w:szCs w:val="32"/>
          <w:lang w:eastAsia="zh-Hans"/>
        </w:rPr>
      </w:pPr>
      <w:r>
        <w:rPr>
          <w:rFonts w:eastAsia="方正仿宋_GBK"/>
          <w:b/>
          <w:bCs/>
          <w:kern w:val="0"/>
          <w:sz w:val="32"/>
          <w:szCs w:val="32"/>
          <w:lang w:eastAsia="zh-Hans"/>
        </w:rPr>
        <w:t>1</w:t>
      </w:r>
      <w:r>
        <w:rPr>
          <w:rFonts w:hint="eastAsia" w:eastAsia="方正仿宋_GBK"/>
          <w:b/>
          <w:bCs/>
          <w:kern w:val="0"/>
          <w:sz w:val="32"/>
          <w:szCs w:val="32"/>
        </w:rPr>
        <w:t>、</w:t>
      </w:r>
      <w:r>
        <w:rPr>
          <w:rFonts w:eastAsia="方正仿宋_GBK"/>
          <w:b/>
          <w:bCs/>
          <w:kern w:val="0"/>
          <w:sz w:val="32"/>
          <w:szCs w:val="32"/>
          <w:lang w:eastAsia="zh-Hans"/>
        </w:rPr>
        <w:t>收入情况。</w:t>
      </w:r>
      <w:r>
        <w:rPr>
          <w:rFonts w:hint="eastAsia" w:eastAsia="方正仿宋_GBK"/>
          <w:kern w:val="0"/>
          <w:sz w:val="32"/>
          <w:szCs w:val="32"/>
          <w:lang w:eastAsia="zh-Hans"/>
        </w:rPr>
        <w:t>2021年度一般公共预算财政拨款收入2420.15万元，较上年决算数增加334.34万元，增长16.03%， 较年初预算数增加645.31万元，增长26.66%。年初财政拨款结转和结余0万元。</w:t>
      </w:r>
    </w:p>
    <w:p>
      <w:pPr>
        <w:spacing w:line="620" w:lineRule="exact"/>
        <w:ind w:firstLine="685" w:firstLineChars="214"/>
        <w:rPr>
          <w:rFonts w:eastAsia="方正仿宋_GBK"/>
          <w:kern w:val="0"/>
          <w:sz w:val="32"/>
          <w:szCs w:val="32"/>
          <w:lang w:eastAsia="zh-Hans"/>
        </w:rPr>
      </w:pPr>
      <w:r>
        <w:rPr>
          <w:rFonts w:eastAsia="方正仿宋_GBK"/>
          <w:b/>
          <w:bCs/>
          <w:kern w:val="0"/>
          <w:sz w:val="32"/>
          <w:szCs w:val="32"/>
          <w:lang w:eastAsia="zh-Hans"/>
        </w:rPr>
        <w:t>2</w:t>
      </w:r>
      <w:r>
        <w:rPr>
          <w:rFonts w:hint="eastAsia" w:eastAsia="方正仿宋_GBK"/>
          <w:b/>
          <w:bCs/>
          <w:kern w:val="0"/>
          <w:sz w:val="32"/>
          <w:szCs w:val="32"/>
        </w:rPr>
        <w:t>、</w:t>
      </w:r>
      <w:r>
        <w:rPr>
          <w:rFonts w:eastAsia="方正仿宋_GBK"/>
          <w:b/>
          <w:bCs/>
          <w:kern w:val="0"/>
          <w:sz w:val="32"/>
          <w:szCs w:val="32"/>
          <w:lang w:eastAsia="zh-Hans"/>
        </w:rPr>
        <w:t>支出情况。</w:t>
      </w:r>
      <w:r>
        <w:rPr>
          <w:rFonts w:hint="eastAsia" w:eastAsia="方正仿宋_GBK"/>
          <w:kern w:val="0"/>
          <w:sz w:val="32"/>
          <w:szCs w:val="32"/>
          <w:lang w:eastAsia="zh-Hans"/>
        </w:rPr>
        <w:t>2021年度一般公共预算财政拨款支出2420.15万元，较上年决算数增加334.34万元，增长16.03%，较年初预算数增加645.31万元，增长26.66%。</w:t>
      </w:r>
    </w:p>
    <w:p>
      <w:pPr>
        <w:spacing w:line="620" w:lineRule="exact"/>
        <w:ind w:firstLine="685" w:firstLineChars="214"/>
        <w:rPr>
          <w:rFonts w:eastAsia="方正仿宋_GBK"/>
          <w:kern w:val="0"/>
          <w:sz w:val="32"/>
          <w:szCs w:val="32"/>
          <w:lang w:eastAsia="zh-Hans"/>
        </w:rPr>
      </w:pPr>
      <w:r>
        <w:rPr>
          <w:rFonts w:eastAsia="方正仿宋_GBK"/>
          <w:b/>
          <w:bCs/>
          <w:kern w:val="0"/>
          <w:sz w:val="32"/>
          <w:szCs w:val="32"/>
          <w:lang w:eastAsia="zh-Hans"/>
        </w:rPr>
        <w:t>3</w:t>
      </w:r>
      <w:r>
        <w:rPr>
          <w:rFonts w:hint="eastAsia" w:eastAsia="方正仿宋_GBK"/>
          <w:b/>
          <w:bCs/>
          <w:kern w:val="0"/>
          <w:sz w:val="32"/>
          <w:szCs w:val="32"/>
        </w:rPr>
        <w:t>、</w:t>
      </w:r>
      <w:r>
        <w:rPr>
          <w:rFonts w:eastAsia="方正仿宋_GBK"/>
          <w:b/>
          <w:bCs/>
          <w:kern w:val="0"/>
          <w:sz w:val="32"/>
          <w:szCs w:val="32"/>
          <w:lang w:eastAsia="zh-Hans"/>
        </w:rPr>
        <w:t>结转结余情况。</w:t>
      </w:r>
      <w:r>
        <w:rPr>
          <w:rFonts w:hint="eastAsia" w:eastAsia="方正仿宋_GBK"/>
          <w:kern w:val="0"/>
          <w:sz w:val="32"/>
          <w:szCs w:val="32"/>
          <w:lang w:eastAsia="zh-Hans"/>
        </w:rPr>
        <w:t>2021年度年末一般公共预算财政拨款结转和结余0.00万元，较上年决算数增加0.00万元，增长0.0%，主要原因是收支平衡，无结转结余。</w:t>
      </w:r>
    </w:p>
    <w:p>
      <w:pPr>
        <w:spacing w:line="620" w:lineRule="exact"/>
        <w:ind w:firstLine="685" w:firstLineChars="214"/>
        <w:rPr>
          <w:rFonts w:hint="eastAsia" w:eastAsia="方正仿宋_GBK"/>
          <w:kern w:val="0"/>
          <w:sz w:val="32"/>
          <w:szCs w:val="32"/>
          <w:lang w:eastAsia="zh-Hans"/>
        </w:rPr>
      </w:pPr>
      <w:r>
        <w:rPr>
          <w:rFonts w:eastAsia="方正仿宋_GBK"/>
          <w:b/>
          <w:bCs/>
          <w:kern w:val="0"/>
          <w:sz w:val="32"/>
          <w:szCs w:val="32"/>
          <w:lang w:eastAsia="zh-Hans"/>
        </w:rPr>
        <w:t>4</w:t>
      </w:r>
      <w:r>
        <w:rPr>
          <w:rFonts w:hint="eastAsia" w:eastAsia="方正仿宋_GBK"/>
          <w:b/>
          <w:bCs/>
          <w:kern w:val="0"/>
          <w:sz w:val="32"/>
          <w:szCs w:val="32"/>
        </w:rPr>
        <w:t>、</w:t>
      </w:r>
      <w:r>
        <w:rPr>
          <w:rFonts w:eastAsia="方正仿宋_GBK"/>
          <w:b/>
          <w:bCs/>
          <w:kern w:val="0"/>
          <w:sz w:val="32"/>
          <w:szCs w:val="32"/>
          <w:lang w:eastAsia="zh-Hans"/>
        </w:rPr>
        <w:t>比较情况。</w:t>
      </w:r>
      <w:r>
        <w:rPr>
          <w:rFonts w:hint="eastAsia" w:eastAsia="方正仿宋_GBK"/>
          <w:kern w:val="0"/>
          <w:sz w:val="32"/>
          <w:szCs w:val="32"/>
          <w:lang w:eastAsia="zh-Hans"/>
        </w:rPr>
        <w:t>本部门2021年度一般公共预算财政拨款支出主要用于以下几个方面：</w:t>
      </w:r>
    </w:p>
    <w:p>
      <w:pPr>
        <w:spacing w:line="620" w:lineRule="exact"/>
        <w:ind w:firstLine="684" w:firstLineChars="214"/>
        <w:rPr>
          <w:rFonts w:hint="eastAsia" w:eastAsia="方正仿宋_GBK"/>
          <w:kern w:val="0"/>
          <w:sz w:val="32"/>
          <w:szCs w:val="32"/>
          <w:lang w:eastAsia="zh-Hans"/>
        </w:rPr>
      </w:pPr>
      <w:r>
        <w:rPr>
          <w:rFonts w:hint="eastAsia" w:eastAsia="方正仿宋_GBK"/>
          <w:kern w:val="0"/>
          <w:sz w:val="32"/>
          <w:szCs w:val="32"/>
          <w:lang w:eastAsia="zh-Hans"/>
        </w:rPr>
        <w:t>（1）一般公共服务支出738.75万元，占30.52%，较年初预算数增加512.78万元，增长226.92%，主要原因是主要是从梓潼街道办事处等单位调入人员40名导致社会保障与就业支出增加。</w:t>
      </w:r>
    </w:p>
    <w:p>
      <w:pPr>
        <w:spacing w:line="620" w:lineRule="exact"/>
        <w:ind w:firstLine="684" w:firstLineChars="214"/>
        <w:rPr>
          <w:rFonts w:hint="eastAsia" w:eastAsia="方正仿宋_GBK"/>
          <w:kern w:val="0"/>
          <w:sz w:val="32"/>
          <w:szCs w:val="32"/>
          <w:lang w:eastAsia="zh-Hans"/>
        </w:rPr>
      </w:pPr>
      <w:r>
        <w:rPr>
          <w:rFonts w:hint="eastAsia" w:eastAsia="方正仿宋_GBK"/>
          <w:kern w:val="0"/>
          <w:sz w:val="32"/>
          <w:szCs w:val="32"/>
          <w:lang w:eastAsia="zh-Hans"/>
        </w:rPr>
        <w:t>（2）文化旅游体育与传媒支出454.89万元，占18.80%，较年初预算数增加454.89万元，主要原因是成立社区文化服务中心导致经费支出增加。</w:t>
      </w:r>
    </w:p>
    <w:p>
      <w:pPr>
        <w:spacing w:line="620" w:lineRule="exact"/>
        <w:ind w:firstLine="684" w:firstLineChars="214"/>
        <w:rPr>
          <w:rFonts w:hint="eastAsia" w:eastAsia="方正仿宋_GBK"/>
          <w:kern w:val="0"/>
          <w:sz w:val="32"/>
          <w:szCs w:val="32"/>
          <w:lang w:eastAsia="zh-Hans"/>
        </w:rPr>
      </w:pPr>
      <w:r>
        <w:rPr>
          <w:rFonts w:hint="eastAsia" w:eastAsia="方正仿宋_GBK"/>
          <w:kern w:val="0"/>
          <w:sz w:val="32"/>
          <w:szCs w:val="32"/>
          <w:lang w:eastAsia="zh-Hans"/>
        </w:rPr>
        <w:t>（3）社会保障与就业支出304.83万元，占12.6%，较年初预算数增加209万元，增长218.09%，主要原因是成立劳动就业和社会保障服务所导致支出增加。</w:t>
      </w:r>
    </w:p>
    <w:p>
      <w:pPr>
        <w:spacing w:line="620" w:lineRule="exact"/>
        <w:ind w:firstLine="684" w:firstLineChars="214"/>
        <w:rPr>
          <w:rFonts w:hint="eastAsia" w:eastAsia="方正仿宋_GBK"/>
          <w:kern w:val="0"/>
          <w:sz w:val="32"/>
          <w:szCs w:val="32"/>
          <w:lang w:eastAsia="zh-Hans"/>
        </w:rPr>
      </w:pPr>
      <w:r>
        <w:rPr>
          <w:rFonts w:hint="eastAsia" w:eastAsia="方正仿宋_GBK"/>
          <w:kern w:val="0"/>
          <w:sz w:val="32"/>
          <w:szCs w:val="32"/>
          <w:lang w:eastAsia="zh-Hans"/>
        </w:rPr>
        <w:t>（4）卫生健康支出90.35万元，占3.73%，较年初预算数增加38.28万元，增长73.52%，主要原因是人员调入导致卫生健康支出增加。</w:t>
      </w:r>
    </w:p>
    <w:p>
      <w:pPr>
        <w:spacing w:line="620" w:lineRule="exact"/>
        <w:ind w:firstLine="684" w:firstLineChars="214"/>
        <w:rPr>
          <w:rFonts w:hint="eastAsia" w:eastAsia="方正仿宋_GBK"/>
          <w:kern w:val="0"/>
          <w:sz w:val="32"/>
          <w:szCs w:val="32"/>
          <w:lang w:eastAsia="zh-Hans"/>
        </w:rPr>
      </w:pPr>
      <w:r>
        <w:rPr>
          <w:rFonts w:hint="eastAsia" w:eastAsia="方正仿宋_GBK"/>
          <w:kern w:val="0"/>
          <w:sz w:val="32"/>
          <w:szCs w:val="32"/>
          <w:lang w:eastAsia="zh-Hans"/>
        </w:rPr>
        <w:t>（5）城乡社区支出243.35万元，占10.06%，较年初预算数减少641.79万元，减少72.51%。</w:t>
      </w:r>
    </w:p>
    <w:p>
      <w:pPr>
        <w:spacing w:line="620" w:lineRule="exact"/>
        <w:ind w:firstLine="684" w:firstLineChars="214"/>
        <w:rPr>
          <w:rFonts w:hint="eastAsia" w:eastAsia="方正仿宋_GBK"/>
          <w:kern w:val="0"/>
          <w:sz w:val="32"/>
          <w:szCs w:val="32"/>
          <w:lang w:eastAsia="zh-Hans"/>
        </w:rPr>
      </w:pPr>
      <w:r>
        <w:rPr>
          <w:rFonts w:hint="eastAsia" w:eastAsia="方正仿宋_GBK"/>
          <w:kern w:val="0"/>
          <w:sz w:val="32"/>
          <w:szCs w:val="32"/>
          <w:lang w:eastAsia="zh-Hans"/>
        </w:rPr>
        <w:t>（6）农林水支出922.29万元，占38.11%，较年初预算数增加450.37万元，增长95.43%，主要原因是成立大佛街道，下辖6个社区和5个村，上述村（社区）村级运转及服务群众专项经费、民生事务费、村社干部工资、保险等导致项目支出增加；大佛街道下设潼南区大佛农业服务中心导致农林水支出增加。</w:t>
      </w:r>
    </w:p>
    <w:p>
      <w:pPr>
        <w:spacing w:line="620" w:lineRule="exact"/>
        <w:ind w:firstLine="684" w:firstLineChars="214"/>
        <w:rPr>
          <w:rFonts w:hint="eastAsia" w:eastAsia="方正仿宋_GBK"/>
          <w:kern w:val="0"/>
          <w:sz w:val="32"/>
          <w:szCs w:val="32"/>
          <w:lang w:eastAsia="zh-Hans"/>
        </w:rPr>
      </w:pPr>
      <w:r>
        <w:rPr>
          <w:rFonts w:hint="eastAsia" w:eastAsia="方正仿宋_GBK"/>
          <w:kern w:val="0"/>
          <w:sz w:val="32"/>
          <w:szCs w:val="32"/>
          <w:lang w:eastAsia="zh-Hans"/>
        </w:rPr>
        <w:t>（7）住房保障支出75.1万元，占3.1%，较年初预算数增加27.9万元，增长59.11%，主要原因是人员调入导致住房保障支出增加。 </w:t>
      </w:r>
    </w:p>
    <w:p>
      <w:pPr>
        <w:spacing w:line="620" w:lineRule="exact"/>
        <w:ind w:firstLine="685" w:firstLineChars="214"/>
        <w:rPr>
          <w:rFonts w:ascii="方正楷体_GBK" w:eastAsia="方正楷体_GBK"/>
          <w:b/>
          <w:bCs/>
          <w:kern w:val="0"/>
          <w:sz w:val="32"/>
          <w:szCs w:val="32"/>
        </w:rPr>
      </w:pPr>
      <w:r>
        <w:rPr>
          <w:rFonts w:ascii="方正楷体_GBK" w:eastAsia="方正楷体_GBK"/>
          <w:b/>
          <w:bCs/>
          <w:kern w:val="0"/>
          <w:sz w:val="32"/>
          <w:szCs w:val="32"/>
        </w:rPr>
        <w:t>（四）一般公共预算财政拨款基本支出决算情况说明</w:t>
      </w:r>
    </w:p>
    <w:p>
      <w:pPr>
        <w:spacing w:line="620" w:lineRule="exact"/>
        <w:ind w:firstLine="684" w:firstLineChars="214"/>
        <w:rPr>
          <w:rFonts w:hint="eastAsia" w:eastAsia="方正仿宋_GBK"/>
          <w:kern w:val="0"/>
          <w:sz w:val="32"/>
          <w:szCs w:val="32"/>
          <w:lang w:eastAsia="zh-Hans"/>
        </w:rPr>
      </w:pPr>
      <w:r>
        <w:rPr>
          <w:rFonts w:hint="eastAsia" w:eastAsia="方正仿宋_GBK"/>
          <w:kern w:val="0"/>
          <w:sz w:val="32"/>
          <w:szCs w:val="32"/>
          <w:lang w:eastAsia="zh-Hans"/>
        </w:rPr>
        <w:t>2021年度一般公共财政拨款基本支出1715.32万元。其中：人员经费1404.68万元，较上年决算数增加636.78万元，增长82.92%，主要原因是人员调入导致人员经费增加。人员经费用途主要包括基本工资、津贴补贴、绩效工资、社会保障缴费、住房公积金、其他工资福利支出。公用经费310.64万元，较上年决算数增加93.59万元，增长43.12%，主要原因是人员调入导致公用经费增加。公用经费用途主要包括办公费、印刷费、公务接待费、劳务费、差旅费、工会经费、公务用车运行维护费、其他商品和服务支出。</w:t>
      </w:r>
    </w:p>
    <w:p>
      <w:pPr>
        <w:spacing w:line="620" w:lineRule="exact"/>
        <w:ind w:firstLine="685" w:firstLineChars="214"/>
        <w:rPr>
          <w:rFonts w:ascii="方正楷体_GBK" w:eastAsia="方正楷体_GBK"/>
          <w:b/>
          <w:bCs/>
          <w:kern w:val="0"/>
          <w:sz w:val="32"/>
          <w:szCs w:val="32"/>
        </w:rPr>
      </w:pPr>
      <w:r>
        <w:rPr>
          <w:rFonts w:ascii="方正楷体_GBK" w:eastAsia="方正楷体_GBK"/>
          <w:b/>
          <w:bCs/>
          <w:kern w:val="0"/>
          <w:sz w:val="32"/>
          <w:szCs w:val="32"/>
        </w:rPr>
        <w:t>（五）政府性基金预算收支决算情况说明</w:t>
      </w:r>
    </w:p>
    <w:p>
      <w:pPr>
        <w:spacing w:line="620" w:lineRule="exact"/>
        <w:ind w:firstLine="684" w:firstLineChars="214"/>
        <w:rPr>
          <w:rFonts w:hint="eastAsia" w:eastAsia="方正仿宋_GBK"/>
          <w:kern w:val="0"/>
          <w:sz w:val="32"/>
          <w:szCs w:val="32"/>
          <w:lang w:eastAsia="zh-Hans"/>
        </w:rPr>
      </w:pPr>
      <w:r>
        <w:rPr>
          <w:rFonts w:hint="eastAsia" w:eastAsia="方正仿宋_GBK"/>
          <w:kern w:val="0"/>
          <w:sz w:val="32"/>
          <w:szCs w:val="32"/>
          <w:lang w:eastAsia="zh-Hans"/>
        </w:rPr>
        <w:t>本部门2021年度无政府性基金预算收支。</w:t>
      </w:r>
    </w:p>
    <w:p>
      <w:pPr>
        <w:spacing w:line="620" w:lineRule="exact"/>
        <w:ind w:firstLine="685" w:firstLineChars="214"/>
        <w:rPr>
          <w:rFonts w:hint="eastAsia" w:eastAsia="方正仿宋_GBK"/>
          <w:kern w:val="0"/>
          <w:sz w:val="32"/>
          <w:szCs w:val="32"/>
          <w:lang w:eastAsia="zh-Hans"/>
        </w:rPr>
      </w:pPr>
      <w:r>
        <w:rPr>
          <w:rFonts w:hint="eastAsia" w:eastAsia="方正仿宋_GBK"/>
          <w:b/>
          <w:bCs/>
          <w:kern w:val="0"/>
          <w:sz w:val="32"/>
          <w:szCs w:val="32"/>
          <w:lang w:eastAsia="zh-Hans"/>
        </w:rPr>
        <w:t>（六）国有资本经营预算财政拨款支出决算情况说明</w:t>
      </w:r>
    </w:p>
    <w:p>
      <w:pPr>
        <w:spacing w:line="620" w:lineRule="exact"/>
        <w:ind w:firstLine="684" w:firstLineChars="214"/>
        <w:rPr>
          <w:rFonts w:hint="eastAsia" w:eastAsia="方正仿宋_GBK"/>
          <w:kern w:val="0"/>
          <w:sz w:val="32"/>
          <w:szCs w:val="32"/>
          <w:lang w:eastAsia="zh-Hans"/>
        </w:rPr>
      </w:pPr>
      <w:r>
        <w:rPr>
          <w:rFonts w:hint="eastAsia" w:eastAsia="方正仿宋_GBK"/>
          <w:kern w:val="0"/>
          <w:sz w:val="32"/>
          <w:szCs w:val="32"/>
          <w:lang w:eastAsia="zh-Hans"/>
        </w:rPr>
        <w:t>  本部门2021年度无国有资本经营预算财政拨款支出。</w:t>
      </w:r>
    </w:p>
    <w:p>
      <w:pPr>
        <w:spacing w:line="620" w:lineRule="exact"/>
        <w:ind w:firstLine="685" w:firstLineChars="214"/>
        <w:rPr>
          <w:rFonts w:ascii="方正黑体_GBK" w:eastAsia="方正黑体_GBK"/>
          <w:b/>
          <w:bCs/>
          <w:kern w:val="0"/>
          <w:sz w:val="32"/>
          <w:szCs w:val="32"/>
          <w:lang w:eastAsia="zh-Hans"/>
        </w:rPr>
      </w:pPr>
      <w:r>
        <w:rPr>
          <w:rFonts w:ascii="方正黑体_GBK" w:eastAsia="方正黑体_GBK"/>
          <w:b/>
          <w:bCs/>
          <w:kern w:val="0"/>
          <w:sz w:val="32"/>
          <w:szCs w:val="32"/>
          <w:lang w:eastAsia="zh-Hans"/>
        </w:rPr>
        <w:t>三、“三公”经费情况说明</w:t>
      </w:r>
    </w:p>
    <w:p>
      <w:pPr>
        <w:spacing w:line="620" w:lineRule="exact"/>
        <w:ind w:firstLine="685" w:firstLineChars="214"/>
        <w:rPr>
          <w:rFonts w:ascii="方正楷体_GBK" w:eastAsia="方正楷体_GBK"/>
          <w:b/>
          <w:bCs/>
          <w:kern w:val="0"/>
          <w:sz w:val="32"/>
          <w:szCs w:val="32"/>
        </w:rPr>
      </w:pPr>
      <w:r>
        <w:rPr>
          <w:rFonts w:ascii="方正楷体_GBK" w:eastAsia="方正楷体_GBK"/>
          <w:b/>
          <w:bCs/>
          <w:kern w:val="0"/>
          <w:sz w:val="32"/>
          <w:szCs w:val="32"/>
        </w:rPr>
        <w:t>（一）“三公”经费支出总体情况说明</w:t>
      </w:r>
    </w:p>
    <w:p>
      <w:pPr>
        <w:spacing w:line="620" w:lineRule="exact"/>
        <w:ind w:firstLine="684" w:firstLineChars="214"/>
        <w:rPr>
          <w:rFonts w:hint="eastAsia" w:eastAsia="方正仿宋_GBK"/>
          <w:kern w:val="0"/>
          <w:sz w:val="32"/>
          <w:szCs w:val="32"/>
          <w:lang w:eastAsia="zh-Hans"/>
        </w:rPr>
      </w:pPr>
      <w:r>
        <w:rPr>
          <w:rFonts w:hint="eastAsia" w:eastAsia="方正仿宋_GBK"/>
          <w:kern w:val="0"/>
          <w:sz w:val="32"/>
          <w:szCs w:val="32"/>
          <w:lang w:eastAsia="zh-Hans"/>
        </w:rPr>
        <w:t>2021年度“三公”经费支出共计33.05万元，较预算数减少0.96万元，下降2.8%，主要原因是严格管理，公务接待与公务运行经费减少。较上年支出数增加14.06万元，增长74.08%，主要原因是新成立街道办事处，接待事务较上年有所增加。</w:t>
      </w:r>
    </w:p>
    <w:p>
      <w:pPr>
        <w:spacing w:line="620" w:lineRule="exact"/>
        <w:ind w:firstLine="685" w:firstLineChars="214"/>
        <w:rPr>
          <w:rFonts w:ascii="方正楷体_GBK" w:eastAsia="方正楷体_GBK"/>
          <w:b/>
          <w:bCs/>
          <w:kern w:val="0"/>
          <w:sz w:val="32"/>
          <w:szCs w:val="32"/>
        </w:rPr>
      </w:pPr>
      <w:r>
        <w:rPr>
          <w:rFonts w:ascii="方正楷体_GBK" w:eastAsia="方正楷体_GBK"/>
          <w:b/>
          <w:bCs/>
          <w:kern w:val="0"/>
          <w:sz w:val="32"/>
          <w:szCs w:val="32"/>
        </w:rPr>
        <w:t>（二）“三公”经费分项支出情况</w:t>
      </w:r>
    </w:p>
    <w:p>
      <w:pPr>
        <w:spacing w:line="620" w:lineRule="exact"/>
        <w:ind w:firstLine="684" w:firstLineChars="214"/>
        <w:rPr>
          <w:rFonts w:hint="eastAsia" w:eastAsia="方正仿宋_GBK"/>
          <w:kern w:val="0"/>
          <w:sz w:val="32"/>
          <w:szCs w:val="32"/>
        </w:rPr>
      </w:pPr>
      <w:r>
        <w:rPr>
          <w:rFonts w:hint="eastAsia" w:eastAsia="方正仿宋_GBK"/>
          <w:kern w:val="0"/>
          <w:sz w:val="32"/>
          <w:szCs w:val="32"/>
        </w:rPr>
        <w:t>2021年度本部门因公出国（境）费用0万元。</w:t>
      </w:r>
    </w:p>
    <w:p>
      <w:pPr>
        <w:spacing w:line="620" w:lineRule="exact"/>
        <w:ind w:firstLine="684" w:firstLineChars="214"/>
        <w:rPr>
          <w:rFonts w:hint="eastAsia" w:eastAsia="方正仿宋_GBK"/>
          <w:kern w:val="0"/>
          <w:sz w:val="32"/>
          <w:szCs w:val="32"/>
        </w:rPr>
      </w:pPr>
      <w:r>
        <w:rPr>
          <w:rFonts w:hint="eastAsia" w:eastAsia="方正仿宋_GBK"/>
          <w:kern w:val="0"/>
          <w:sz w:val="32"/>
          <w:szCs w:val="32"/>
        </w:rPr>
        <w:t>2021年度公务车购置费0万元。</w:t>
      </w:r>
    </w:p>
    <w:p>
      <w:pPr>
        <w:spacing w:line="620" w:lineRule="exact"/>
        <w:ind w:firstLine="684" w:firstLineChars="214"/>
        <w:rPr>
          <w:rFonts w:hint="eastAsia" w:eastAsia="方正仿宋_GBK"/>
          <w:kern w:val="0"/>
          <w:sz w:val="32"/>
          <w:szCs w:val="32"/>
        </w:rPr>
      </w:pPr>
      <w:r>
        <w:rPr>
          <w:rFonts w:hint="eastAsia" w:eastAsia="方正仿宋_GBK"/>
          <w:kern w:val="0"/>
          <w:sz w:val="32"/>
          <w:szCs w:val="32"/>
        </w:rPr>
        <w:t>公务车运行维护费3.8万元，主要用于机要文件交换、因公出行、下乡扶贫等工作所需车辆的燃料费、维修费、过桥过路费、保险费等。经严格落实公车使用管理规定，费用支出较年初预算数减少0.2万元，下降5%，较上年支出数减少0.21万元，减少5.25%。</w:t>
      </w:r>
    </w:p>
    <w:p>
      <w:pPr>
        <w:spacing w:line="620" w:lineRule="exact"/>
        <w:ind w:firstLine="684" w:firstLineChars="214"/>
        <w:rPr>
          <w:rFonts w:eastAsia="方正仿宋_GBK"/>
          <w:kern w:val="0"/>
          <w:sz w:val="32"/>
          <w:szCs w:val="32"/>
          <w:lang w:eastAsia="zh-Hans"/>
        </w:rPr>
      </w:pPr>
      <w:r>
        <w:rPr>
          <w:rFonts w:hint="eastAsia" w:eastAsia="方正仿宋_GBK"/>
          <w:kern w:val="0"/>
          <w:sz w:val="32"/>
          <w:szCs w:val="32"/>
        </w:rPr>
        <w:t>公务接待费29.25万元，主要用于接待征地拆迁、招商引资、扶贫加班等。费用支出较年初预算数增加14.25万元，增长95%，较上年支出数增加14.27万元，增长95.26%。</w:t>
      </w:r>
    </w:p>
    <w:p>
      <w:pPr>
        <w:spacing w:line="620" w:lineRule="exact"/>
        <w:ind w:firstLine="685" w:firstLineChars="214"/>
        <w:rPr>
          <w:rFonts w:ascii="方正楷体_GBK" w:eastAsia="方正楷体_GBK"/>
          <w:b/>
          <w:bCs/>
          <w:kern w:val="0"/>
          <w:sz w:val="32"/>
          <w:szCs w:val="32"/>
        </w:rPr>
      </w:pPr>
      <w:r>
        <w:rPr>
          <w:rFonts w:ascii="方正楷体_GBK" w:eastAsia="方正楷体_GBK"/>
          <w:b/>
          <w:bCs/>
          <w:kern w:val="0"/>
          <w:sz w:val="32"/>
          <w:szCs w:val="32"/>
        </w:rPr>
        <w:t>（三）“三公”经费实物量情况</w:t>
      </w:r>
    </w:p>
    <w:p>
      <w:pPr>
        <w:spacing w:line="620" w:lineRule="exact"/>
        <w:ind w:firstLine="684" w:firstLineChars="214"/>
        <w:rPr>
          <w:rFonts w:hint="eastAsia" w:eastAsia="方正仿宋_GBK"/>
          <w:kern w:val="0"/>
          <w:sz w:val="32"/>
          <w:szCs w:val="32"/>
          <w:lang w:eastAsia="zh-Hans"/>
        </w:rPr>
      </w:pPr>
      <w:r>
        <w:rPr>
          <w:rFonts w:hint="eastAsia" w:eastAsia="方正仿宋_GBK"/>
          <w:kern w:val="0"/>
          <w:sz w:val="32"/>
          <w:szCs w:val="32"/>
          <w:lang w:eastAsia="zh-Hans"/>
        </w:rPr>
        <w:t>2021年度本部门因公出国（境）共计0个团组，0人；公务用车购置0辆，公务车保有量为1辆；国内公务接待489批次2987人，未发生国内外事接待和国（境）外公务接待。2021年本部门人均接待费97.91元，车均购置费0.00万元，车均维护费3.8万元。</w:t>
      </w:r>
    </w:p>
    <w:p>
      <w:pPr>
        <w:spacing w:line="620" w:lineRule="exact"/>
        <w:ind w:firstLine="685" w:firstLineChars="214"/>
        <w:rPr>
          <w:rFonts w:ascii="方正黑体_GBK" w:eastAsia="方正黑体_GBK"/>
          <w:b/>
          <w:bCs/>
          <w:kern w:val="0"/>
          <w:sz w:val="32"/>
          <w:szCs w:val="32"/>
          <w:lang w:eastAsia="zh-Hans"/>
        </w:rPr>
      </w:pPr>
      <w:r>
        <w:rPr>
          <w:rFonts w:ascii="方正黑体_GBK" w:eastAsia="方正黑体_GBK"/>
          <w:b/>
          <w:bCs/>
          <w:kern w:val="0"/>
          <w:sz w:val="32"/>
          <w:szCs w:val="32"/>
          <w:lang w:eastAsia="zh-Hans"/>
        </w:rPr>
        <w:t>四、其他需要说明的事项</w:t>
      </w:r>
    </w:p>
    <w:p>
      <w:pPr>
        <w:spacing w:line="620" w:lineRule="exact"/>
        <w:ind w:firstLine="685" w:firstLineChars="214"/>
        <w:rPr>
          <w:rFonts w:hint="eastAsia" w:eastAsia="方正仿宋_GBK"/>
          <w:kern w:val="0"/>
          <w:sz w:val="32"/>
          <w:szCs w:val="32"/>
          <w:lang w:eastAsia="zh-Hans"/>
        </w:rPr>
      </w:pPr>
      <w:r>
        <w:rPr>
          <w:rFonts w:ascii="方正楷体_GBK" w:eastAsia="方正楷体_GBK"/>
          <w:b/>
          <w:bCs/>
          <w:kern w:val="0"/>
          <w:sz w:val="32"/>
          <w:szCs w:val="32"/>
        </w:rPr>
        <w:t>（一）机关运行经费情况说明。</w:t>
      </w:r>
      <w:r>
        <w:rPr>
          <w:rFonts w:hint="eastAsia" w:eastAsia="方正仿宋_GBK"/>
          <w:kern w:val="0"/>
          <w:sz w:val="32"/>
          <w:szCs w:val="32"/>
          <w:lang w:eastAsia="zh-Hans"/>
        </w:rPr>
        <w:t>2021年度机关运行经费支出280.64万元，机关运行经费主要用于办公费、印刷费、邮电费、水电费、物管费、差旅费、会议费、培训费及其他商品和服务支出等，机关运行经费较上年决算数增加63.59万元，主要原因是街道成立、人员调入等。</w:t>
      </w:r>
    </w:p>
    <w:p>
      <w:pPr>
        <w:spacing w:line="620" w:lineRule="exact"/>
        <w:ind w:firstLine="684" w:firstLineChars="214"/>
        <w:rPr>
          <w:rFonts w:eastAsia="方正仿宋_GBK"/>
          <w:kern w:val="0"/>
          <w:sz w:val="32"/>
          <w:szCs w:val="32"/>
          <w:lang w:eastAsia="zh-Hans"/>
        </w:rPr>
      </w:pPr>
      <w:r>
        <w:rPr>
          <w:rFonts w:hint="eastAsia" w:eastAsia="方正仿宋_GBK"/>
          <w:kern w:val="0"/>
          <w:sz w:val="32"/>
          <w:szCs w:val="32"/>
          <w:lang w:eastAsia="zh-Hans"/>
        </w:rPr>
        <w:t>此外，本年度一般公共预算财政拨款会议费支出0万元，较上年决算数增加0万元，增长0.0%，主要原因是2021年度本单位未发生会议费支出。本年度培训费支出0.12万元，较上年决算数减少0.94万元，下降88.68%，主要原因是单位培训人次减少。</w:t>
      </w:r>
    </w:p>
    <w:p>
      <w:pPr>
        <w:spacing w:line="620" w:lineRule="exact"/>
        <w:ind w:firstLine="685" w:firstLineChars="214"/>
        <w:rPr>
          <w:rFonts w:eastAsia="方正仿宋_GBK"/>
          <w:kern w:val="0"/>
          <w:sz w:val="32"/>
          <w:szCs w:val="32"/>
          <w:lang w:eastAsia="zh-Hans"/>
        </w:rPr>
      </w:pPr>
      <w:r>
        <w:rPr>
          <w:rFonts w:ascii="方正楷体_GBK" w:eastAsia="方正楷体_GBK"/>
          <w:b/>
          <w:bCs/>
          <w:kern w:val="0"/>
          <w:sz w:val="32"/>
          <w:szCs w:val="32"/>
        </w:rPr>
        <w:t>（二）国有资产占用情况说明。</w:t>
      </w:r>
      <w:r>
        <w:rPr>
          <w:rFonts w:hint="eastAsia" w:eastAsia="方正仿宋_GBK"/>
          <w:kern w:val="0"/>
          <w:sz w:val="32"/>
          <w:szCs w:val="32"/>
          <w:lang w:eastAsia="zh-Hans"/>
        </w:rPr>
        <w:t>截至2021年12月31日，本部门共有车辆1辆（应急保障用车），无单价50万元（含）以上通用设备，无单价100万元（含）以上专用设备。</w:t>
      </w:r>
    </w:p>
    <w:p>
      <w:pPr>
        <w:spacing w:line="620" w:lineRule="exact"/>
        <w:ind w:firstLine="685" w:firstLineChars="214"/>
        <w:rPr>
          <w:rFonts w:ascii="方正楷体_GBK" w:eastAsia="方正楷体_GBK"/>
          <w:b/>
          <w:bCs/>
          <w:kern w:val="0"/>
          <w:sz w:val="32"/>
          <w:szCs w:val="32"/>
        </w:rPr>
      </w:pPr>
      <w:r>
        <w:rPr>
          <w:rFonts w:ascii="方正楷体_GBK" w:eastAsia="方正楷体_GBK"/>
          <w:b/>
          <w:bCs/>
          <w:kern w:val="0"/>
          <w:sz w:val="32"/>
          <w:szCs w:val="32"/>
        </w:rPr>
        <w:t>（三）政府采购支出情况说明。</w:t>
      </w:r>
    </w:p>
    <w:p>
      <w:pPr>
        <w:spacing w:line="620" w:lineRule="exact"/>
        <w:ind w:firstLine="684" w:firstLineChars="214"/>
        <w:rPr>
          <w:rFonts w:eastAsia="方正仿宋_GBK"/>
          <w:kern w:val="0"/>
          <w:sz w:val="32"/>
          <w:szCs w:val="32"/>
          <w:lang w:eastAsia="zh-Hans"/>
        </w:rPr>
      </w:pPr>
      <w:r>
        <w:rPr>
          <w:rFonts w:hint="eastAsia" w:eastAsia="方正仿宋_GBK"/>
          <w:kern w:val="0"/>
          <w:sz w:val="32"/>
          <w:szCs w:val="32"/>
          <w:lang w:eastAsia="zh-Hans"/>
        </w:rPr>
        <w:t>202</w:t>
      </w:r>
      <w:r>
        <w:rPr>
          <w:rFonts w:hint="eastAsia" w:eastAsia="方正仿宋_GBK"/>
          <w:kern w:val="0"/>
          <w:sz w:val="32"/>
          <w:szCs w:val="32"/>
          <w:lang w:val="en-US" w:eastAsia="zh-CN"/>
        </w:rPr>
        <w:t>1</w:t>
      </w:r>
      <w:r>
        <w:rPr>
          <w:rFonts w:hint="eastAsia" w:eastAsia="方正仿宋_GBK"/>
          <w:kern w:val="0"/>
          <w:sz w:val="32"/>
          <w:szCs w:val="32"/>
          <w:lang w:eastAsia="zh-Hans"/>
        </w:rPr>
        <w:t>年度本部门政府采购支出总额</w:t>
      </w:r>
      <w:r>
        <w:rPr>
          <w:rFonts w:hint="eastAsia" w:eastAsia="方正仿宋_GBK"/>
          <w:kern w:val="0"/>
          <w:sz w:val="32"/>
          <w:szCs w:val="32"/>
          <w:lang w:val="en-US" w:eastAsia="zh-CN"/>
        </w:rPr>
        <w:t>34.96</w:t>
      </w:r>
      <w:r>
        <w:rPr>
          <w:rFonts w:hint="eastAsia" w:eastAsia="方正仿宋_GBK"/>
          <w:kern w:val="0"/>
          <w:sz w:val="32"/>
          <w:szCs w:val="32"/>
          <w:lang w:eastAsia="zh-Hans"/>
        </w:rPr>
        <w:t>万元，其中：政府采购货物支出</w:t>
      </w:r>
      <w:r>
        <w:rPr>
          <w:rFonts w:hint="eastAsia" w:eastAsia="方正仿宋_GBK"/>
          <w:kern w:val="0"/>
          <w:sz w:val="32"/>
          <w:szCs w:val="32"/>
          <w:lang w:val="en-US" w:eastAsia="zh-CN"/>
        </w:rPr>
        <w:t>34.96</w:t>
      </w:r>
      <w:r>
        <w:rPr>
          <w:rFonts w:hint="eastAsia" w:eastAsia="方正仿宋_GBK"/>
          <w:kern w:val="0"/>
          <w:sz w:val="32"/>
          <w:szCs w:val="32"/>
          <w:lang w:eastAsia="zh-Hans"/>
        </w:rPr>
        <w:t>万元、政府采购工程支出0.00万元、政府采购服务支出0.00万元。授予中小企业合同金额</w:t>
      </w:r>
      <w:r>
        <w:rPr>
          <w:rFonts w:hint="eastAsia" w:eastAsia="方正仿宋_GBK"/>
          <w:kern w:val="0"/>
          <w:sz w:val="32"/>
          <w:szCs w:val="32"/>
          <w:lang w:val="en-US" w:eastAsia="zh-CN"/>
        </w:rPr>
        <w:t>34.96</w:t>
      </w:r>
      <w:r>
        <w:rPr>
          <w:rFonts w:hint="eastAsia" w:eastAsia="方正仿宋_GBK"/>
          <w:kern w:val="0"/>
          <w:sz w:val="32"/>
          <w:szCs w:val="32"/>
          <w:lang w:eastAsia="zh-Hans"/>
        </w:rPr>
        <w:t>万元，占政府采购支出总额的100%，其中：授予小微企业合同金额 0.00万元，占政府采购支出总额的0%。主要用于采购</w:t>
      </w:r>
      <w:r>
        <w:rPr>
          <w:rFonts w:hint="eastAsia" w:eastAsia="方正仿宋_GBK"/>
          <w:kern w:val="0"/>
          <w:sz w:val="32"/>
          <w:szCs w:val="32"/>
        </w:rPr>
        <w:t>办公用品</w:t>
      </w:r>
      <w:r>
        <w:rPr>
          <w:rFonts w:eastAsia="方正仿宋_GBK"/>
          <w:kern w:val="0"/>
          <w:sz w:val="32"/>
          <w:szCs w:val="32"/>
          <w:lang w:eastAsia="zh-Hans"/>
        </w:rPr>
        <w:t>。</w:t>
      </w:r>
    </w:p>
    <w:p>
      <w:pPr>
        <w:spacing w:line="620" w:lineRule="exact"/>
        <w:ind w:firstLine="685" w:firstLineChars="214"/>
        <w:rPr>
          <w:rFonts w:ascii="方正黑体_GBK" w:eastAsia="方正黑体_GBK"/>
          <w:b/>
          <w:bCs/>
          <w:kern w:val="0"/>
          <w:sz w:val="32"/>
          <w:szCs w:val="32"/>
          <w:lang w:eastAsia="zh-Hans"/>
        </w:rPr>
      </w:pPr>
      <w:r>
        <w:rPr>
          <w:rFonts w:ascii="方正黑体_GBK" w:eastAsia="方正黑体_GBK"/>
          <w:b/>
          <w:bCs/>
          <w:kern w:val="0"/>
          <w:sz w:val="32"/>
          <w:szCs w:val="32"/>
          <w:lang w:eastAsia="zh-Hans"/>
        </w:rPr>
        <w:t>五、预算绩效管理情况说明</w:t>
      </w:r>
    </w:p>
    <w:p>
      <w:pPr>
        <w:spacing w:line="620" w:lineRule="exact"/>
        <w:ind w:firstLine="685" w:firstLineChars="214"/>
        <w:rPr>
          <w:rFonts w:hint="eastAsia" w:ascii="方正楷体_GBK" w:eastAsia="方正楷体_GBK"/>
          <w:b/>
          <w:bCs/>
          <w:kern w:val="0"/>
          <w:sz w:val="32"/>
          <w:szCs w:val="32"/>
        </w:rPr>
      </w:pPr>
      <w:r>
        <w:rPr>
          <w:rFonts w:hint="eastAsia" w:ascii="方正楷体_GBK" w:eastAsia="方正楷体_GBK"/>
          <w:b/>
          <w:bCs/>
          <w:kern w:val="0"/>
          <w:sz w:val="32"/>
          <w:szCs w:val="32"/>
        </w:rPr>
        <w:t>（一）预算绩效管理工作开展情况</w:t>
      </w:r>
    </w:p>
    <w:p>
      <w:pPr>
        <w:spacing w:line="620" w:lineRule="exact"/>
        <w:ind w:firstLine="685" w:firstLineChars="214"/>
        <w:rPr>
          <w:rFonts w:hint="eastAsia" w:ascii="方正楷体_GBK" w:eastAsia="方正楷体_GBK"/>
          <w:b/>
          <w:bCs/>
          <w:kern w:val="0"/>
          <w:sz w:val="32"/>
          <w:szCs w:val="32"/>
        </w:rPr>
      </w:pPr>
      <w:r>
        <w:rPr>
          <w:rFonts w:hint="eastAsia" w:ascii="方正楷体_GBK" w:eastAsia="方正楷体_GBK"/>
          <w:b/>
          <w:bCs/>
          <w:kern w:val="0"/>
          <w:sz w:val="32"/>
          <w:szCs w:val="32"/>
        </w:rPr>
        <w:t>根据预算绩效管理要求，本部门对部门整体和</w:t>
      </w:r>
      <w:r>
        <w:rPr>
          <w:rFonts w:hint="eastAsia" w:ascii="方正楷体_GBK" w:eastAsia="方正楷体_GBK"/>
          <w:b/>
          <w:bCs/>
          <w:kern w:val="0"/>
          <w:sz w:val="32"/>
          <w:szCs w:val="32"/>
          <w:lang w:val="en-US" w:eastAsia="zh-CN"/>
        </w:rPr>
        <w:t>10</w:t>
      </w:r>
      <w:r>
        <w:rPr>
          <w:rFonts w:hint="eastAsia" w:ascii="方正楷体_GBK" w:eastAsia="方正楷体_GBK"/>
          <w:b/>
          <w:bCs/>
          <w:kern w:val="0"/>
          <w:sz w:val="32"/>
          <w:szCs w:val="32"/>
        </w:rPr>
        <w:t>个项目开展了绩效自评，其中，以填报目标自评表形式开展自评</w:t>
      </w:r>
      <w:r>
        <w:rPr>
          <w:rFonts w:hint="eastAsia" w:ascii="方正楷体_GBK" w:eastAsia="方正楷体_GBK"/>
          <w:b/>
          <w:bCs/>
          <w:kern w:val="0"/>
          <w:sz w:val="32"/>
          <w:szCs w:val="32"/>
          <w:lang w:val="en-US" w:eastAsia="zh-CN"/>
        </w:rPr>
        <w:t>11</w:t>
      </w:r>
      <w:r>
        <w:rPr>
          <w:rFonts w:hint="eastAsia" w:ascii="方正楷体_GBK" w:eastAsia="方正楷体_GBK"/>
          <w:b/>
          <w:bCs/>
          <w:kern w:val="0"/>
          <w:sz w:val="32"/>
          <w:szCs w:val="32"/>
        </w:rPr>
        <w:t>项，涉及资金</w:t>
      </w:r>
      <w:r>
        <w:rPr>
          <w:rFonts w:hint="eastAsia" w:ascii="方正楷体_GBK" w:eastAsia="方正楷体_GBK"/>
          <w:b/>
          <w:bCs/>
          <w:kern w:val="0"/>
          <w:sz w:val="32"/>
          <w:szCs w:val="32"/>
          <w:lang w:val="en-US" w:eastAsia="zh-CN"/>
        </w:rPr>
        <w:t>1776.99</w:t>
      </w:r>
      <w:r>
        <w:rPr>
          <w:rFonts w:hint="eastAsia" w:ascii="方正楷体_GBK" w:eastAsia="方正楷体_GBK"/>
          <w:b/>
          <w:bCs/>
          <w:kern w:val="0"/>
          <w:sz w:val="32"/>
          <w:szCs w:val="32"/>
        </w:rPr>
        <w:t>万元。</w:t>
      </w:r>
    </w:p>
    <w:p>
      <w:pPr>
        <w:spacing w:line="620" w:lineRule="exact"/>
        <w:ind w:firstLine="685" w:firstLineChars="214"/>
        <w:rPr>
          <w:rFonts w:hint="eastAsia" w:ascii="方正楷体_GBK" w:eastAsia="方正楷体_GBK"/>
          <w:b/>
          <w:bCs/>
          <w:kern w:val="0"/>
          <w:sz w:val="32"/>
          <w:szCs w:val="32"/>
        </w:rPr>
      </w:pPr>
      <w:r>
        <w:rPr>
          <w:rFonts w:hint="eastAsia" w:ascii="方正楷体_GBK" w:eastAsia="方正楷体_GBK"/>
          <w:b/>
          <w:bCs/>
          <w:kern w:val="0"/>
          <w:sz w:val="32"/>
          <w:szCs w:val="32"/>
        </w:rPr>
        <w:t>（二）绩效自评结果</w:t>
      </w:r>
    </w:p>
    <w:p>
      <w:pPr>
        <w:spacing w:line="620" w:lineRule="exact"/>
        <w:ind w:firstLine="685" w:firstLineChars="214"/>
        <w:rPr>
          <w:rFonts w:hint="eastAsia" w:ascii="方正楷体_GBK" w:eastAsia="方正楷体_GBK"/>
          <w:b/>
          <w:bCs/>
          <w:kern w:val="0"/>
          <w:sz w:val="32"/>
          <w:szCs w:val="32"/>
        </w:rPr>
      </w:pPr>
      <w:r>
        <w:rPr>
          <w:rFonts w:hint="eastAsia" w:ascii="方正楷体_GBK" w:eastAsia="方正楷体_GBK"/>
          <w:b/>
          <w:bCs/>
          <w:kern w:val="0"/>
          <w:sz w:val="32"/>
          <w:szCs w:val="32"/>
        </w:rPr>
        <w:t>1.绩效自评表</w:t>
      </w:r>
    </w:p>
    <w:tbl>
      <w:tblPr>
        <w:tblStyle w:val="5"/>
        <w:tblW w:w="10470" w:type="dxa"/>
        <w:tblInd w:w="93" w:type="dxa"/>
        <w:tblLayout w:type="autofit"/>
        <w:tblCellMar>
          <w:top w:w="0" w:type="dxa"/>
          <w:left w:w="108" w:type="dxa"/>
          <w:bottom w:w="0" w:type="dxa"/>
          <w:right w:w="108" w:type="dxa"/>
        </w:tblCellMar>
      </w:tblPr>
      <w:tblGrid>
        <w:gridCol w:w="1406"/>
        <w:gridCol w:w="3788"/>
        <w:gridCol w:w="1199"/>
        <w:gridCol w:w="1582"/>
        <w:gridCol w:w="1279"/>
        <w:gridCol w:w="1216"/>
      </w:tblGrid>
      <w:tr>
        <w:tblPrEx>
          <w:tblCellMar>
            <w:top w:w="0" w:type="dxa"/>
            <w:left w:w="108" w:type="dxa"/>
            <w:bottom w:w="0" w:type="dxa"/>
            <w:right w:w="108" w:type="dxa"/>
          </w:tblCellMar>
        </w:tblPrEx>
        <w:trPr>
          <w:trHeight w:val="600" w:hRule="atLeast"/>
        </w:trPr>
        <w:tc>
          <w:tcPr>
            <w:tcW w:w="10470"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方正小标宋_GBK" w:hAnsi="方正小标宋_GBK" w:eastAsia="方正小标宋_GBK" w:cs="方正小标宋_GBK"/>
                <w:color w:val="000000"/>
                <w:sz w:val="36"/>
                <w:szCs w:val="36"/>
              </w:rPr>
            </w:pPr>
            <w:r>
              <w:rPr>
                <w:rFonts w:hint="default" w:ascii="方正小标宋_GBK" w:hAnsi="方正小标宋_GBK" w:eastAsia="方正小标宋_GBK" w:cs="方正小标宋_GBK"/>
                <w:i w:val="0"/>
                <w:iCs w:val="0"/>
                <w:color w:val="000000"/>
                <w:kern w:val="0"/>
                <w:sz w:val="44"/>
                <w:szCs w:val="44"/>
                <w:u w:val="none"/>
                <w:lang w:val="en-US" w:eastAsia="zh-CN" w:bidi="ar"/>
              </w:rPr>
              <w:t>2021年部门（单位）整体绩效目标表</w:t>
            </w:r>
          </w:p>
        </w:tc>
      </w:tr>
      <w:tr>
        <w:tblPrEx>
          <w:tblCellMar>
            <w:top w:w="0" w:type="dxa"/>
            <w:left w:w="108" w:type="dxa"/>
            <w:bottom w:w="0" w:type="dxa"/>
            <w:right w:w="108" w:type="dxa"/>
          </w:tblCellMar>
        </w:tblPrEx>
        <w:trPr>
          <w:trHeight w:val="600" w:hRule="atLeast"/>
        </w:trPr>
        <w:tc>
          <w:tcPr>
            <w:tcW w:w="14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方正仿宋_GBK" w:hAnsi="方正仿宋_GBK" w:eastAsia="方正仿宋_GBK" w:cs="方正仿宋_GBK"/>
                <w:color w:val="000000"/>
                <w:sz w:val="18"/>
                <w:szCs w:val="18"/>
              </w:rPr>
            </w:pPr>
            <w:r>
              <w:rPr>
                <w:rFonts w:hint="eastAsia" w:ascii="宋体" w:hAnsi="宋体" w:eastAsia="宋体" w:cs="宋体"/>
                <w:i w:val="0"/>
                <w:iCs w:val="0"/>
                <w:color w:val="000000"/>
                <w:kern w:val="0"/>
                <w:sz w:val="24"/>
                <w:szCs w:val="24"/>
                <w:u w:val="none"/>
                <w:lang w:val="en-US" w:eastAsia="zh-CN" w:bidi="ar"/>
              </w:rPr>
              <w:t>部门(单位)</w:t>
            </w:r>
          </w:p>
        </w:tc>
        <w:tc>
          <w:tcPr>
            <w:tcW w:w="498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方正仿宋_GBK" w:hAnsi="方正仿宋_GBK" w:eastAsia="方正仿宋_GBK" w:cs="方正仿宋_GBK"/>
                <w:color w:val="000000"/>
                <w:sz w:val="18"/>
                <w:szCs w:val="18"/>
              </w:rPr>
            </w:pPr>
            <w:r>
              <w:rPr>
                <w:rFonts w:hint="eastAsia" w:ascii="宋体" w:hAnsi="宋体" w:eastAsia="宋体" w:cs="宋体"/>
                <w:i w:val="0"/>
                <w:iCs w:val="0"/>
                <w:color w:val="000000"/>
                <w:kern w:val="0"/>
                <w:sz w:val="24"/>
                <w:szCs w:val="24"/>
                <w:u w:val="none"/>
                <w:lang w:val="en-US" w:eastAsia="zh-CN" w:bidi="ar"/>
              </w:rPr>
              <w:t>重庆市潼南区人民政府大佛街道办事处</w:t>
            </w:r>
          </w:p>
        </w:tc>
        <w:tc>
          <w:tcPr>
            <w:tcW w:w="15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color w:val="000000"/>
                <w:sz w:val="20"/>
                <w:szCs w:val="20"/>
              </w:rPr>
            </w:pPr>
            <w:r>
              <w:rPr>
                <w:rFonts w:hint="eastAsia" w:ascii="宋体" w:hAnsi="宋体" w:eastAsia="宋体" w:cs="宋体"/>
                <w:i w:val="0"/>
                <w:iCs w:val="0"/>
                <w:color w:val="000000"/>
                <w:kern w:val="0"/>
                <w:sz w:val="24"/>
                <w:szCs w:val="24"/>
                <w:u w:val="none"/>
                <w:lang w:val="en-US" w:eastAsia="zh-CN" w:bidi="ar"/>
              </w:rPr>
              <w:t>预算支出总量(万元)</w:t>
            </w:r>
          </w:p>
        </w:tc>
        <w:tc>
          <w:tcPr>
            <w:tcW w:w="249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方正仿宋_GBK" w:hAnsi="方正仿宋_GBK" w:eastAsia="方正仿宋_GBK" w:cs="方正仿宋_GBK"/>
                <w:color w:val="000000"/>
                <w:sz w:val="18"/>
                <w:szCs w:val="18"/>
              </w:rPr>
            </w:pPr>
            <w:r>
              <w:rPr>
                <w:rFonts w:hint="eastAsia" w:ascii="宋体" w:hAnsi="宋体" w:eastAsia="宋体" w:cs="宋体"/>
                <w:i w:val="0"/>
                <w:iCs w:val="0"/>
                <w:color w:val="000000"/>
                <w:kern w:val="0"/>
                <w:sz w:val="24"/>
                <w:szCs w:val="24"/>
                <w:u w:val="none"/>
                <w:lang w:val="en-US" w:eastAsia="zh-CN" w:bidi="ar"/>
              </w:rPr>
              <w:t>1776.99</w:t>
            </w:r>
          </w:p>
        </w:tc>
      </w:tr>
      <w:tr>
        <w:tblPrEx>
          <w:tblCellMar>
            <w:top w:w="0" w:type="dxa"/>
            <w:left w:w="108" w:type="dxa"/>
            <w:bottom w:w="0" w:type="dxa"/>
            <w:right w:w="108" w:type="dxa"/>
          </w:tblCellMar>
        </w:tblPrEx>
        <w:trPr>
          <w:trHeight w:val="600" w:hRule="atLeast"/>
        </w:trPr>
        <w:tc>
          <w:tcPr>
            <w:tcW w:w="14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方正仿宋_GBK" w:hAnsi="方正仿宋_GBK" w:eastAsia="方正仿宋_GBK" w:cs="方正仿宋_GBK"/>
                <w:color w:val="000000"/>
                <w:sz w:val="18"/>
                <w:szCs w:val="18"/>
              </w:rPr>
            </w:pPr>
            <w:r>
              <w:rPr>
                <w:rFonts w:hint="eastAsia" w:ascii="宋体" w:hAnsi="宋体" w:eastAsia="宋体" w:cs="宋体"/>
                <w:i w:val="0"/>
                <w:iCs w:val="0"/>
                <w:color w:val="000000"/>
                <w:kern w:val="0"/>
                <w:sz w:val="24"/>
                <w:szCs w:val="24"/>
                <w:u w:val="none"/>
                <w:lang w:val="en-US" w:eastAsia="zh-CN" w:bidi="ar"/>
              </w:rPr>
              <w:t>当年整体绩效目标</w:t>
            </w:r>
          </w:p>
        </w:tc>
        <w:tc>
          <w:tcPr>
            <w:tcW w:w="9064"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firstLine="480" w:firstLineChars="200"/>
              <w:jc w:val="both"/>
              <w:textAlignment w:val="center"/>
              <w:rPr>
                <w:rFonts w:ascii="方正仿宋_GBK" w:hAnsi="方正仿宋_GBK" w:eastAsia="方正仿宋_GBK" w:cs="方正仿宋_GBK"/>
                <w:color w:val="000000"/>
                <w:sz w:val="18"/>
                <w:szCs w:val="18"/>
              </w:rPr>
            </w:pPr>
            <w:r>
              <w:rPr>
                <w:rFonts w:hint="eastAsia" w:ascii="宋体" w:hAnsi="宋体" w:eastAsia="宋体" w:cs="宋体"/>
                <w:i w:val="0"/>
                <w:iCs w:val="0"/>
                <w:color w:val="000000"/>
                <w:kern w:val="0"/>
                <w:sz w:val="24"/>
                <w:szCs w:val="24"/>
                <w:u w:val="none"/>
                <w:lang w:val="en-US" w:eastAsia="zh-CN" w:bidi="ar"/>
              </w:rPr>
              <w:t>本年预算总支出1776.99万元，其中基本支出1038.70万元，项目支出738.29万元，，维持街道和代管村居正常运转，做好辖区内的基础设施建设，环境卫生监督、管理、服务工作；负责辖区内维护稳定及社会治安综合治理、安全生产监督工作；负责村（社区）建设和管理，指导开展村（社区）服务工作，并指导和帮助村（居）民委员会搞好组织建设和制度建设，发挥村（居）民委员会的群众自治作用；开展劳动就业、社会保障工作；配合有关部门做好防汛、防风、防火、防震、抢险、救灾工作；办理人民群众的来信、来访事项，并承办区委区政府交办的其他工作。</w:t>
            </w:r>
          </w:p>
        </w:tc>
      </w:tr>
      <w:tr>
        <w:tblPrEx>
          <w:tblCellMar>
            <w:top w:w="0" w:type="dxa"/>
            <w:left w:w="108" w:type="dxa"/>
            <w:bottom w:w="0" w:type="dxa"/>
            <w:right w:w="108" w:type="dxa"/>
          </w:tblCellMar>
        </w:tblPrEx>
        <w:trPr>
          <w:trHeight w:val="600" w:hRule="atLeast"/>
        </w:trPr>
        <w:tc>
          <w:tcPr>
            <w:tcW w:w="140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方正仿宋_GBK" w:hAnsi="方正仿宋_GBK" w:eastAsia="方正仿宋_GBK" w:cs="方正仿宋_GBK"/>
                <w:color w:val="000000"/>
                <w:sz w:val="18"/>
                <w:szCs w:val="18"/>
              </w:rPr>
            </w:pPr>
            <w:r>
              <w:rPr>
                <w:rFonts w:hint="eastAsia" w:ascii="宋体" w:hAnsi="宋体" w:eastAsia="宋体" w:cs="宋体"/>
                <w:i w:val="0"/>
                <w:iCs w:val="0"/>
                <w:color w:val="000000"/>
                <w:kern w:val="0"/>
                <w:sz w:val="24"/>
                <w:szCs w:val="24"/>
                <w:u w:val="none"/>
                <w:lang w:val="en-US" w:eastAsia="zh-CN" w:bidi="ar"/>
              </w:rPr>
              <w:t>绩效指标</w:t>
            </w:r>
          </w:p>
        </w:tc>
        <w:tc>
          <w:tcPr>
            <w:tcW w:w="37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color w:val="000000"/>
                <w:sz w:val="20"/>
                <w:szCs w:val="20"/>
              </w:rPr>
            </w:pPr>
            <w:r>
              <w:rPr>
                <w:rFonts w:hint="eastAsia" w:ascii="宋体" w:hAnsi="宋体" w:eastAsia="宋体" w:cs="宋体"/>
                <w:i w:val="0"/>
                <w:iCs w:val="0"/>
                <w:color w:val="000000"/>
                <w:kern w:val="0"/>
                <w:sz w:val="24"/>
                <w:szCs w:val="24"/>
                <w:u w:val="none"/>
                <w:lang w:val="en-US" w:eastAsia="zh-CN" w:bidi="ar"/>
              </w:rPr>
              <w:t>指标</w:t>
            </w:r>
          </w:p>
        </w:tc>
        <w:tc>
          <w:tcPr>
            <w:tcW w:w="11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方正仿宋_GBK" w:hAnsi="方正仿宋_GBK" w:eastAsia="方正仿宋_GBK" w:cs="方正仿宋_GBK"/>
                <w:color w:val="000000"/>
                <w:sz w:val="18"/>
                <w:szCs w:val="18"/>
              </w:rPr>
            </w:pPr>
            <w:r>
              <w:rPr>
                <w:rFonts w:hint="eastAsia" w:ascii="宋体" w:hAnsi="宋体" w:eastAsia="宋体" w:cs="宋体"/>
                <w:i w:val="0"/>
                <w:iCs w:val="0"/>
                <w:color w:val="000000"/>
                <w:kern w:val="0"/>
                <w:sz w:val="24"/>
                <w:szCs w:val="24"/>
                <w:u w:val="none"/>
                <w:lang w:val="en-US" w:eastAsia="zh-CN" w:bidi="ar"/>
              </w:rPr>
              <w:t>指标权重</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方正仿宋_GBK" w:hAnsi="方正仿宋_GBK" w:eastAsia="方正仿宋_GBK" w:cs="方正仿宋_GBK"/>
                <w:color w:val="000000"/>
                <w:sz w:val="18"/>
                <w:szCs w:val="18"/>
              </w:rPr>
            </w:pPr>
            <w:r>
              <w:rPr>
                <w:rFonts w:hint="eastAsia" w:ascii="宋体" w:hAnsi="宋体" w:eastAsia="宋体" w:cs="宋体"/>
                <w:i w:val="0"/>
                <w:iCs w:val="0"/>
                <w:color w:val="000000"/>
                <w:kern w:val="0"/>
                <w:sz w:val="24"/>
                <w:szCs w:val="24"/>
                <w:u w:val="none"/>
                <w:lang w:val="en-US" w:eastAsia="zh-CN" w:bidi="ar"/>
              </w:rPr>
              <w:t>计量单位</w:t>
            </w:r>
          </w:p>
        </w:tc>
        <w:tc>
          <w:tcPr>
            <w:tcW w:w="12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方正仿宋_GBK" w:hAnsi="方正仿宋_GBK" w:eastAsia="方正仿宋_GBK" w:cs="方正仿宋_GBK"/>
                <w:color w:val="000000"/>
                <w:sz w:val="18"/>
                <w:szCs w:val="18"/>
              </w:rPr>
            </w:pPr>
            <w:r>
              <w:rPr>
                <w:rFonts w:hint="eastAsia" w:ascii="宋体" w:hAnsi="宋体" w:eastAsia="宋体" w:cs="宋体"/>
                <w:i w:val="0"/>
                <w:iCs w:val="0"/>
                <w:color w:val="000000"/>
                <w:kern w:val="0"/>
                <w:sz w:val="24"/>
                <w:szCs w:val="24"/>
                <w:u w:val="none"/>
                <w:lang w:val="en-US" w:eastAsia="zh-CN" w:bidi="ar"/>
              </w:rPr>
              <w:t>指标性质</w:t>
            </w:r>
          </w:p>
        </w:tc>
        <w:tc>
          <w:tcPr>
            <w:tcW w:w="12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4"/>
                <w:szCs w:val="24"/>
                <w:u w:val="none"/>
                <w:lang w:val="en-US" w:eastAsia="zh-CN" w:bidi="ar"/>
              </w:rPr>
              <w:t>指标值</w:t>
            </w:r>
          </w:p>
        </w:tc>
      </w:tr>
      <w:tr>
        <w:tblPrEx>
          <w:tblCellMar>
            <w:top w:w="0" w:type="dxa"/>
            <w:left w:w="108" w:type="dxa"/>
            <w:bottom w:w="0" w:type="dxa"/>
            <w:right w:w="108" w:type="dxa"/>
          </w:tblCellMar>
        </w:tblPrEx>
        <w:trPr>
          <w:trHeight w:val="600" w:hRule="atLeast"/>
        </w:trPr>
        <w:tc>
          <w:tcPr>
            <w:tcW w:w="140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方正仿宋_GBK" w:hAnsi="方正仿宋_GBK" w:eastAsia="方正仿宋_GBK" w:cs="方正仿宋_GBK"/>
                <w:color w:val="000000"/>
                <w:sz w:val="18"/>
                <w:szCs w:val="18"/>
              </w:rPr>
            </w:pPr>
          </w:p>
        </w:tc>
        <w:tc>
          <w:tcPr>
            <w:tcW w:w="3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方正仿宋_GBK" w:hAnsi="方正仿宋_GBK" w:eastAsia="方正仿宋_GBK" w:cs="方正仿宋_GBK"/>
                <w:color w:val="000000"/>
                <w:sz w:val="18"/>
                <w:szCs w:val="18"/>
              </w:rPr>
            </w:pPr>
            <w:r>
              <w:rPr>
                <w:rFonts w:hint="eastAsia" w:ascii="宋体" w:hAnsi="宋体" w:eastAsia="宋体" w:cs="宋体"/>
                <w:i w:val="0"/>
                <w:iCs w:val="0"/>
                <w:color w:val="000000"/>
                <w:kern w:val="0"/>
                <w:sz w:val="21"/>
                <w:szCs w:val="21"/>
                <w:u w:val="none"/>
                <w:lang w:val="en-US" w:eastAsia="zh-CN" w:bidi="ar"/>
              </w:rPr>
              <w:t>每年救助城乡困难群众人次</w:t>
            </w:r>
          </w:p>
        </w:tc>
        <w:tc>
          <w:tcPr>
            <w:tcW w:w="11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方正仿宋_GBK" w:hAnsi="方正仿宋_GBK" w:eastAsia="方正仿宋_GBK" w:cs="方正仿宋_GBK"/>
                <w:color w:val="000000"/>
                <w:sz w:val="18"/>
                <w:szCs w:val="18"/>
              </w:rPr>
            </w:pPr>
            <w:r>
              <w:rPr>
                <w:rFonts w:hint="default" w:ascii="Times New Roman" w:hAnsi="Times New Roman" w:eastAsia="宋体" w:cs="Times New Roman"/>
                <w:i w:val="0"/>
                <w:iCs w:val="0"/>
                <w:color w:val="000000"/>
                <w:kern w:val="0"/>
                <w:sz w:val="21"/>
                <w:szCs w:val="21"/>
                <w:u w:val="none"/>
                <w:lang w:val="en-US" w:eastAsia="zh-CN" w:bidi="ar"/>
              </w:rPr>
              <w:t>10</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方正仿宋_GBK" w:hAnsi="方正仿宋_GBK" w:eastAsia="方正仿宋_GBK" w:cs="方正仿宋_GBK"/>
                <w:color w:val="000000"/>
                <w:sz w:val="18"/>
                <w:szCs w:val="18"/>
              </w:rPr>
            </w:pPr>
            <w:r>
              <w:rPr>
                <w:rFonts w:hint="default" w:ascii="Courier New" w:hAnsi="Courier New" w:eastAsia="宋体" w:cs="Courier New"/>
                <w:i w:val="0"/>
                <w:iCs w:val="0"/>
                <w:color w:val="000000"/>
                <w:kern w:val="0"/>
                <w:sz w:val="21"/>
                <w:szCs w:val="21"/>
                <w:u w:val="none"/>
                <w:lang w:val="en-US" w:eastAsia="zh-CN" w:bidi="ar"/>
              </w:rPr>
              <w:t>次　</w:t>
            </w:r>
          </w:p>
        </w:tc>
        <w:tc>
          <w:tcPr>
            <w:tcW w:w="12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方正仿宋_GBK" w:hAnsi="方正仿宋_GBK" w:eastAsia="方正仿宋_GBK" w:cs="方正仿宋_GBK"/>
                <w:color w:val="000000"/>
                <w:sz w:val="18"/>
                <w:szCs w:val="18"/>
              </w:rPr>
            </w:pPr>
            <w:r>
              <w:rPr>
                <w:rFonts w:hint="default" w:ascii="Times New Roman" w:hAnsi="Times New Roman" w:eastAsia="宋体" w:cs="Times New Roman"/>
                <w:i w:val="0"/>
                <w:iCs w:val="0"/>
                <w:color w:val="000000"/>
                <w:kern w:val="0"/>
                <w:sz w:val="21"/>
                <w:szCs w:val="21"/>
                <w:u w:val="none"/>
                <w:lang w:val="en-US" w:eastAsia="zh-CN" w:bidi="ar"/>
              </w:rPr>
              <w:t>　≥　</w:t>
            </w:r>
          </w:p>
        </w:tc>
        <w:tc>
          <w:tcPr>
            <w:tcW w:w="12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300</w:t>
            </w:r>
          </w:p>
        </w:tc>
      </w:tr>
      <w:tr>
        <w:tblPrEx>
          <w:tblCellMar>
            <w:top w:w="0" w:type="dxa"/>
            <w:left w:w="108" w:type="dxa"/>
            <w:bottom w:w="0" w:type="dxa"/>
            <w:right w:w="108" w:type="dxa"/>
          </w:tblCellMar>
        </w:tblPrEx>
        <w:trPr>
          <w:trHeight w:val="600" w:hRule="atLeast"/>
        </w:trPr>
        <w:tc>
          <w:tcPr>
            <w:tcW w:w="140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方正仿宋_GBK" w:hAnsi="方正仿宋_GBK" w:eastAsia="方正仿宋_GBK" w:cs="方正仿宋_GBK"/>
                <w:color w:val="000000"/>
                <w:sz w:val="18"/>
                <w:szCs w:val="18"/>
              </w:rPr>
            </w:pPr>
          </w:p>
        </w:tc>
        <w:tc>
          <w:tcPr>
            <w:tcW w:w="3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方正仿宋_GBK" w:hAnsi="方正仿宋_GBK" w:eastAsia="方正仿宋_GBK" w:cs="方正仿宋_GBK"/>
                <w:color w:val="000000"/>
                <w:sz w:val="18"/>
                <w:szCs w:val="18"/>
              </w:rPr>
            </w:pPr>
            <w:r>
              <w:rPr>
                <w:rFonts w:hint="eastAsia" w:ascii="宋体" w:hAnsi="宋体" w:eastAsia="宋体" w:cs="宋体"/>
                <w:i w:val="0"/>
                <w:iCs w:val="0"/>
                <w:color w:val="000000"/>
                <w:kern w:val="0"/>
                <w:sz w:val="21"/>
                <w:szCs w:val="21"/>
                <w:u w:val="none"/>
                <w:lang w:val="en-US" w:eastAsia="zh-CN" w:bidi="ar"/>
              </w:rPr>
              <w:t>每年救助精神障碍患者人次</w:t>
            </w:r>
          </w:p>
        </w:tc>
        <w:tc>
          <w:tcPr>
            <w:tcW w:w="11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方正仿宋_GBK" w:hAnsi="方正仿宋_GBK" w:eastAsia="方正仿宋_GBK" w:cs="方正仿宋_GBK"/>
                <w:color w:val="000000"/>
                <w:sz w:val="18"/>
                <w:szCs w:val="18"/>
              </w:rPr>
            </w:pPr>
            <w:r>
              <w:rPr>
                <w:rFonts w:hint="default" w:ascii="Times New Roman" w:hAnsi="Times New Roman" w:eastAsia="宋体" w:cs="Times New Roman"/>
                <w:i w:val="0"/>
                <w:iCs w:val="0"/>
                <w:color w:val="000000"/>
                <w:kern w:val="0"/>
                <w:sz w:val="21"/>
                <w:szCs w:val="21"/>
                <w:u w:val="none"/>
                <w:lang w:val="en-US" w:eastAsia="zh-CN" w:bidi="ar"/>
              </w:rPr>
              <w:t>5</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次　</w:t>
            </w:r>
          </w:p>
        </w:tc>
        <w:tc>
          <w:tcPr>
            <w:tcW w:w="12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　</w:t>
            </w:r>
          </w:p>
        </w:tc>
        <w:tc>
          <w:tcPr>
            <w:tcW w:w="12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20</w:t>
            </w:r>
          </w:p>
        </w:tc>
      </w:tr>
      <w:tr>
        <w:tblPrEx>
          <w:tblCellMar>
            <w:top w:w="0" w:type="dxa"/>
            <w:left w:w="108" w:type="dxa"/>
            <w:bottom w:w="0" w:type="dxa"/>
            <w:right w:w="108" w:type="dxa"/>
          </w:tblCellMar>
        </w:tblPrEx>
        <w:trPr>
          <w:trHeight w:val="2970" w:hRule="atLeast"/>
        </w:trPr>
        <w:tc>
          <w:tcPr>
            <w:tcW w:w="140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方正仿宋_GBK" w:hAnsi="方正仿宋_GBK" w:eastAsia="方正仿宋_GBK" w:cs="方正仿宋_GBK"/>
                <w:color w:val="000000"/>
                <w:sz w:val="18"/>
                <w:szCs w:val="18"/>
              </w:rPr>
            </w:pPr>
          </w:p>
        </w:tc>
        <w:tc>
          <w:tcPr>
            <w:tcW w:w="3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方正仿宋_GBK" w:hAnsi="方正仿宋_GBK" w:eastAsia="方正仿宋_GBK" w:cs="方正仿宋_GBK"/>
                <w:color w:val="000000"/>
                <w:sz w:val="18"/>
                <w:szCs w:val="18"/>
              </w:rPr>
            </w:pPr>
            <w:r>
              <w:rPr>
                <w:rFonts w:hint="eastAsia" w:ascii="宋体" w:hAnsi="宋体" w:eastAsia="宋体" w:cs="宋体"/>
                <w:i w:val="0"/>
                <w:iCs w:val="0"/>
                <w:color w:val="000000"/>
                <w:kern w:val="0"/>
                <w:sz w:val="21"/>
                <w:szCs w:val="21"/>
                <w:u w:val="none"/>
                <w:lang w:val="en-US" w:eastAsia="zh-CN" w:bidi="ar"/>
              </w:rPr>
              <w:t>大佛街道正常运转天数</w:t>
            </w:r>
          </w:p>
        </w:tc>
        <w:tc>
          <w:tcPr>
            <w:tcW w:w="11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方正仿宋_GBK" w:hAnsi="方正仿宋_GBK" w:eastAsia="方正仿宋_GBK" w:cs="方正仿宋_GBK"/>
                <w:color w:val="000000"/>
                <w:sz w:val="18"/>
                <w:szCs w:val="18"/>
              </w:rPr>
            </w:pPr>
            <w:r>
              <w:rPr>
                <w:rFonts w:hint="default" w:ascii="Times New Roman" w:hAnsi="Times New Roman" w:eastAsia="宋体" w:cs="Times New Roman"/>
                <w:i w:val="0"/>
                <w:iCs w:val="0"/>
                <w:color w:val="000000"/>
                <w:kern w:val="0"/>
                <w:sz w:val="21"/>
                <w:szCs w:val="21"/>
                <w:u w:val="none"/>
                <w:lang w:val="en-US" w:eastAsia="zh-CN" w:bidi="ar"/>
              </w:rPr>
              <w:t>35</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天</w:t>
            </w:r>
          </w:p>
        </w:tc>
        <w:tc>
          <w:tcPr>
            <w:tcW w:w="12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w:t>
            </w:r>
          </w:p>
        </w:tc>
        <w:tc>
          <w:tcPr>
            <w:tcW w:w="12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365</w:t>
            </w:r>
          </w:p>
        </w:tc>
      </w:tr>
      <w:tr>
        <w:tblPrEx>
          <w:tblCellMar>
            <w:top w:w="0" w:type="dxa"/>
            <w:left w:w="108" w:type="dxa"/>
            <w:bottom w:w="0" w:type="dxa"/>
            <w:right w:w="108" w:type="dxa"/>
          </w:tblCellMar>
        </w:tblPrEx>
        <w:trPr>
          <w:trHeight w:val="1422" w:hRule="atLeast"/>
        </w:trPr>
        <w:tc>
          <w:tcPr>
            <w:tcW w:w="140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方正仿宋_GBK" w:hAnsi="方正仿宋_GBK" w:eastAsia="方正仿宋_GBK" w:cs="方正仿宋_GBK"/>
                <w:color w:val="000000"/>
                <w:sz w:val="18"/>
                <w:szCs w:val="18"/>
              </w:rPr>
            </w:pPr>
          </w:p>
        </w:tc>
        <w:tc>
          <w:tcPr>
            <w:tcW w:w="3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方正仿宋_GBK" w:hAnsi="方正仿宋_GBK" w:eastAsia="方正仿宋_GBK" w:cs="方正仿宋_GBK"/>
                <w:color w:val="000000"/>
                <w:sz w:val="18"/>
                <w:szCs w:val="18"/>
              </w:rPr>
            </w:pPr>
            <w:r>
              <w:rPr>
                <w:rFonts w:hint="eastAsia" w:ascii="宋体" w:hAnsi="宋体" w:eastAsia="宋体" w:cs="宋体"/>
                <w:i w:val="0"/>
                <w:iCs w:val="0"/>
                <w:color w:val="000000"/>
                <w:kern w:val="0"/>
                <w:sz w:val="21"/>
                <w:szCs w:val="21"/>
                <w:u w:val="none"/>
                <w:lang w:val="en-US" w:eastAsia="zh-CN" w:bidi="ar"/>
              </w:rPr>
              <w:t>全年正常运转的村居数</w:t>
            </w:r>
          </w:p>
        </w:tc>
        <w:tc>
          <w:tcPr>
            <w:tcW w:w="11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方正仿宋_GBK" w:hAnsi="方正仿宋_GBK" w:eastAsia="方正仿宋_GBK" w:cs="方正仿宋_GBK"/>
                <w:color w:val="000000"/>
                <w:sz w:val="18"/>
                <w:szCs w:val="18"/>
              </w:rPr>
            </w:pPr>
            <w:r>
              <w:rPr>
                <w:rFonts w:hint="default" w:ascii="Times New Roman" w:hAnsi="Times New Roman" w:eastAsia="宋体" w:cs="Times New Roman"/>
                <w:i w:val="0"/>
                <w:iCs w:val="0"/>
                <w:color w:val="000000"/>
                <w:kern w:val="0"/>
                <w:sz w:val="21"/>
                <w:szCs w:val="21"/>
                <w:u w:val="none"/>
                <w:lang w:val="en-US" w:eastAsia="zh-CN" w:bidi="ar"/>
              </w:rPr>
              <w:t>15</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方正仿宋_GBK" w:hAnsi="方正仿宋_GBK" w:eastAsia="方正仿宋_GBK" w:cs="方正仿宋_GBK"/>
                <w:color w:val="000000"/>
                <w:sz w:val="18"/>
                <w:szCs w:val="18"/>
              </w:rPr>
            </w:pPr>
            <w:r>
              <w:rPr>
                <w:rFonts w:hint="default" w:ascii="Times New Roman" w:hAnsi="Times New Roman" w:eastAsia="宋体" w:cs="Times New Roman"/>
                <w:i w:val="0"/>
                <w:iCs w:val="0"/>
                <w:color w:val="000000"/>
                <w:kern w:val="0"/>
                <w:sz w:val="21"/>
                <w:szCs w:val="21"/>
                <w:u w:val="none"/>
                <w:lang w:val="en-US" w:eastAsia="zh-CN" w:bidi="ar"/>
              </w:rPr>
              <w:t>天</w:t>
            </w:r>
          </w:p>
        </w:tc>
        <w:tc>
          <w:tcPr>
            <w:tcW w:w="12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方正仿宋_GBK" w:hAnsi="方正仿宋_GBK" w:eastAsia="方正仿宋_GBK" w:cs="方正仿宋_GBK"/>
                <w:color w:val="000000"/>
                <w:sz w:val="18"/>
                <w:szCs w:val="18"/>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2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方正仿宋_GBK" w:hAnsi="方正仿宋_GBK" w:eastAsia="方正仿宋_GBK" w:cs="方正仿宋_GBK"/>
                <w:color w:val="000000"/>
                <w:sz w:val="18"/>
                <w:szCs w:val="18"/>
              </w:rPr>
            </w:pPr>
            <w:r>
              <w:rPr>
                <w:rFonts w:hint="default" w:ascii="Times New Roman" w:hAnsi="Times New Roman" w:eastAsia="宋体" w:cs="Times New Roman"/>
                <w:i w:val="0"/>
                <w:iCs w:val="0"/>
                <w:color w:val="000000"/>
                <w:kern w:val="0"/>
                <w:sz w:val="21"/>
                <w:szCs w:val="21"/>
                <w:u w:val="none"/>
                <w:lang w:val="en-US" w:eastAsia="zh-CN" w:bidi="ar"/>
              </w:rPr>
              <w:t>11</w:t>
            </w:r>
          </w:p>
        </w:tc>
      </w:tr>
      <w:tr>
        <w:tblPrEx>
          <w:tblCellMar>
            <w:top w:w="0" w:type="dxa"/>
            <w:left w:w="108" w:type="dxa"/>
            <w:bottom w:w="0" w:type="dxa"/>
            <w:right w:w="108" w:type="dxa"/>
          </w:tblCellMar>
        </w:tblPrEx>
        <w:trPr>
          <w:trHeight w:val="522" w:hRule="atLeast"/>
        </w:trPr>
        <w:tc>
          <w:tcPr>
            <w:tcW w:w="140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方正仿宋_GBK" w:hAnsi="方正仿宋_GBK" w:eastAsia="方正仿宋_GBK" w:cs="方正仿宋_GBK"/>
                <w:color w:val="000000"/>
                <w:sz w:val="18"/>
                <w:szCs w:val="18"/>
              </w:rPr>
            </w:pPr>
          </w:p>
        </w:tc>
        <w:tc>
          <w:tcPr>
            <w:tcW w:w="3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方正仿宋_GBK" w:hAnsi="方正仿宋_GBK" w:eastAsia="方正仿宋_GBK" w:cs="方正仿宋_GBK"/>
                <w:color w:val="000000"/>
                <w:sz w:val="24"/>
              </w:rPr>
            </w:pPr>
            <w:r>
              <w:rPr>
                <w:rFonts w:hint="eastAsia" w:ascii="宋体" w:hAnsi="宋体" w:eastAsia="宋体" w:cs="宋体"/>
                <w:i w:val="0"/>
                <w:iCs w:val="0"/>
                <w:color w:val="000000"/>
                <w:kern w:val="0"/>
                <w:sz w:val="21"/>
                <w:szCs w:val="21"/>
                <w:u w:val="none"/>
                <w:lang w:val="en-US" w:eastAsia="zh-CN" w:bidi="ar"/>
              </w:rPr>
              <w:t>零星基础设施维修维护数</w:t>
            </w:r>
          </w:p>
        </w:tc>
        <w:tc>
          <w:tcPr>
            <w:tcW w:w="11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方正仿宋_GBK" w:hAnsi="方正仿宋_GBK" w:eastAsia="方正仿宋_GBK" w:cs="方正仿宋_GBK"/>
                <w:color w:val="000000"/>
                <w:sz w:val="18"/>
                <w:szCs w:val="18"/>
              </w:rPr>
            </w:pPr>
            <w:r>
              <w:rPr>
                <w:rFonts w:hint="default" w:ascii="Times New Roman" w:hAnsi="Times New Roman" w:eastAsia="宋体" w:cs="Times New Roman"/>
                <w:i w:val="0"/>
                <w:iCs w:val="0"/>
                <w:color w:val="000000"/>
                <w:kern w:val="0"/>
                <w:sz w:val="21"/>
                <w:szCs w:val="21"/>
                <w:u w:val="none"/>
                <w:lang w:val="en-US" w:eastAsia="zh-CN" w:bidi="ar"/>
              </w:rPr>
              <w:t>15</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方正仿宋_GBK" w:hAnsi="方正仿宋_GBK" w:eastAsia="方正仿宋_GBK" w:cs="方正仿宋_GBK"/>
                <w:color w:val="000000"/>
                <w:sz w:val="18"/>
                <w:szCs w:val="18"/>
              </w:rPr>
            </w:pPr>
            <w:r>
              <w:rPr>
                <w:rFonts w:hint="default" w:ascii="Times New Roman" w:hAnsi="Times New Roman" w:eastAsia="宋体" w:cs="Times New Roman"/>
                <w:i w:val="0"/>
                <w:iCs w:val="0"/>
                <w:color w:val="000000"/>
                <w:kern w:val="0"/>
                <w:sz w:val="21"/>
                <w:szCs w:val="21"/>
                <w:u w:val="none"/>
                <w:lang w:val="en-US" w:eastAsia="zh-CN" w:bidi="ar"/>
              </w:rPr>
              <w:t>次　</w:t>
            </w:r>
          </w:p>
        </w:tc>
        <w:tc>
          <w:tcPr>
            <w:tcW w:w="12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方正仿宋_GBK" w:hAnsi="方正仿宋_GBK" w:eastAsia="方正仿宋_GBK" w:cs="方正仿宋_GBK"/>
                <w:color w:val="000000"/>
                <w:sz w:val="18"/>
                <w:szCs w:val="18"/>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2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方正仿宋_GBK" w:hAnsi="方正仿宋_GBK" w:eastAsia="方正仿宋_GBK" w:cs="方正仿宋_GBK"/>
                <w:color w:val="000000"/>
                <w:sz w:val="18"/>
                <w:szCs w:val="18"/>
              </w:rPr>
            </w:pPr>
            <w:r>
              <w:rPr>
                <w:rFonts w:hint="default" w:ascii="Times New Roman" w:hAnsi="Times New Roman" w:eastAsia="宋体" w:cs="Times New Roman"/>
                <w:i w:val="0"/>
                <w:iCs w:val="0"/>
                <w:color w:val="000000"/>
                <w:kern w:val="0"/>
                <w:sz w:val="21"/>
                <w:szCs w:val="21"/>
                <w:u w:val="none"/>
                <w:lang w:val="en-US" w:eastAsia="zh-CN" w:bidi="ar"/>
              </w:rPr>
              <w:t>15</w:t>
            </w:r>
          </w:p>
        </w:tc>
      </w:tr>
      <w:tr>
        <w:tblPrEx>
          <w:tblCellMar>
            <w:top w:w="0" w:type="dxa"/>
            <w:left w:w="108" w:type="dxa"/>
            <w:bottom w:w="0" w:type="dxa"/>
            <w:right w:w="108" w:type="dxa"/>
          </w:tblCellMar>
        </w:tblPrEx>
        <w:trPr>
          <w:trHeight w:val="522" w:hRule="atLeast"/>
        </w:trPr>
        <w:tc>
          <w:tcPr>
            <w:tcW w:w="140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方正仿宋_GBK" w:hAnsi="方正仿宋_GBK" w:eastAsia="方正仿宋_GBK" w:cs="方正仿宋_GBK"/>
                <w:color w:val="000000"/>
                <w:sz w:val="18"/>
                <w:szCs w:val="18"/>
              </w:rPr>
            </w:pPr>
          </w:p>
        </w:tc>
        <w:tc>
          <w:tcPr>
            <w:tcW w:w="3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方正仿宋_GBK" w:hAnsi="方正仿宋_GBK" w:eastAsia="方正仿宋_GBK" w:cs="方正仿宋_GBK"/>
                <w:color w:val="000000"/>
                <w:sz w:val="24"/>
              </w:rPr>
            </w:pPr>
            <w:r>
              <w:rPr>
                <w:rFonts w:hint="eastAsia" w:ascii="宋体" w:hAnsi="宋体" w:eastAsia="宋体" w:cs="宋体"/>
                <w:i w:val="0"/>
                <w:iCs w:val="0"/>
                <w:color w:val="000000"/>
                <w:kern w:val="0"/>
                <w:sz w:val="21"/>
                <w:szCs w:val="21"/>
                <w:u w:val="none"/>
                <w:lang w:val="en-US" w:eastAsia="zh-CN" w:bidi="ar"/>
              </w:rPr>
              <w:t>每年安全排危次数</w:t>
            </w:r>
          </w:p>
        </w:tc>
        <w:tc>
          <w:tcPr>
            <w:tcW w:w="11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方正仿宋_GBK" w:hAnsi="方正仿宋_GBK" w:eastAsia="方正仿宋_GBK" w:cs="方正仿宋_GBK"/>
                <w:color w:val="000000"/>
                <w:sz w:val="18"/>
                <w:szCs w:val="18"/>
              </w:rPr>
            </w:pPr>
            <w:r>
              <w:rPr>
                <w:rFonts w:hint="default" w:ascii="Times New Roman" w:hAnsi="Times New Roman" w:eastAsia="宋体" w:cs="Times New Roman"/>
                <w:i w:val="0"/>
                <w:iCs w:val="0"/>
                <w:color w:val="000000"/>
                <w:kern w:val="0"/>
                <w:sz w:val="21"/>
                <w:szCs w:val="21"/>
                <w:u w:val="none"/>
                <w:lang w:val="en-US" w:eastAsia="zh-CN" w:bidi="ar"/>
              </w:rPr>
              <w:t>10</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方正仿宋_GBK" w:hAnsi="方正仿宋_GBK" w:eastAsia="方正仿宋_GBK" w:cs="方正仿宋_GBK"/>
                <w:color w:val="000000"/>
                <w:sz w:val="18"/>
                <w:szCs w:val="18"/>
              </w:rPr>
            </w:pPr>
            <w:r>
              <w:rPr>
                <w:rFonts w:hint="default" w:ascii="Times New Roman" w:hAnsi="Times New Roman" w:eastAsia="宋体" w:cs="Times New Roman"/>
                <w:i w:val="0"/>
                <w:iCs w:val="0"/>
                <w:color w:val="000000"/>
                <w:kern w:val="0"/>
                <w:sz w:val="21"/>
                <w:szCs w:val="21"/>
                <w:u w:val="none"/>
                <w:lang w:val="en-US" w:eastAsia="zh-CN" w:bidi="ar"/>
              </w:rPr>
              <w:t>次　</w:t>
            </w:r>
          </w:p>
        </w:tc>
        <w:tc>
          <w:tcPr>
            <w:tcW w:w="12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方正仿宋_GBK" w:hAnsi="方正仿宋_GBK" w:eastAsia="方正仿宋_GBK" w:cs="方正仿宋_GBK"/>
                <w:color w:val="000000"/>
                <w:sz w:val="18"/>
                <w:szCs w:val="18"/>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2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方正仿宋_GBK" w:hAnsi="方正仿宋_GBK" w:eastAsia="方正仿宋_GBK" w:cs="方正仿宋_GBK"/>
                <w:color w:val="000000"/>
                <w:sz w:val="18"/>
                <w:szCs w:val="18"/>
              </w:rPr>
            </w:pPr>
            <w:r>
              <w:rPr>
                <w:rFonts w:hint="default" w:ascii="Times New Roman" w:hAnsi="Times New Roman" w:eastAsia="宋体" w:cs="Times New Roman"/>
                <w:i w:val="0"/>
                <w:iCs w:val="0"/>
                <w:color w:val="000000"/>
                <w:kern w:val="0"/>
                <w:sz w:val="21"/>
                <w:szCs w:val="21"/>
                <w:u w:val="none"/>
                <w:lang w:val="en-US" w:eastAsia="zh-CN" w:bidi="ar"/>
              </w:rPr>
              <w:t>30</w:t>
            </w:r>
          </w:p>
        </w:tc>
      </w:tr>
      <w:tr>
        <w:tblPrEx>
          <w:tblCellMar>
            <w:top w:w="0" w:type="dxa"/>
            <w:left w:w="108" w:type="dxa"/>
            <w:bottom w:w="0" w:type="dxa"/>
            <w:right w:w="108" w:type="dxa"/>
          </w:tblCellMar>
        </w:tblPrEx>
        <w:trPr>
          <w:trHeight w:val="522" w:hRule="atLeast"/>
        </w:trPr>
        <w:tc>
          <w:tcPr>
            <w:tcW w:w="140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方正仿宋_GBK" w:hAnsi="方正仿宋_GBK" w:eastAsia="方正仿宋_GBK" w:cs="方正仿宋_GBK"/>
                <w:color w:val="000000"/>
                <w:sz w:val="18"/>
                <w:szCs w:val="18"/>
              </w:rPr>
            </w:pPr>
          </w:p>
        </w:tc>
        <w:tc>
          <w:tcPr>
            <w:tcW w:w="3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方正仿宋_GBK" w:hAnsi="方正仿宋_GBK" w:eastAsia="方正仿宋_GBK" w:cs="方正仿宋_GBK"/>
                <w:color w:val="000000"/>
                <w:sz w:val="24"/>
              </w:rPr>
            </w:pPr>
            <w:r>
              <w:rPr>
                <w:rFonts w:hint="eastAsia" w:ascii="宋体" w:hAnsi="宋体" w:eastAsia="宋体" w:cs="宋体"/>
                <w:i w:val="0"/>
                <w:iCs w:val="0"/>
                <w:color w:val="000000"/>
                <w:kern w:val="0"/>
                <w:sz w:val="18"/>
                <w:szCs w:val="18"/>
                <w:u w:val="none"/>
                <w:lang w:val="en-US" w:eastAsia="zh-CN" w:bidi="ar"/>
              </w:rPr>
              <w:t>辖区内主要水域污染治理河流数</w:t>
            </w:r>
          </w:p>
        </w:tc>
        <w:tc>
          <w:tcPr>
            <w:tcW w:w="11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方正仿宋_GBK" w:hAnsi="方正仿宋_GBK" w:eastAsia="方正仿宋_GBK" w:cs="方正仿宋_GBK"/>
                <w:color w:val="000000"/>
                <w:sz w:val="18"/>
                <w:szCs w:val="18"/>
              </w:rPr>
            </w:pPr>
            <w:r>
              <w:rPr>
                <w:rFonts w:hint="default" w:ascii="Times New Roman" w:hAnsi="Times New Roman" w:eastAsia="宋体" w:cs="Times New Roman"/>
                <w:i w:val="0"/>
                <w:iCs w:val="0"/>
                <w:color w:val="000000"/>
                <w:kern w:val="0"/>
                <w:sz w:val="21"/>
                <w:szCs w:val="21"/>
                <w:u w:val="none"/>
                <w:lang w:val="en-US" w:eastAsia="zh-CN" w:bidi="ar"/>
              </w:rPr>
              <w:t>5</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方正仿宋_GBK" w:hAnsi="方正仿宋_GBK" w:eastAsia="方正仿宋_GBK" w:cs="方正仿宋_GBK"/>
                <w:color w:val="000000"/>
                <w:sz w:val="18"/>
                <w:szCs w:val="18"/>
              </w:rPr>
            </w:pPr>
            <w:r>
              <w:rPr>
                <w:rFonts w:hint="default" w:ascii="Times New Roman" w:hAnsi="Times New Roman" w:eastAsia="宋体" w:cs="Times New Roman"/>
                <w:i w:val="0"/>
                <w:iCs w:val="0"/>
                <w:color w:val="000000"/>
                <w:kern w:val="0"/>
                <w:sz w:val="21"/>
                <w:szCs w:val="21"/>
                <w:u w:val="none"/>
                <w:lang w:val="en-US" w:eastAsia="zh-CN" w:bidi="ar"/>
              </w:rPr>
              <w:t>条　</w:t>
            </w:r>
          </w:p>
        </w:tc>
        <w:tc>
          <w:tcPr>
            <w:tcW w:w="12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方正仿宋_GBK" w:hAnsi="方正仿宋_GBK" w:eastAsia="方正仿宋_GBK" w:cs="方正仿宋_GBK"/>
                <w:color w:val="000000"/>
                <w:sz w:val="18"/>
                <w:szCs w:val="18"/>
              </w:rPr>
            </w:pPr>
            <w:r>
              <w:rPr>
                <w:rStyle w:val="16"/>
                <w:rFonts w:eastAsia="宋体"/>
                <w:lang w:val="en-US" w:eastAsia="zh-CN" w:bidi="ar"/>
              </w:rPr>
              <w:t>　</w:t>
            </w:r>
            <w:r>
              <w:rPr>
                <w:rStyle w:val="17"/>
                <w:lang w:val="en-US" w:eastAsia="zh-CN" w:bidi="ar"/>
              </w:rPr>
              <w:t>≥</w:t>
            </w:r>
          </w:p>
        </w:tc>
        <w:tc>
          <w:tcPr>
            <w:tcW w:w="12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方正仿宋_GBK" w:hAnsi="方正仿宋_GBK" w:eastAsia="方正仿宋_GBK" w:cs="方正仿宋_GBK"/>
                <w:color w:val="000000"/>
                <w:sz w:val="18"/>
                <w:szCs w:val="18"/>
              </w:rPr>
            </w:pPr>
            <w:r>
              <w:rPr>
                <w:rFonts w:hint="default" w:ascii="Times New Roman" w:hAnsi="Times New Roman" w:eastAsia="宋体" w:cs="Times New Roman"/>
                <w:i w:val="0"/>
                <w:iCs w:val="0"/>
                <w:color w:val="000000"/>
                <w:kern w:val="0"/>
                <w:sz w:val="21"/>
                <w:szCs w:val="21"/>
                <w:u w:val="none"/>
                <w:lang w:val="en-US" w:eastAsia="zh-CN" w:bidi="ar"/>
              </w:rPr>
              <w:t>3</w:t>
            </w:r>
          </w:p>
        </w:tc>
      </w:tr>
      <w:tr>
        <w:tblPrEx>
          <w:tblCellMar>
            <w:top w:w="0" w:type="dxa"/>
            <w:left w:w="108" w:type="dxa"/>
            <w:bottom w:w="0" w:type="dxa"/>
            <w:right w:w="108" w:type="dxa"/>
          </w:tblCellMar>
        </w:tblPrEx>
        <w:trPr>
          <w:trHeight w:val="522" w:hRule="atLeast"/>
        </w:trPr>
        <w:tc>
          <w:tcPr>
            <w:tcW w:w="140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方正仿宋_GBK" w:hAnsi="方正仿宋_GBK" w:eastAsia="方正仿宋_GBK" w:cs="方正仿宋_GBK"/>
                <w:color w:val="000000"/>
                <w:sz w:val="18"/>
                <w:szCs w:val="18"/>
              </w:rPr>
            </w:pPr>
          </w:p>
        </w:tc>
        <w:tc>
          <w:tcPr>
            <w:tcW w:w="3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方正仿宋_GBK" w:hAnsi="方正仿宋_GBK" w:eastAsia="方正仿宋_GBK" w:cs="方正仿宋_GBK"/>
                <w:color w:val="000000"/>
                <w:sz w:val="24"/>
              </w:rPr>
            </w:pPr>
            <w:r>
              <w:rPr>
                <w:rFonts w:hint="eastAsia" w:ascii="宋体" w:hAnsi="宋体" w:eastAsia="宋体" w:cs="宋体"/>
                <w:i w:val="0"/>
                <w:iCs w:val="0"/>
                <w:color w:val="000000"/>
                <w:kern w:val="0"/>
                <w:sz w:val="21"/>
                <w:szCs w:val="21"/>
                <w:u w:val="none"/>
                <w:lang w:val="en-US" w:eastAsia="zh-CN" w:bidi="ar"/>
              </w:rPr>
              <w:t>各项集中宣传次数</w:t>
            </w:r>
          </w:p>
        </w:tc>
        <w:tc>
          <w:tcPr>
            <w:tcW w:w="11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方正仿宋_GBK" w:hAnsi="方正仿宋_GBK" w:eastAsia="方正仿宋_GBK" w:cs="方正仿宋_GBK"/>
                <w:color w:val="000000"/>
                <w:sz w:val="18"/>
                <w:szCs w:val="18"/>
              </w:rPr>
            </w:pPr>
            <w:r>
              <w:rPr>
                <w:rFonts w:hint="default" w:ascii="Times New Roman" w:hAnsi="Times New Roman" w:eastAsia="宋体" w:cs="Times New Roman"/>
                <w:i w:val="0"/>
                <w:iCs w:val="0"/>
                <w:color w:val="000000"/>
                <w:kern w:val="0"/>
                <w:sz w:val="21"/>
                <w:szCs w:val="21"/>
                <w:u w:val="none"/>
                <w:lang w:val="en-US" w:eastAsia="zh-CN" w:bidi="ar"/>
              </w:rPr>
              <w:t>5</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方正仿宋_GBK" w:hAnsi="方正仿宋_GBK" w:eastAsia="方正仿宋_GBK" w:cs="方正仿宋_GBK"/>
                <w:color w:val="000000"/>
                <w:sz w:val="18"/>
                <w:szCs w:val="18"/>
              </w:rPr>
            </w:pPr>
            <w:r>
              <w:rPr>
                <w:rFonts w:hint="default" w:ascii="Times New Roman" w:hAnsi="Times New Roman" w:eastAsia="宋体" w:cs="Times New Roman"/>
                <w:i w:val="0"/>
                <w:iCs w:val="0"/>
                <w:color w:val="000000"/>
                <w:kern w:val="0"/>
                <w:sz w:val="21"/>
                <w:szCs w:val="21"/>
                <w:u w:val="none"/>
                <w:lang w:val="en-US" w:eastAsia="zh-CN" w:bidi="ar"/>
              </w:rPr>
              <w:t>次　</w:t>
            </w:r>
          </w:p>
        </w:tc>
        <w:tc>
          <w:tcPr>
            <w:tcW w:w="12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方正仿宋_GBK" w:hAnsi="方正仿宋_GBK" w:eastAsia="方正仿宋_GBK" w:cs="方正仿宋_GBK"/>
                <w:color w:val="000000"/>
                <w:sz w:val="18"/>
                <w:szCs w:val="18"/>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2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方正仿宋_GBK" w:hAnsi="方正仿宋_GBK" w:eastAsia="方正仿宋_GBK" w:cs="方正仿宋_GBK"/>
                <w:color w:val="000000"/>
                <w:sz w:val="18"/>
                <w:szCs w:val="18"/>
              </w:rPr>
            </w:pPr>
            <w:r>
              <w:rPr>
                <w:rFonts w:hint="default" w:ascii="Times New Roman" w:hAnsi="Times New Roman" w:eastAsia="宋体" w:cs="Times New Roman"/>
                <w:i w:val="0"/>
                <w:iCs w:val="0"/>
                <w:color w:val="000000"/>
                <w:kern w:val="0"/>
                <w:sz w:val="21"/>
                <w:szCs w:val="21"/>
                <w:u w:val="none"/>
                <w:lang w:val="en-US" w:eastAsia="zh-CN" w:bidi="ar"/>
              </w:rPr>
              <w:t>3</w:t>
            </w:r>
          </w:p>
        </w:tc>
      </w:tr>
    </w:tbl>
    <w:p>
      <w:pPr>
        <w:spacing w:line="620" w:lineRule="exact"/>
        <w:rPr>
          <w:rFonts w:hint="eastAsia" w:ascii="方正楷体_GBK" w:eastAsia="方正楷体_GBK"/>
          <w:b/>
          <w:bCs/>
          <w:kern w:val="0"/>
          <w:sz w:val="32"/>
          <w:szCs w:val="32"/>
        </w:rPr>
      </w:pPr>
    </w:p>
    <w:p>
      <w:pPr>
        <w:spacing w:line="620" w:lineRule="exact"/>
        <w:ind w:firstLine="685" w:firstLineChars="214"/>
        <w:rPr>
          <w:rFonts w:hint="eastAsia" w:ascii="方正楷体_GBK" w:eastAsia="方正楷体_GBK"/>
          <w:b/>
          <w:bCs/>
          <w:kern w:val="0"/>
          <w:sz w:val="32"/>
          <w:szCs w:val="32"/>
        </w:rPr>
      </w:pPr>
      <w:r>
        <w:rPr>
          <w:rFonts w:hint="eastAsia" w:ascii="方正楷体_GBK" w:eastAsia="方正楷体_GBK"/>
          <w:b/>
          <w:bCs/>
          <w:kern w:val="0"/>
          <w:sz w:val="32"/>
          <w:szCs w:val="32"/>
        </w:rPr>
        <w:t>（三）重点绩效评价结果</w:t>
      </w:r>
    </w:p>
    <w:p>
      <w:pPr>
        <w:spacing w:line="620" w:lineRule="exact"/>
        <w:ind w:firstLine="684" w:firstLineChars="214"/>
        <w:rPr>
          <w:rFonts w:hint="eastAsia" w:ascii="方正楷体_GBK" w:eastAsia="方正楷体_GBK"/>
          <w:b/>
          <w:bCs/>
          <w:kern w:val="0"/>
          <w:sz w:val="32"/>
          <w:szCs w:val="32"/>
        </w:rPr>
      </w:pPr>
      <w:r>
        <w:rPr>
          <w:rFonts w:hint="eastAsia" w:eastAsia="方正仿宋_GBK"/>
          <w:kern w:val="0"/>
          <w:sz w:val="32"/>
          <w:szCs w:val="32"/>
          <w:lang w:eastAsia="zh-Hans"/>
        </w:rPr>
        <w:t>本部门202</w:t>
      </w:r>
      <w:r>
        <w:rPr>
          <w:rFonts w:hint="eastAsia" w:eastAsia="方正仿宋_GBK"/>
          <w:kern w:val="0"/>
          <w:sz w:val="32"/>
          <w:szCs w:val="32"/>
          <w:lang w:val="en-US" w:eastAsia="zh-CN"/>
        </w:rPr>
        <w:t>1</w:t>
      </w:r>
      <w:r>
        <w:rPr>
          <w:rFonts w:hint="eastAsia" w:eastAsia="方正仿宋_GBK"/>
          <w:kern w:val="0"/>
          <w:sz w:val="32"/>
          <w:szCs w:val="32"/>
          <w:lang w:eastAsia="zh-Hans"/>
        </w:rPr>
        <w:t>年度无重点绩效评价</w:t>
      </w:r>
      <w:r>
        <w:rPr>
          <w:rFonts w:hint="eastAsia" w:ascii="方正楷体_GBK" w:eastAsia="方正楷体_GBK"/>
          <w:b/>
          <w:bCs/>
          <w:kern w:val="0"/>
          <w:sz w:val="32"/>
          <w:szCs w:val="32"/>
        </w:rPr>
        <w:t>。</w:t>
      </w:r>
    </w:p>
    <w:p>
      <w:pPr>
        <w:spacing w:line="620" w:lineRule="exact"/>
        <w:ind w:firstLine="685" w:firstLineChars="214"/>
        <w:rPr>
          <w:rFonts w:ascii="方正黑体_GBK" w:eastAsia="方正黑体_GBK"/>
          <w:b/>
          <w:bCs/>
          <w:kern w:val="0"/>
          <w:sz w:val="32"/>
          <w:szCs w:val="32"/>
          <w:lang w:eastAsia="zh-Hans"/>
        </w:rPr>
      </w:pPr>
      <w:r>
        <w:rPr>
          <w:rFonts w:ascii="方正黑体_GBK" w:eastAsia="方正黑体_GBK"/>
          <w:b/>
          <w:bCs/>
          <w:kern w:val="0"/>
          <w:sz w:val="32"/>
          <w:szCs w:val="32"/>
          <w:lang w:eastAsia="zh-Hans"/>
        </w:rPr>
        <w:t>六、专业名词解释</w:t>
      </w:r>
    </w:p>
    <w:p>
      <w:pPr>
        <w:spacing w:line="620" w:lineRule="exact"/>
        <w:ind w:firstLine="685" w:firstLineChars="214"/>
        <w:rPr>
          <w:rFonts w:eastAsia="方正仿宋_GBK"/>
          <w:kern w:val="0"/>
          <w:sz w:val="32"/>
          <w:szCs w:val="32"/>
          <w:lang w:eastAsia="zh-Hans"/>
        </w:rPr>
      </w:pPr>
      <w:r>
        <w:rPr>
          <w:rFonts w:ascii="方正楷体_GBK" w:eastAsia="方正楷体_GBK"/>
          <w:b/>
          <w:bCs/>
          <w:kern w:val="0"/>
          <w:sz w:val="32"/>
          <w:szCs w:val="32"/>
        </w:rPr>
        <w:t>（一）财政拨款收入：</w:t>
      </w:r>
      <w:r>
        <w:rPr>
          <w:rFonts w:eastAsia="方正仿宋_GBK"/>
          <w:kern w:val="0"/>
          <w:sz w:val="32"/>
          <w:szCs w:val="32"/>
          <w:lang w:eastAsia="zh-Hans"/>
        </w:rPr>
        <w:t>指本年度从本级财政部门取得的财政拨款，</w:t>
      </w:r>
      <w:r>
        <w:rPr>
          <w:rFonts w:eastAsia="方正仿宋_GBK"/>
          <w:sz w:val="32"/>
          <w:szCs w:val="32"/>
        </w:rPr>
        <w:t>包括一般公共预算财政拨款和政府性基金预算财政拨款</w:t>
      </w:r>
      <w:r>
        <w:rPr>
          <w:rFonts w:eastAsia="方正仿宋_GBK"/>
          <w:kern w:val="0"/>
          <w:sz w:val="32"/>
          <w:szCs w:val="32"/>
          <w:lang w:eastAsia="zh-Hans"/>
        </w:rPr>
        <w:t>。</w:t>
      </w:r>
    </w:p>
    <w:p>
      <w:pPr>
        <w:spacing w:line="620" w:lineRule="exact"/>
        <w:ind w:firstLine="685" w:firstLineChars="214"/>
        <w:rPr>
          <w:rFonts w:eastAsia="方正仿宋_GBK"/>
          <w:kern w:val="0"/>
          <w:sz w:val="32"/>
          <w:szCs w:val="32"/>
          <w:lang w:eastAsia="zh-Hans"/>
        </w:rPr>
      </w:pPr>
      <w:r>
        <w:rPr>
          <w:rFonts w:ascii="方正楷体_GBK" w:eastAsia="方正楷体_GBK"/>
          <w:b/>
          <w:bCs/>
          <w:kern w:val="0"/>
          <w:sz w:val="32"/>
          <w:szCs w:val="32"/>
        </w:rPr>
        <w:t>（二）事业收入：</w:t>
      </w:r>
      <w:r>
        <w:rPr>
          <w:rFonts w:eastAsia="方正仿宋_GBK"/>
          <w:sz w:val="32"/>
          <w:szCs w:val="32"/>
        </w:rPr>
        <w:t>指事业单位开展专业业务活动及其辅助活动取得的现金流入</w:t>
      </w:r>
      <w:r>
        <w:rPr>
          <w:rFonts w:eastAsia="方正仿宋_GBK"/>
          <w:kern w:val="0"/>
          <w:sz w:val="32"/>
          <w:szCs w:val="32"/>
          <w:lang w:eastAsia="zh-Hans"/>
        </w:rPr>
        <w:t>；事业单位收到的财政专户实际核拨的教育收费等资金在此反映。</w:t>
      </w:r>
    </w:p>
    <w:p>
      <w:pPr>
        <w:spacing w:line="620" w:lineRule="exact"/>
        <w:ind w:firstLine="685" w:firstLineChars="214"/>
        <w:rPr>
          <w:rFonts w:eastAsia="方正仿宋_GBK"/>
          <w:kern w:val="0"/>
          <w:sz w:val="32"/>
          <w:szCs w:val="32"/>
          <w:lang w:eastAsia="zh-Hans"/>
        </w:rPr>
      </w:pPr>
      <w:r>
        <w:rPr>
          <w:rFonts w:ascii="方正楷体_GBK" w:eastAsia="方正楷体_GBK"/>
          <w:b/>
          <w:bCs/>
          <w:kern w:val="0"/>
          <w:sz w:val="32"/>
          <w:szCs w:val="32"/>
        </w:rPr>
        <w:t>（三）基本支出：</w:t>
      </w:r>
      <w:r>
        <w:rPr>
          <w:rFonts w:eastAsia="方正仿宋_GBK"/>
          <w:kern w:val="0"/>
          <w:sz w:val="32"/>
          <w:szCs w:val="32"/>
          <w:lang w:eastAsia="zh-Hans"/>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spacing w:line="620" w:lineRule="exact"/>
        <w:ind w:firstLine="685" w:firstLineChars="214"/>
        <w:rPr>
          <w:rFonts w:eastAsia="方正仿宋_GBK"/>
          <w:kern w:val="0"/>
          <w:sz w:val="32"/>
          <w:szCs w:val="32"/>
          <w:lang w:eastAsia="zh-Hans"/>
        </w:rPr>
      </w:pPr>
      <w:r>
        <w:rPr>
          <w:rFonts w:ascii="方正楷体_GBK" w:eastAsia="方正楷体_GBK"/>
          <w:b/>
          <w:bCs/>
          <w:kern w:val="0"/>
          <w:sz w:val="32"/>
          <w:szCs w:val="32"/>
        </w:rPr>
        <w:t>（四）项目支出：</w:t>
      </w:r>
      <w:r>
        <w:rPr>
          <w:rFonts w:eastAsia="方正仿宋_GBK"/>
          <w:sz w:val="32"/>
          <w:szCs w:val="32"/>
        </w:rPr>
        <w:t>指在基本支出之外为完成特定行政任务和事业发展目标所发生的支出</w:t>
      </w:r>
      <w:r>
        <w:rPr>
          <w:rFonts w:eastAsia="方正仿宋_GBK"/>
          <w:kern w:val="0"/>
          <w:sz w:val="32"/>
          <w:szCs w:val="32"/>
          <w:lang w:eastAsia="zh-Hans"/>
        </w:rPr>
        <w:t>。</w:t>
      </w:r>
    </w:p>
    <w:p>
      <w:pPr>
        <w:spacing w:line="620" w:lineRule="exact"/>
        <w:ind w:firstLine="685" w:firstLineChars="214"/>
        <w:rPr>
          <w:rFonts w:eastAsia="方正仿宋_GBK"/>
          <w:kern w:val="0"/>
          <w:sz w:val="32"/>
          <w:szCs w:val="32"/>
          <w:lang w:eastAsia="zh-Hans"/>
        </w:rPr>
      </w:pPr>
      <w:r>
        <w:rPr>
          <w:rFonts w:ascii="方正楷体_GBK" w:eastAsia="方正楷体_GBK"/>
          <w:b/>
          <w:bCs/>
          <w:kern w:val="0"/>
          <w:sz w:val="32"/>
          <w:szCs w:val="32"/>
        </w:rPr>
        <w:t>（五）“三公”经费：</w:t>
      </w:r>
      <w:r>
        <w:rPr>
          <w:rFonts w:eastAsia="方正仿宋_GBK"/>
          <w:kern w:val="0"/>
          <w:sz w:val="32"/>
          <w:szCs w:val="32"/>
          <w:lang w:eastAsia="zh-Hans"/>
        </w:rPr>
        <w:t>指用一般公共预算财政拨款安排的因公出国（境）费、</w:t>
      </w:r>
      <w:r>
        <w:rPr>
          <w:rFonts w:eastAsia="方正仿宋_GBK"/>
          <w:sz w:val="32"/>
          <w:szCs w:val="32"/>
        </w:rPr>
        <w:t>公务用车购置及运行维护费</w:t>
      </w:r>
      <w:r>
        <w:rPr>
          <w:rFonts w:eastAsia="方正仿宋_GBK"/>
          <w:kern w:val="0"/>
          <w:sz w:val="32"/>
          <w:szCs w:val="32"/>
          <w:lang w:eastAsia="zh-Hans"/>
        </w:rPr>
        <w:t>、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spacing w:line="620" w:lineRule="exact"/>
        <w:ind w:firstLine="685" w:firstLineChars="214"/>
        <w:rPr>
          <w:rFonts w:eastAsia="方正仿宋_GBK"/>
          <w:kern w:val="0"/>
          <w:sz w:val="32"/>
          <w:szCs w:val="32"/>
          <w:lang w:eastAsia="zh-Hans"/>
        </w:rPr>
      </w:pPr>
      <w:r>
        <w:rPr>
          <w:rFonts w:ascii="方正楷体_GBK" w:eastAsia="方正楷体_GBK"/>
          <w:b/>
          <w:bCs/>
          <w:kern w:val="0"/>
          <w:sz w:val="32"/>
          <w:szCs w:val="32"/>
        </w:rPr>
        <w:t>（六）机关运行经费：</w:t>
      </w:r>
      <w:r>
        <w:rPr>
          <w:rFonts w:eastAsia="方正仿宋_GBK"/>
          <w:kern w:val="0"/>
          <w:sz w:val="32"/>
          <w:szCs w:val="32"/>
          <w:lang w:eastAsia="zh-Hans"/>
        </w:rPr>
        <w:t>为保障行政单位（含参照公务员法管理的事业单位）运行用于购买货物和服务等的各项公用经费，包括办公及印刷费、邮电费、</w:t>
      </w:r>
      <w:r>
        <w:rPr>
          <w:rFonts w:eastAsia="方正仿宋_GBK"/>
          <w:sz w:val="32"/>
          <w:szCs w:val="32"/>
        </w:rPr>
        <w:t>差旅费</w:t>
      </w:r>
      <w:r>
        <w:rPr>
          <w:rFonts w:eastAsia="方正仿宋_GBK"/>
          <w:kern w:val="0"/>
          <w:sz w:val="32"/>
          <w:szCs w:val="32"/>
          <w:lang w:eastAsia="zh-Hans"/>
        </w:rPr>
        <w:t>、会议费、福利费、日常维护费、专用材料及一般设备购置费、办公用房水电费、办公用房取暖费、办公用房物业管理费、公务用车运行维护费以及其他费用。</w:t>
      </w:r>
    </w:p>
    <w:p>
      <w:pPr>
        <w:spacing w:line="620" w:lineRule="exact"/>
        <w:ind w:firstLine="685" w:firstLineChars="214"/>
        <w:rPr>
          <w:rFonts w:eastAsia="方正仿宋_GBK"/>
          <w:kern w:val="0"/>
          <w:sz w:val="32"/>
          <w:szCs w:val="32"/>
          <w:lang w:eastAsia="zh-Hans"/>
        </w:rPr>
      </w:pPr>
      <w:r>
        <w:rPr>
          <w:rFonts w:ascii="方正楷体_GBK" w:eastAsia="方正楷体_GBK"/>
          <w:b/>
          <w:bCs/>
          <w:kern w:val="0"/>
          <w:sz w:val="32"/>
          <w:szCs w:val="32"/>
        </w:rPr>
        <w:t>（七）工资福利支出（支出经济分类科目类级）：</w:t>
      </w:r>
      <w:r>
        <w:rPr>
          <w:rFonts w:eastAsia="方正仿宋_GBK"/>
          <w:kern w:val="0"/>
          <w:sz w:val="32"/>
          <w:szCs w:val="32"/>
          <w:lang w:eastAsia="zh-Hans"/>
        </w:rPr>
        <w:t>反映单位开支的在职职工和编制外长期聘用人员的各类劳动报酬，</w:t>
      </w:r>
      <w:r>
        <w:rPr>
          <w:rFonts w:eastAsia="方正仿宋_GBK"/>
          <w:sz w:val="32"/>
          <w:szCs w:val="32"/>
        </w:rPr>
        <w:t>以及为上述人员缴纳的各项社会保险费等</w:t>
      </w:r>
      <w:r>
        <w:rPr>
          <w:rFonts w:eastAsia="方正仿宋_GBK"/>
          <w:kern w:val="0"/>
          <w:sz w:val="32"/>
          <w:szCs w:val="32"/>
          <w:lang w:eastAsia="zh-Hans"/>
        </w:rPr>
        <w:t>。</w:t>
      </w:r>
    </w:p>
    <w:p>
      <w:pPr>
        <w:spacing w:line="620" w:lineRule="exact"/>
        <w:ind w:firstLine="685" w:firstLineChars="214"/>
        <w:rPr>
          <w:rFonts w:eastAsia="方正仿宋_GBK"/>
          <w:kern w:val="0"/>
          <w:sz w:val="32"/>
          <w:szCs w:val="32"/>
          <w:lang w:eastAsia="zh-Hans"/>
        </w:rPr>
      </w:pPr>
      <w:r>
        <w:rPr>
          <w:rFonts w:ascii="方正楷体_GBK" w:eastAsia="方正楷体_GBK"/>
          <w:b/>
          <w:bCs/>
          <w:kern w:val="0"/>
          <w:sz w:val="32"/>
          <w:szCs w:val="32"/>
        </w:rPr>
        <w:t>（八）商品和服务支出（支出经济分类科目类级）：</w:t>
      </w:r>
      <w:r>
        <w:rPr>
          <w:rFonts w:eastAsia="方正仿宋_GBK"/>
          <w:sz w:val="32"/>
          <w:szCs w:val="32"/>
        </w:rPr>
        <w:t>反映单位购买商品和服务的支出</w:t>
      </w:r>
      <w:r>
        <w:rPr>
          <w:rFonts w:eastAsia="方正仿宋_GBK"/>
          <w:kern w:val="0"/>
          <w:sz w:val="32"/>
          <w:szCs w:val="32"/>
          <w:lang w:eastAsia="zh-Hans"/>
        </w:rPr>
        <w:t>（不包括用于购置固定资产的支出、战略性和应急储备支出）。</w:t>
      </w:r>
    </w:p>
    <w:p>
      <w:pPr>
        <w:spacing w:line="620" w:lineRule="exact"/>
        <w:ind w:firstLine="685" w:firstLineChars="214"/>
        <w:rPr>
          <w:rFonts w:eastAsia="方正仿宋_GBK"/>
          <w:kern w:val="0"/>
          <w:sz w:val="32"/>
          <w:szCs w:val="32"/>
          <w:lang w:eastAsia="zh-Hans"/>
        </w:rPr>
      </w:pPr>
      <w:r>
        <w:rPr>
          <w:rFonts w:ascii="方正楷体_GBK" w:eastAsia="方正楷体_GBK"/>
          <w:b/>
          <w:bCs/>
          <w:kern w:val="0"/>
          <w:sz w:val="32"/>
          <w:szCs w:val="32"/>
        </w:rPr>
        <w:t>（九）对个人和家庭的补助（支出经济分类科目类级）：</w:t>
      </w:r>
      <w:r>
        <w:rPr>
          <w:rFonts w:eastAsia="方正仿宋_GBK"/>
          <w:sz w:val="32"/>
          <w:szCs w:val="32"/>
        </w:rPr>
        <w:t>反映用于对个人和家庭的补助支出</w:t>
      </w:r>
      <w:r>
        <w:rPr>
          <w:rFonts w:eastAsia="方正仿宋_GBK"/>
          <w:kern w:val="0"/>
          <w:sz w:val="32"/>
          <w:szCs w:val="32"/>
          <w:lang w:eastAsia="zh-Hans"/>
        </w:rPr>
        <w:t>。</w:t>
      </w:r>
    </w:p>
    <w:p>
      <w:pPr>
        <w:spacing w:line="620" w:lineRule="exact"/>
        <w:ind w:firstLine="685" w:firstLineChars="214"/>
        <w:rPr>
          <w:rFonts w:eastAsia="方正仿宋_GBK"/>
          <w:kern w:val="0"/>
          <w:sz w:val="32"/>
          <w:szCs w:val="32"/>
          <w:lang w:eastAsia="zh-Hans"/>
        </w:rPr>
      </w:pPr>
      <w:r>
        <w:rPr>
          <w:rFonts w:ascii="方正楷体_GBK" w:eastAsia="方正楷体_GBK"/>
          <w:b/>
          <w:bCs/>
          <w:kern w:val="0"/>
          <w:sz w:val="32"/>
          <w:szCs w:val="32"/>
        </w:rPr>
        <w:t>（十）其他资本性支出（支出经济分类科目类级）：</w:t>
      </w:r>
      <w:r>
        <w:rPr>
          <w:rFonts w:eastAsia="方正仿宋_GBK"/>
          <w:kern w:val="0"/>
          <w:sz w:val="32"/>
          <w:szCs w:val="32"/>
          <w:lang w:eastAsia="zh-Hans"/>
        </w:rPr>
        <w:t>反映非各级发展与改革部门集中安排的用于购置固定资产、战略性和应急性储备、</w:t>
      </w:r>
      <w:r>
        <w:rPr>
          <w:rFonts w:eastAsia="方正仿宋_GBK"/>
          <w:sz w:val="32"/>
          <w:szCs w:val="32"/>
        </w:rPr>
        <w:t>土地和无形资产</w:t>
      </w:r>
      <w:r>
        <w:rPr>
          <w:rFonts w:eastAsia="方正仿宋_GBK"/>
          <w:kern w:val="0"/>
          <w:sz w:val="32"/>
          <w:szCs w:val="32"/>
          <w:lang w:eastAsia="zh-Hans"/>
        </w:rPr>
        <w:t>，以及构建基础设施、大型修缮和财政支持企业更新改造所发生的支出。</w:t>
      </w:r>
    </w:p>
    <w:p>
      <w:pPr>
        <w:spacing w:line="620" w:lineRule="exact"/>
        <w:ind w:firstLine="685" w:firstLineChars="214"/>
        <w:rPr>
          <w:rFonts w:hint="eastAsia" w:ascii="方正黑体_GBK" w:eastAsia="方正黑体_GBK"/>
          <w:b/>
          <w:bCs/>
          <w:kern w:val="0"/>
          <w:sz w:val="32"/>
          <w:szCs w:val="32"/>
          <w:lang w:eastAsia="zh-Hans"/>
        </w:rPr>
      </w:pPr>
      <w:r>
        <w:rPr>
          <w:rFonts w:ascii="方正黑体_GBK" w:eastAsia="方正黑体_GBK"/>
          <w:b/>
          <w:bCs/>
          <w:kern w:val="0"/>
          <w:sz w:val="32"/>
          <w:szCs w:val="32"/>
          <w:lang w:eastAsia="zh-Hans"/>
        </w:rPr>
        <w:t>七、决算公开联系方式及信息反馈渠道</w:t>
      </w:r>
    </w:p>
    <w:p>
      <w:pPr>
        <w:spacing w:line="620" w:lineRule="exact"/>
        <w:ind w:firstLine="684" w:firstLineChars="214"/>
        <w:rPr>
          <w:rFonts w:eastAsia="方正仿宋_GBK"/>
          <w:kern w:val="0"/>
          <w:sz w:val="32"/>
          <w:szCs w:val="32"/>
          <w:lang w:eastAsia="zh-Hans"/>
        </w:rPr>
      </w:pPr>
      <w:r>
        <w:rPr>
          <w:rFonts w:eastAsia="方正仿宋_GBK"/>
          <w:sz w:val="32"/>
          <w:szCs w:val="32"/>
        </w:rPr>
        <w:t>本单位决算公开信息反馈和联系方式</w:t>
      </w:r>
      <w:r>
        <w:rPr>
          <w:rFonts w:eastAsia="方正仿宋_GBK"/>
          <w:kern w:val="0"/>
          <w:sz w:val="32"/>
          <w:szCs w:val="32"/>
          <w:lang w:eastAsia="zh-Hans"/>
        </w:rPr>
        <w:t>：</w:t>
      </w:r>
      <w:r>
        <w:rPr>
          <w:rFonts w:eastAsia="方正仿宋_GBK"/>
          <w:kern w:val="0"/>
          <w:sz w:val="32"/>
          <w:szCs w:val="32"/>
        </w:rPr>
        <w:t>023-81655589</w:t>
      </w:r>
      <w:r>
        <w:rPr>
          <w:rFonts w:eastAsia="方正仿宋_GBK"/>
          <w:kern w:val="0"/>
          <w:sz w:val="32"/>
          <w:szCs w:val="32"/>
          <w:lang w:eastAsia="zh-Hans"/>
        </w:rPr>
        <w:t>。</w:t>
      </w:r>
    </w:p>
    <w:p>
      <w:pPr>
        <w:spacing w:line="620" w:lineRule="exact"/>
        <w:ind w:firstLine="684" w:firstLineChars="214"/>
        <w:rPr>
          <w:rFonts w:eastAsia="方正仿宋_GBK"/>
          <w:kern w:val="0"/>
          <w:sz w:val="32"/>
          <w:szCs w:val="32"/>
          <w:lang w:eastAsia="zh-Hans"/>
        </w:rPr>
      </w:pPr>
    </w:p>
    <w:p>
      <w:pPr>
        <w:widowControl/>
        <w:shd w:val="clear" w:color="auto" w:fill="FFFFFF"/>
        <w:spacing w:line="620" w:lineRule="exact"/>
        <w:jc w:val="left"/>
        <w:rPr>
          <w:rFonts w:eastAsia="方正仿宋_GBK"/>
          <w:sz w:val="32"/>
          <w:szCs w:val="32"/>
        </w:rPr>
      </w:pPr>
      <w:r>
        <w:rPr>
          <w:rFonts w:eastAsia="方正仿宋_GBK"/>
          <w:kern w:val="0"/>
          <w:sz w:val="32"/>
          <w:szCs w:val="32"/>
          <w:lang w:eastAsia="zh-Hans"/>
        </w:rPr>
        <w:t> </w:t>
      </w:r>
      <w:bookmarkStart w:id="0" w:name="_GoBack"/>
      <w:bookmarkEnd w:id="0"/>
    </w:p>
    <w:sectPr>
      <w:footerReference r:id="rId3" w:type="default"/>
      <w:pgSz w:w="16838" w:h="11906" w:orient="landscape"/>
      <w:pgMar w:top="1418" w:right="1418"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方正仿宋_GBK">
    <w:altName w:val="Arial Unicode MS"/>
    <w:panose1 w:val="03000509000000000000"/>
    <w:charset w:val="86"/>
    <w:family w:val="script"/>
    <w:pitch w:val="default"/>
    <w:sig w:usb0="00000000" w:usb1="00000000" w:usb2="00000010" w:usb3="00000000" w:csb0="00040000" w:csb1="00000000"/>
  </w:font>
  <w:font w:name="方正黑体_GBK">
    <w:altName w:val="Arial Unicode MS"/>
    <w:panose1 w:val="03000509000000000000"/>
    <w:charset w:val="86"/>
    <w:family w:val="script"/>
    <w:pitch w:val="default"/>
    <w:sig w:usb0="00000000" w:usb1="00000000" w:usb2="00000010" w:usb3="00000000" w:csb0="00040000" w:csb1="00000000"/>
  </w:font>
  <w:font w:name="方正楷体_GBK">
    <w:altName w:val="Arial Unicode MS"/>
    <w:panose1 w:val="03000509000000000000"/>
    <w:charset w:val="86"/>
    <w:family w:val="script"/>
    <w:pitch w:val="default"/>
    <w:sig w:usb0="00000000" w:usb1="00000000" w:usb2="00000010" w:usb3="00000000" w:csb0="00040000" w:csb1="00000000"/>
  </w:font>
  <w:font w:name="方正仿宋_GBK">
    <w:altName w:val="Arial Unicode MS"/>
    <w:panose1 w:val="00000000000000000000"/>
    <w:charset w:val="00"/>
    <w:family w:val="auto"/>
    <w:pitch w:val="default"/>
    <w:sig w:usb0="00000000" w:usb1="00000000" w:usb2="00000000" w:usb3="00000000" w:csb0="00000000" w:csb1="00000000"/>
  </w:font>
  <w:font w:name="方正小标宋_GBK">
    <w:altName w:val="Arial Unicode MS"/>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15</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UwOGJlNGU1ZjZlZDUxYWVjYjU2YWRjZDYzOTYzNDgifQ=="/>
  </w:docVars>
  <w:rsids>
    <w:rsidRoot w:val="00CE079B"/>
    <w:rsid w:val="00097B95"/>
    <w:rsid w:val="000B0A51"/>
    <w:rsid w:val="0029263E"/>
    <w:rsid w:val="00360B09"/>
    <w:rsid w:val="00653E8D"/>
    <w:rsid w:val="00683B08"/>
    <w:rsid w:val="008B2023"/>
    <w:rsid w:val="009F4B70"/>
    <w:rsid w:val="00A023BE"/>
    <w:rsid w:val="00B706CC"/>
    <w:rsid w:val="00BF05E8"/>
    <w:rsid w:val="00CE079B"/>
    <w:rsid w:val="00F27D92"/>
    <w:rsid w:val="00FE282F"/>
    <w:rsid w:val="01395C7C"/>
    <w:rsid w:val="04CE6E03"/>
    <w:rsid w:val="07A749E6"/>
    <w:rsid w:val="0AF72A3C"/>
    <w:rsid w:val="11DD564A"/>
    <w:rsid w:val="13B60E10"/>
    <w:rsid w:val="1F3E5B5C"/>
    <w:rsid w:val="23FE5538"/>
    <w:rsid w:val="2418784E"/>
    <w:rsid w:val="3DA051A0"/>
    <w:rsid w:val="4BC92570"/>
    <w:rsid w:val="4E4D0774"/>
    <w:rsid w:val="52E35CA9"/>
    <w:rsid w:val="58C01B1E"/>
    <w:rsid w:val="5A6B1410"/>
    <w:rsid w:val="629A3137"/>
    <w:rsid w:val="6B453C31"/>
    <w:rsid w:val="6C743FF9"/>
    <w:rsid w:val="7C854EE3"/>
    <w:rsid w:val="7D41517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7">
    <w:name w:val="Strong"/>
    <w:qFormat/>
    <w:uiPriority w:val="0"/>
    <w:rPr>
      <w:b/>
      <w:bCs/>
    </w:rPr>
  </w:style>
  <w:style w:type="character" w:customStyle="1" w:styleId="8">
    <w:name w:val="页脚 Char"/>
    <w:link w:val="2"/>
    <w:qFormat/>
    <w:uiPriority w:val="99"/>
    <w:rPr>
      <w:kern w:val="2"/>
      <w:sz w:val="18"/>
      <w:szCs w:val="18"/>
    </w:rPr>
  </w:style>
  <w:style w:type="character" w:customStyle="1" w:styleId="9">
    <w:name w:val="页眉 Char"/>
    <w:link w:val="3"/>
    <w:qFormat/>
    <w:uiPriority w:val="0"/>
    <w:rPr>
      <w:kern w:val="2"/>
      <w:sz w:val="18"/>
      <w:szCs w:val="18"/>
    </w:rPr>
  </w:style>
  <w:style w:type="character" w:customStyle="1" w:styleId="10">
    <w:name w:val="next ui-imgbutton"/>
    <w:basedOn w:val="6"/>
    <w:qFormat/>
    <w:uiPriority w:val="0"/>
  </w:style>
  <w:style w:type="character" w:customStyle="1" w:styleId="11">
    <w:name w:val="itemcount"/>
    <w:basedOn w:val="6"/>
    <w:qFormat/>
    <w:uiPriority w:val="0"/>
  </w:style>
  <w:style w:type="character" w:customStyle="1" w:styleId="12">
    <w:name w:val="prev ui-imgbutton"/>
    <w:basedOn w:val="6"/>
    <w:qFormat/>
    <w:uiPriority w:val="0"/>
  </w:style>
  <w:style w:type="character" w:customStyle="1" w:styleId="13">
    <w:name w:val="pagecount"/>
    <w:basedOn w:val="6"/>
    <w:qFormat/>
    <w:uiPriority w:val="0"/>
  </w:style>
  <w:style w:type="character" w:customStyle="1" w:styleId="14">
    <w:name w:val="last ui-imgbutton"/>
    <w:basedOn w:val="6"/>
    <w:qFormat/>
    <w:uiPriority w:val="0"/>
  </w:style>
  <w:style w:type="character" w:customStyle="1" w:styleId="15">
    <w:name w:val="gopage ui-imgbutton"/>
    <w:basedOn w:val="6"/>
    <w:qFormat/>
    <w:uiPriority w:val="0"/>
  </w:style>
  <w:style w:type="character" w:customStyle="1" w:styleId="16">
    <w:name w:val="font01"/>
    <w:basedOn w:val="6"/>
    <w:uiPriority w:val="0"/>
    <w:rPr>
      <w:rFonts w:hint="default" w:ascii="Times New Roman" w:hAnsi="Times New Roman" w:cs="Times New Roman"/>
      <w:color w:val="000000"/>
      <w:sz w:val="21"/>
      <w:szCs w:val="21"/>
      <w:u w:val="none"/>
    </w:rPr>
  </w:style>
  <w:style w:type="character" w:customStyle="1" w:styleId="17">
    <w:name w:val="font51"/>
    <w:basedOn w:val="6"/>
    <w:uiPriority w:val="0"/>
    <w:rPr>
      <w:rFonts w:hint="eastAsia" w:ascii="宋体" w:hAnsi="宋体" w:eastAsia="宋体" w:cs="宋体"/>
      <w:color w:val="000008"/>
      <w:sz w:val="21"/>
      <w:szCs w:val="21"/>
      <w:u w:val="none"/>
    </w:rPr>
  </w:style>
  <w:style w:type="character" w:customStyle="1" w:styleId="18">
    <w:name w:val="font61"/>
    <w:basedOn w:val="6"/>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14</Pages>
  <Words>5022</Words>
  <Characters>5667</Characters>
  <Lines>51</Lines>
  <Paragraphs>14</Paragraphs>
  <TotalTime>1</TotalTime>
  <ScaleCrop>false</ScaleCrop>
  <LinksUpToDate>false</LinksUpToDate>
  <CharactersWithSpaces>5679</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2020-08-20T01:13:00Z</dcterms:created>
  <dc:creator>张欣怡</dc:creator>
  <cp:lastModifiedBy>袁婷</cp:lastModifiedBy>
  <cp:lastPrinted>2021-08-18T01:16:00Z</cp:lastPrinted>
  <dcterms:modified xsi:type="dcterms:W3CDTF">2022-08-24T01:34:58Z</dcterms:modified>
  <dc:title>重庆市潼南区大佛寺景区管理委员会</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6277F4D285EB429B94E7AD2E5962B29A</vt:lpwstr>
  </property>
</Properties>
</file>