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before="0" w:beforeAutospacing="0"/>
        <w:ind w:left="0"/>
        <w:jc w:val="center"/>
        <w:rPr>
          <w:rFonts w:hint="eastAsia" w:ascii="方正小标宋_GBK" w:hAnsi="方正小标宋_GBK" w:eastAsia="方正小标宋_GBK" w:cs="方正小标宋_GBK"/>
          <w:sz w:val="44"/>
          <w:szCs w:val="44"/>
        </w:rPr>
      </w:pPr>
      <w:bookmarkStart w:id="0" w:name="_GoBack"/>
      <w:r>
        <w:rPr>
          <w:rFonts w:hint="eastAsia" w:ascii="方正小标宋_GBK" w:hAnsi="方正小标宋_GBK" w:eastAsia="方正小标宋_GBK" w:cs="方正小标宋_GBK"/>
          <w:kern w:val="2"/>
          <w:sz w:val="44"/>
          <w:szCs w:val="44"/>
          <w:lang w:val="en-US" w:eastAsia="zh-CN" w:bidi="ar-SA"/>
        </w:rPr>
        <w:t>重庆市潼南区文化市场综合行政执法支队</w:t>
      </w:r>
      <w:r>
        <w:rPr>
          <w:rFonts w:hint="eastAsia" w:ascii="方正小标宋_GBK" w:hAnsi="方正小标宋_GBK" w:eastAsia="方正小标宋_GBK" w:cs="方正小标宋_GBK"/>
          <w:sz w:val="44"/>
          <w:szCs w:val="44"/>
          <w:lang w:eastAsia="zh-CN"/>
        </w:rPr>
        <w:t>2022</w:t>
      </w:r>
      <w:r>
        <w:rPr>
          <w:rFonts w:hint="eastAsia" w:ascii="方正小标宋_GBK" w:hAnsi="方正小标宋_GBK" w:eastAsia="方正小标宋_GBK" w:cs="方正小标宋_GBK"/>
          <w:sz w:val="44"/>
          <w:szCs w:val="44"/>
        </w:rPr>
        <w:t>年部门决算情况说明</w:t>
      </w:r>
    </w:p>
    <w:bookmarkEnd w:id="0"/>
    <w:p>
      <w:pPr>
        <w:spacing w:line="600" w:lineRule="exact"/>
        <w:jc w:val="center"/>
        <w:rPr>
          <w:rFonts w:eastAsia="方正小标宋_GBK" w:cs="华文仿宋"/>
          <w:sz w:val="44"/>
          <w:szCs w:val="44"/>
        </w:rPr>
      </w:pPr>
    </w:p>
    <w:p>
      <w:pPr>
        <w:pStyle w:val="8"/>
        <w:numPr>
          <w:ilvl w:val="0"/>
          <w:numId w:val="1"/>
        </w:numPr>
        <w:spacing w:beforeAutospacing="0" w:afterAutospacing="0" w:line="600" w:lineRule="exact"/>
        <w:rPr>
          <w:rStyle w:val="9"/>
          <w:rFonts w:hint="eastAsia" w:eastAsia="方正黑体_GBK" w:cs="宋体"/>
          <w:b w:val="0"/>
          <w:sz w:val="32"/>
          <w:szCs w:val="32"/>
          <w:shd w:val="clear" w:color="auto" w:fill="FFFFFF"/>
        </w:rPr>
      </w:pPr>
      <w:r>
        <w:rPr>
          <w:rStyle w:val="9"/>
          <w:rFonts w:hint="eastAsia" w:eastAsia="方正黑体_GBK" w:cs="宋体"/>
          <w:b w:val="0"/>
          <w:sz w:val="32"/>
          <w:szCs w:val="32"/>
          <w:shd w:val="clear" w:color="auto" w:fill="FFFFFF"/>
        </w:rPr>
        <w:t>部门基本情况</w:t>
      </w:r>
    </w:p>
    <w:p>
      <w:pPr>
        <w:pStyle w:val="8"/>
        <w:numPr>
          <w:ilvl w:val="0"/>
          <w:numId w:val="2"/>
        </w:numPr>
        <w:spacing w:beforeAutospacing="0" w:afterAutospacing="0" w:line="600" w:lineRule="exact"/>
        <w:rPr>
          <w:rStyle w:val="9"/>
          <w:rFonts w:hint="eastAsia" w:eastAsia="方正楷体_GBK" w:cs="宋体"/>
          <w:b w:val="0"/>
          <w:sz w:val="32"/>
          <w:szCs w:val="32"/>
          <w:shd w:val="clear" w:color="auto" w:fill="FFFFFF"/>
        </w:rPr>
      </w:pPr>
      <w:r>
        <w:rPr>
          <w:rStyle w:val="9"/>
          <w:rFonts w:hint="eastAsia" w:eastAsia="方正楷体_GBK" w:cs="宋体"/>
          <w:b w:val="0"/>
          <w:sz w:val="32"/>
          <w:szCs w:val="32"/>
          <w:shd w:val="clear" w:color="auto" w:fill="FFFFFF"/>
        </w:rPr>
        <w:t>职能职责</w:t>
      </w:r>
    </w:p>
    <w:p>
      <w:pPr>
        <w:keepNext w:val="0"/>
        <w:keepLines w:val="0"/>
        <w:widowControl/>
        <w:numPr>
          <w:ilvl w:val="0"/>
          <w:numId w:val="0"/>
        </w:numPr>
        <w:suppressLineNumbers w:val="0"/>
        <w:spacing w:line="540" w:lineRule="exact"/>
        <w:ind w:firstLine="320" w:firstLineChars="1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1.</w:t>
      </w:r>
      <w:r>
        <w:rPr>
          <w:rFonts w:hint="eastAsia" w:ascii="Times New Roman" w:hAnsi="Times New Roman" w:eastAsia="方正仿宋_GBK" w:cs="宋体"/>
          <w:kern w:val="0"/>
          <w:sz w:val="32"/>
          <w:szCs w:val="32"/>
          <w:shd w:val="clear" w:color="auto" w:fill="FFFFFF"/>
          <w:lang w:val="en-US" w:eastAsia="zh-CN" w:bidi="ar-SA"/>
        </w:rPr>
        <w:t xml:space="preserve">  贯彻实施国家和重庆市有关文化市场综合行政执法的方针政策、法律法规。</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2.</w:t>
      </w:r>
      <w:r>
        <w:rPr>
          <w:rFonts w:hint="eastAsia" w:ascii="Times New Roman" w:hAnsi="Times New Roman" w:eastAsia="方正仿宋_GBK" w:cs="宋体"/>
          <w:kern w:val="0"/>
          <w:sz w:val="32"/>
          <w:szCs w:val="32"/>
          <w:shd w:val="clear" w:color="auto" w:fill="FFFFFF"/>
          <w:lang w:val="en-US" w:eastAsia="zh-CN" w:bidi="ar-SA"/>
        </w:rPr>
        <w:t>承担文化、文物方面的执法职能。</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3.</w:t>
      </w:r>
      <w:r>
        <w:rPr>
          <w:rFonts w:hint="eastAsia" w:ascii="Times New Roman" w:hAnsi="Times New Roman" w:eastAsia="方正仿宋_GBK" w:cs="宋体"/>
          <w:kern w:val="0"/>
          <w:sz w:val="32"/>
          <w:szCs w:val="32"/>
          <w:shd w:val="clear" w:color="auto" w:fill="FFFFFF"/>
          <w:lang w:val="en-US" w:eastAsia="zh-CN" w:bidi="ar-SA"/>
        </w:rPr>
        <w:t>承担出版、广播电视、电影方面的执法职能。</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4.</w:t>
      </w:r>
      <w:r>
        <w:rPr>
          <w:rFonts w:hint="eastAsia" w:ascii="Times New Roman" w:hAnsi="Times New Roman" w:eastAsia="方正仿宋_GBK" w:cs="宋体"/>
          <w:kern w:val="0"/>
          <w:sz w:val="32"/>
          <w:szCs w:val="32"/>
          <w:shd w:val="clear" w:color="auto" w:fill="FFFFFF"/>
          <w:lang w:val="en-US" w:eastAsia="zh-CN" w:bidi="ar-SA"/>
        </w:rPr>
        <w:t>承担旅游市场方面的执法职能。</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5.</w:t>
      </w:r>
      <w:r>
        <w:rPr>
          <w:rFonts w:hint="eastAsia" w:ascii="Times New Roman" w:hAnsi="Times New Roman" w:eastAsia="方正仿宋_GBK" w:cs="宋体"/>
          <w:kern w:val="0"/>
          <w:sz w:val="32"/>
          <w:szCs w:val="32"/>
          <w:shd w:val="clear" w:color="auto" w:fill="FFFFFF"/>
          <w:lang w:val="en-US" w:eastAsia="zh-CN" w:bidi="ar-SA"/>
        </w:rPr>
        <w:t>承担体育市场方面的执法职能。</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6.</w:t>
      </w:r>
      <w:r>
        <w:rPr>
          <w:rFonts w:hint="eastAsia" w:ascii="Times New Roman" w:hAnsi="Times New Roman" w:eastAsia="方正仿宋_GBK" w:cs="宋体"/>
          <w:kern w:val="0"/>
          <w:sz w:val="32"/>
          <w:szCs w:val="32"/>
          <w:shd w:val="clear" w:color="auto" w:fill="FFFFFF"/>
          <w:lang w:val="en-US" w:eastAsia="zh-CN" w:bidi="ar-SA"/>
        </w:rPr>
        <w:t>指导、督促各镇街的文化市场综合管理工作。</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7.</w:t>
      </w:r>
      <w:r>
        <w:rPr>
          <w:rFonts w:hint="eastAsia" w:ascii="Times New Roman" w:hAnsi="Times New Roman" w:eastAsia="方正仿宋_GBK" w:cs="宋体"/>
          <w:kern w:val="0"/>
          <w:sz w:val="32"/>
          <w:szCs w:val="32"/>
          <w:shd w:val="clear" w:color="auto" w:fill="FFFFFF"/>
          <w:lang w:val="en-US" w:eastAsia="zh-CN" w:bidi="ar-SA"/>
        </w:rPr>
        <w:t>承担“扫黄打非”有关工作任务。</w:t>
      </w:r>
    </w:p>
    <w:p>
      <w:pPr>
        <w:keepNext w:val="0"/>
        <w:keepLines w:val="0"/>
        <w:widowControl/>
        <w:numPr>
          <w:ilvl w:val="0"/>
          <w:numId w:val="0"/>
        </w:numPr>
        <w:suppressLineNumbers w:val="0"/>
        <w:spacing w:line="540" w:lineRule="exact"/>
        <w:ind w:leftChars="200"/>
        <w:rPr>
          <w:rFonts w:hint="eastAsia" w:ascii="Times New Roman" w:hAnsi="Times New Roman" w:eastAsia="方正仿宋_GBK" w:cs="宋体"/>
          <w:kern w:val="0"/>
          <w:sz w:val="32"/>
          <w:szCs w:val="32"/>
          <w:shd w:val="clear" w:color="auto" w:fill="FFFFFF"/>
          <w:lang w:val="en-US" w:eastAsia="zh-CN" w:bidi="ar-SA"/>
        </w:rPr>
      </w:pPr>
      <w:r>
        <w:rPr>
          <w:rFonts w:hint="eastAsia" w:eastAsia="方正仿宋_GBK" w:cs="宋体"/>
          <w:kern w:val="0"/>
          <w:sz w:val="32"/>
          <w:szCs w:val="32"/>
          <w:shd w:val="clear" w:color="auto" w:fill="FFFFFF"/>
          <w:lang w:val="en-US" w:eastAsia="zh-CN" w:bidi="ar-SA"/>
        </w:rPr>
        <w:t>8.</w:t>
      </w:r>
      <w:r>
        <w:rPr>
          <w:rFonts w:hint="eastAsia" w:ascii="Times New Roman" w:hAnsi="Times New Roman" w:eastAsia="方正仿宋_GBK" w:cs="宋体"/>
          <w:kern w:val="0"/>
          <w:sz w:val="32"/>
          <w:szCs w:val="32"/>
          <w:shd w:val="clear" w:color="auto" w:fill="FFFFFF"/>
          <w:lang w:val="en-US" w:eastAsia="zh-CN" w:bidi="ar-SA"/>
        </w:rPr>
        <w:t>承担文化、旅游和体育市场投诉、举报受理处置工作。</w:t>
      </w:r>
    </w:p>
    <w:p>
      <w:pPr>
        <w:keepNext w:val="0"/>
        <w:keepLines w:val="0"/>
        <w:widowControl/>
        <w:numPr>
          <w:ilvl w:val="0"/>
          <w:numId w:val="0"/>
        </w:numPr>
        <w:suppressLineNumbers w:val="0"/>
        <w:spacing w:line="540" w:lineRule="exact"/>
        <w:ind w:leftChars="200"/>
        <w:rPr>
          <w:rFonts w:hint="eastAsia" w:ascii="宋体" w:hAnsi="宋体" w:eastAsia="方正仿宋_GBK" w:cs="宋体"/>
          <w:kern w:val="0"/>
          <w:sz w:val="32"/>
          <w:szCs w:val="32"/>
        </w:rPr>
      </w:pPr>
      <w:r>
        <w:rPr>
          <w:rFonts w:hint="eastAsia" w:eastAsia="方正仿宋_GBK" w:cs="宋体"/>
          <w:kern w:val="0"/>
          <w:sz w:val="32"/>
          <w:szCs w:val="32"/>
          <w:shd w:val="clear" w:color="auto" w:fill="FFFFFF"/>
          <w:lang w:val="en-US" w:eastAsia="zh-CN" w:bidi="ar-SA"/>
        </w:rPr>
        <w:t>9.</w:t>
      </w:r>
      <w:r>
        <w:rPr>
          <w:rFonts w:hint="eastAsia" w:ascii="Times New Roman" w:hAnsi="Times New Roman" w:eastAsia="方正仿宋_GBK" w:cs="宋体"/>
          <w:kern w:val="0"/>
          <w:sz w:val="32"/>
          <w:szCs w:val="32"/>
          <w:shd w:val="clear" w:color="auto" w:fill="FFFFFF"/>
          <w:lang w:val="en-US" w:eastAsia="zh-CN" w:bidi="ar-SA"/>
        </w:rPr>
        <w:t>完成区委、区政府和区委宣传部、区文化旅游委交办的其他任务。</w:t>
      </w:r>
    </w:p>
    <w:p>
      <w:pPr>
        <w:pStyle w:val="8"/>
        <w:spacing w:beforeAutospacing="0" w:afterAutospacing="0" w:line="600" w:lineRule="exact"/>
        <w:rPr>
          <w:rFonts w:hint="default" w:ascii="Times New Roman" w:hAnsi="Times New Roman" w:eastAsia="方正楷体_GBK" w:cs="宋体"/>
          <w:sz w:val="32"/>
          <w:szCs w:val="32"/>
        </w:rPr>
      </w:pPr>
      <w:r>
        <w:rPr>
          <w:rStyle w:val="9"/>
          <w:rFonts w:hint="eastAsia" w:eastAsia="方正楷体_GBK" w:cs="宋体"/>
          <w:b w:val="0"/>
          <w:sz w:val="32"/>
          <w:szCs w:val="32"/>
          <w:shd w:val="clear" w:color="auto" w:fill="FFFFFF"/>
        </w:rPr>
        <w:t>（二）机构设置</w:t>
      </w:r>
    </w:p>
    <w:p>
      <w:pPr>
        <w:pStyle w:val="8"/>
        <w:keepNext w:val="0"/>
        <w:keepLines w:val="0"/>
        <w:widowControl/>
        <w:suppressLineNumbers w:val="0"/>
        <w:autoSpaceDE w:val="0"/>
        <w:autoSpaceDN/>
        <w:spacing w:before="0" w:beforeAutospacing="0" w:line="600" w:lineRule="exact"/>
        <w:jc w:val="both"/>
        <w:rPr>
          <w:rFonts w:hint="eastAsia" w:ascii="方正仿宋_GBK" w:hAnsi="方正仿宋_GBK" w:eastAsia="方正仿宋_GBK" w:cs="方正仿宋_GBK"/>
          <w:i w:val="0"/>
          <w:kern w:val="0"/>
          <w:sz w:val="32"/>
          <w:szCs w:val="32"/>
          <w:shd w:val="clear" w:color="auto" w:fill="FFFFFF"/>
        </w:rPr>
      </w:pPr>
      <w:r>
        <w:rPr>
          <w:rFonts w:hint="eastAsia" w:ascii="方正仿宋_GBK" w:hAnsi="方正仿宋_GBK" w:eastAsia="方正仿宋_GBK" w:cs="方正仿宋_GBK"/>
          <w:i w:val="0"/>
          <w:kern w:val="0"/>
          <w:sz w:val="32"/>
          <w:szCs w:val="32"/>
          <w:shd w:val="clear" w:color="auto" w:fill="FFFFFF"/>
        </w:rPr>
        <w:t>区文化综合行政执法支队编制数</w:t>
      </w:r>
      <w:r>
        <w:rPr>
          <w:rFonts w:hint="default" w:ascii="Times New Roman" w:hAnsi="Times New Roman" w:eastAsia="方正仿宋_GBK" w:cs="Times New Roman"/>
          <w:i w:val="0"/>
          <w:kern w:val="0"/>
          <w:sz w:val="32"/>
          <w:szCs w:val="32"/>
          <w:shd w:val="clear" w:color="auto" w:fill="FFFFFF"/>
        </w:rPr>
        <w:t>16</w:t>
      </w:r>
      <w:r>
        <w:rPr>
          <w:rFonts w:hint="eastAsia" w:ascii="方正仿宋_GBK" w:hAnsi="方正仿宋_GBK" w:eastAsia="方正仿宋_GBK" w:cs="方正仿宋_GBK"/>
          <w:i w:val="0"/>
          <w:kern w:val="0"/>
          <w:sz w:val="32"/>
          <w:szCs w:val="32"/>
          <w:shd w:val="clear" w:color="auto" w:fill="FFFFFF"/>
        </w:rPr>
        <w:t>人，至</w:t>
      </w:r>
      <w:r>
        <w:rPr>
          <w:rFonts w:hint="default" w:ascii="Times New Roman" w:hAnsi="Times New Roman" w:eastAsia="方正仿宋_GBK" w:cs="Times New Roman"/>
          <w:i w:val="0"/>
          <w:kern w:val="0"/>
          <w:sz w:val="32"/>
          <w:szCs w:val="32"/>
          <w:shd w:val="clear" w:color="auto" w:fill="FFFFFF"/>
        </w:rPr>
        <w:t>2022</w:t>
      </w:r>
      <w:r>
        <w:rPr>
          <w:rFonts w:hint="eastAsia" w:ascii="方正仿宋_GBK" w:hAnsi="方正仿宋_GBK" w:eastAsia="方正仿宋_GBK" w:cs="方正仿宋_GBK"/>
          <w:i w:val="0"/>
          <w:kern w:val="0"/>
          <w:sz w:val="32"/>
          <w:szCs w:val="32"/>
          <w:shd w:val="clear" w:color="auto" w:fill="FFFFFF"/>
        </w:rPr>
        <w:t>年末有在编职工</w:t>
      </w:r>
      <w:r>
        <w:rPr>
          <w:rFonts w:hint="default" w:ascii="Times New Roman" w:hAnsi="Times New Roman" w:eastAsia="方正仿宋_GBK" w:cs="Times New Roman"/>
          <w:i w:val="0"/>
          <w:kern w:val="0"/>
          <w:sz w:val="32"/>
          <w:szCs w:val="32"/>
          <w:shd w:val="clear" w:color="auto" w:fill="FFFFFF"/>
        </w:rPr>
        <w:t>15</w:t>
      </w:r>
      <w:r>
        <w:rPr>
          <w:rFonts w:hint="eastAsia" w:ascii="方正仿宋_GBK" w:hAnsi="方正仿宋_GBK" w:eastAsia="方正仿宋_GBK" w:cs="方正仿宋_GBK"/>
          <w:i w:val="0"/>
          <w:kern w:val="0"/>
          <w:sz w:val="32"/>
          <w:szCs w:val="32"/>
          <w:shd w:val="clear" w:color="auto" w:fill="FFFFFF"/>
        </w:rPr>
        <w:t>人。</w:t>
      </w:r>
    </w:p>
    <w:p>
      <w:pPr>
        <w:pStyle w:val="8"/>
        <w:keepNext w:val="0"/>
        <w:keepLines w:val="0"/>
        <w:widowControl/>
        <w:suppressLineNumbers w:val="0"/>
        <w:autoSpaceDE w:val="0"/>
        <w:autoSpaceDN/>
        <w:spacing w:before="0" w:beforeAutospacing="0" w:line="600" w:lineRule="exact"/>
        <w:jc w:val="both"/>
        <w:rPr>
          <w:rFonts w:hint="default" w:ascii="Times New Roman" w:hAnsi="Times New Roman" w:eastAsia="方正楷体_GBK" w:cs="宋体"/>
          <w:sz w:val="32"/>
          <w:szCs w:val="32"/>
        </w:rPr>
      </w:pPr>
      <w:r>
        <w:rPr>
          <w:rStyle w:val="9"/>
          <w:rFonts w:hint="eastAsia" w:eastAsia="方正楷体_GBK" w:cs="宋体"/>
          <w:b w:val="0"/>
          <w:sz w:val="32"/>
          <w:szCs w:val="32"/>
          <w:shd w:val="clear" w:color="auto" w:fill="FFFFFF"/>
        </w:rPr>
        <w:t>（三）单位构成</w:t>
      </w:r>
    </w:p>
    <w:p>
      <w:pPr>
        <w:keepNext w:val="0"/>
        <w:keepLines w:val="0"/>
        <w:widowControl/>
        <w:suppressLineNumbers w:val="0"/>
        <w:autoSpaceDE w:val="0"/>
        <w:autoSpaceDN/>
        <w:spacing w:line="600" w:lineRule="exact"/>
        <w:rPr>
          <w:rFonts w:hint="default" w:ascii="Times New Roman" w:hAnsi="Times New Roman" w:eastAsia="方正仿宋_GBK" w:cs="Times New Roman"/>
          <w:i w:val="0"/>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本单位无下级预算单位，本单位为重庆市潼南区文化旅游委</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年度决算编制的二级预算单位。</w:t>
      </w:r>
    </w:p>
    <w:p>
      <w:pPr>
        <w:pStyle w:val="8"/>
        <w:spacing w:beforeAutospacing="0" w:afterAutospacing="0" w:line="600" w:lineRule="exact"/>
        <w:rPr>
          <w:rFonts w:hint="default" w:ascii="Times New Roman" w:hAnsi="Times New Roman" w:eastAsia="方正黑体_GBK" w:cs="宋体"/>
          <w:bCs/>
          <w:sz w:val="32"/>
          <w:szCs w:val="32"/>
          <w:shd w:val="clear" w:color="auto" w:fill="FFFFFF"/>
        </w:rPr>
      </w:pPr>
      <w:r>
        <w:rPr>
          <w:rStyle w:val="9"/>
          <w:rFonts w:hint="eastAsia" w:eastAsia="方正黑体_GBK" w:cs="宋体"/>
          <w:b w:val="0"/>
          <w:sz w:val="32"/>
          <w:szCs w:val="32"/>
          <w:shd w:val="clear" w:color="auto" w:fill="FFFFFF"/>
        </w:rPr>
        <w:t>二、部门决算情况说明</w:t>
      </w:r>
    </w:p>
    <w:p>
      <w:pPr>
        <w:pStyle w:val="8"/>
        <w:spacing w:beforeAutospacing="0" w:afterAutospacing="0" w:line="600" w:lineRule="exact"/>
        <w:rPr>
          <w:rFonts w:hint="default" w:ascii="Times New Roman" w:hAnsi="Times New Roman" w:eastAsia="方正楷体_GBK" w:cs="宋体"/>
          <w:sz w:val="32"/>
          <w:szCs w:val="32"/>
        </w:rPr>
      </w:pPr>
      <w:r>
        <w:rPr>
          <w:rStyle w:val="9"/>
          <w:rFonts w:hint="eastAsia" w:eastAsia="方正楷体_GBK" w:cs="宋体"/>
          <w:b w:val="0"/>
          <w:sz w:val="32"/>
          <w:szCs w:val="32"/>
          <w:shd w:val="clear" w:color="auto" w:fill="FFFFFF"/>
        </w:rPr>
        <w:t>（一）收入支出决算总体情况说明</w:t>
      </w:r>
    </w:p>
    <w:p>
      <w:pPr>
        <w:keepNext w:val="0"/>
        <w:keepLines w:val="0"/>
        <w:widowControl/>
        <w:suppressLineNumbers w:val="0"/>
        <w:autoSpaceDE w:val="0"/>
        <w:autoSpaceDN/>
        <w:spacing w:before="0" w:beforeAutospacing="0" w:after="0" w:afterAutospacing="0" w:line="600" w:lineRule="exact"/>
        <w:ind w:right="0" w:firstLine="320" w:firstLineChars="100"/>
        <w:jc w:val="left"/>
        <w:rPr>
          <w:rFonts w:hint="default" w:ascii="方正仿宋_GBK" w:hAnsi="方正仿宋_GBK" w:eastAsia="方正仿宋_GBK" w:cs="方正仿宋_GBK"/>
          <w:kern w:val="0"/>
          <w:sz w:val="32"/>
          <w:szCs w:val="32"/>
          <w:shd w:val="clear" w:color="auto" w:fill="FFFFFF"/>
        </w:rPr>
      </w:pPr>
      <w:r>
        <w:rPr>
          <w:rStyle w:val="9"/>
          <w:rFonts w:hint="eastAsia" w:eastAsia="方正仿宋_GBK" w:cs="宋体"/>
          <w:b w:val="0"/>
          <w:sz w:val="32"/>
          <w:szCs w:val="32"/>
          <w:shd w:val="clear" w:color="auto" w:fill="FFFFFF"/>
        </w:rPr>
        <w:t>1.总体情况</w:t>
      </w:r>
      <w:r>
        <w:rPr>
          <w:rFonts w:ascii="Times New Roman" w:hAnsi="Times New Roman" w:eastAsia="方正仿宋_GBK" w:cs="宋体"/>
          <w:sz w:val="32"/>
          <w:szCs w:val="32"/>
          <w:shd w:val="clear" w:color="auto" w:fill="FFFFFF"/>
        </w:rPr>
        <w:t>。</w:t>
      </w:r>
      <w:r>
        <w:rPr>
          <w:rFonts w:hint="default" w:ascii="方正仿宋_GBK" w:hAnsi="方正仿宋_GBK" w:eastAsia="方正仿宋_GBK" w:cs="方正仿宋_GBK"/>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年度收入总计</w:t>
      </w:r>
      <w:r>
        <w:rPr>
          <w:rFonts w:hint="default" w:ascii="方正仿宋_GBK" w:hAnsi="方正仿宋_GBK" w:eastAsia="方正仿宋_GBK" w:cs="方正仿宋_GBK"/>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万元，支出总计</w:t>
      </w:r>
      <w:r>
        <w:rPr>
          <w:rFonts w:hint="default" w:ascii="方正仿宋_GBK" w:hAnsi="方正仿宋_GBK" w:eastAsia="方正仿宋_GBK" w:cs="方正仿宋_GBK"/>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万元。收支较上年决算数增加</w:t>
      </w:r>
      <w:r>
        <w:rPr>
          <w:rFonts w:hint="default" w:ascii="方正仿宋_GBK" w:hAnsi="方正仿宋_GBK" w:eastAsia="方正仿宋_GBK" w:cs="方正仿宋_GBK"/>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w:t>
      </w:r>
      <w:r>
        <w:rPr>
          <w:rFonts w:hint="default" w:ascii="方正仿宋_GBK" w:hAnsi="方正仿宋_GBK" w:eastAsia="方正仿宋_GBK" w:cs="方正仿宋_GBK"/>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增长</w:t>
      </w:r>
      <w:r>
        <w:rPr>
          <w:rFonts w:hint="default" w:ascii="方正仿宋_GBK" w:hAnsi="方正仿宋_GBK" w:eastAsia="方正仿宋_GBK" w:cs="方正仿宋_GBK"/>
          <w:kern w:val="0"/>
          <w:sz w:val="32"/>
          <w:szCs w:val="32"/>
          <w:shd w:val="clear" w:color="auto" w:fill="FFFFFF"/>
        </w:rPr>
        <w:t>100%</w:t>
      </w:r>
      <w:r>
        <w:rPr>
          <w:rFonts w:hint="eastAsia" w:ascii="方正仿宋_GBK" w:hAnsi="方正仿宋_GBK" w:eastAsia="方正仿宋_GBK" w:cs="方正仿宋_GBK"/>
          <w:kern w:val="0"/>
          <w:sz w:val="32"/>
          <w:szCs w:val="32"/>
          <w:shd w:val="clear" w:color="auto" w:fill="FFFFFF"/>
        </w:rPr>
        <w:t>，主要原因是本单位</w:t>
      </w:r>
      <w:r>
        <w:rPr>
          <w:rFonts w:hint="default" w:ascii="方正仿宋_GBK" w:hAnsi="方正仿宋_GBK" w:eastAsia="方正仿宋_GBK" w:cs="方正仿宋_GBK"/>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年年初预算及年终决算合并在区文化旅委统一核算，</w:t>
      </w:r>
      <w:r>
        <w:rPr>
          <w:rFonts w:hint="default" w:ascii="方正仿宋_GBK" w:hAnsi="方正仿宋_GBK" w:eastAsia="方正仿宋_GBK" w:cs="方正仿宋_GBK"/>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p>
    <w:p>
      <w:pPr>
        <w:keepNext w:val="0"/>
        <w:keepLines w:val="0"/>
        <w:widowControl/>
        <w:suppressLineNumbers w:val="0"/>
        <w:autoSpaceDE w:val="0"/>
        <w:autoSpaceDN/>
        <w:spacing w:before="0" w:beforeAutospacing="0" w:after="0" w:afterAutospacing="0" w:line="600" w:lineRule="exact"/>
        <w:ind w:left="0" w:right="0" w:firstLine="643"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bCs w:val="0"/>
          <w:sz w:val="32"/>
          <w:szCs w:val="32"/>
          <w:shd w:val="clear" w:color="auto" w:fill="FFFFFF"/>
        </w:rPr>
        <w:t>2.</w:t>
      </w:r>
      <w:r>
        <w:rPr>
          <w:rStyle w:val="11"/>
          <w:rFonts w:hint="eastAsia" w:ascii="方正仿宋_GBK" w:hAnsi="方正仿宋_GBK" w:eastAsia="方正仿宋_GBK" w:cs="方正仿宋_GBK"/>
          <w:b/>
          <w:bCs w:val="0"/>
          <w:sz w:val="32"/>
          <w:szCs w:val="32"/>
          <w:shd w:val="clear" w:color="auto" w:fill="FFFFFF"/>
        </w:rPr>
        <w:t>收入情况。</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年度收入合计</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万元，较上年决算数增加</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r>
        <w:rPr>
          <w:rStyle w:val="11"/>
          <w:rFonts w:hint="eastAsia" w:ascii="方正仿宋_GBK" w:hAnsi="方正仿宋_GBK" w:eastAsia="方正仿宋_GBK" w:cs="方正仿宋_GBK"/>
          <w:b w:val="0"/>
          <w:bCs/>
          <w:sz w:val="32"/>
          <w:szCs w:val="32"/>
          <w:shd w:val="clear" w:color="auto" w:fill="FFFFFF"/>
        </w:rPr>
        <w:t>。其中：财政拨款收入</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；事业收入</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；经营收入</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；其他收入</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。此外，使用非财政拨款结余</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万元，年初结转和结余</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w:t>
      </w:r>
    </w:p>
    <w:p>
      <w:pPr>
        <w:keepNext w:val="0"/>
        <w:keepLines w:val="0"/>
        <w:widowControl/>
        <w:suppressLineNumbers w:val="0"/>
        <w:autoSpaceDE w:val="0"/>
        <w:autoSpaceDN/>
        <w:spacing w:before="0" w:beforeAutospacing="0" w:after="0" w:afterAutospacing="0" w:line="600" w:lineRule="exact"/>
        <w:ind w:left="0" w:right="0" w:firstLine="643"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bCs w:val="0"/>
          <w:sz w:val="32"/>
          <w:szCs w:val="32"/>
          <w:shd w:val="clear" w:color="auto" w:fill="FFFFFF"/>
        </w:rPr>
        <w:t>3.</w:t>
      </w:r>
      <w:r>
        <w:rPr>
          <w:rStyle w:val="11"/>
          <w:rFonts w:hint="eastAsia" w:ascii="方正仿宋_GBK" w:hAnsi="方正仿宋_GBK" w:eastAsia="方正仿宋_GBK" w:cs="方正仿宋_GBK"/>
          <w:b/>
          <w:bCs w:val="0"/>
          <w:sz w:val="32"/>
          <w:szCs w:val="32"/>
          <w:shd w:val="clear" w:color="auto" w:fill="FFFFFF"/>
        </w:rPr>
        <w:t>支出情况。</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年度支出合计</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万元，较上年决算增加</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r>
        <w:rPr>
          <w:rStyle w:val="11"/>
          <w:rFonts w:hint="eastAsia" w:ascii="方正仿宋_GBK" w:hAnsi="方正仿宋_GBK" w:eastAsia="方正仿宋_GBK" w:cs="方正仿宋_GBK"/>
          <w:b w:val="0"/>
          <w:bCs/>
          <w:sz w:val="32"/>
          <w:szCs w:val="32"/>
          <w:shd w:val="clear" w:color="auto" w:fill="FFFFFF"/>
        </w:rPr>
        <w:t>。其中：基本支出</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；项目支出</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；经营支出</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。此外，结余分配</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val="0"/>
          <w:bCs/>
          <w:sz w:val="32"/>
          <w:szCs w:val="32"/>
          <w:shd w:val="clear" w:color="auto" w:fill="FFFFFF"/>
        </w:rPr>
        <w:t>4</w:t>
      </w:r>
      <w:r>
        <w:rPr>
          <w:rStyle w:val="11"/>
          <w:rFonts w:hint="default" w:ascii="Times New Roman" w:hAnsi="Times New Roman" w:eastAsia="方正仿宋_GBK" w:cs="Times New Roman"/>
          <w:b/>
          <w:bCs w:val="0"/>
          <w:sz w:val="32"/>
          <w:szCs w:val="32"/>
          <w:shd w:val="clear" w:color="auto" w:fill="FFFFFF"/>
        </w:rPr>
        <w:t>.</w:t>
      </w:r>
      <w:r>
        <w:rPr>
          <w:rStyle w:val="11"/>
          <w:rFonts w:hint="eastAsia" w:ascii="方正仿宋_GBK" w:hAnsi="方正仿宋_GBK" w:eastAsia="方正仿宋_GBK" w:cs="方正仿宋_GBK"/>
          <w:b/>
          <w:bCs w:val="0"/>
          <w:sz w:val="32"/>
          <w:szCs w:val="32"/>
          <w:shd w:val="clear" w:color="auto" w:fill="FFFFFF"/>
        </w:rPr>
        <w:t>结转结余情况。</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年度年末结转和结余</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万元，较上年决算数增加</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r>
        <w:rPr>
          <w:rStyle w:val="11"/>
          <w:rFonts w:hint="eastAsia" w:ascii="方正仿宋_GBK" w:hAnsi="方正仿宋_GBK" w:eastAsia="方正仿宋_GBK" w:cs="方正仿宋_GBK"/>
          <w:b w:val="0"/>
          <w:bCs/>
          <w:sz w:val="32"/>
          <w:szCs w:val="32"/>
          <w:shd w:val="clear" w:color="auto" w:fill="FFFFFF"/>
        </w:rPr>
        <w:t>。</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（二）财政拨款收入支出决算总体情况说明</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年度财政拨款收、支总计</w:t>
      </w:r>
      <w:r>
        <w:rPr>
          <w:rFonts w:hint="default" w:ascii="Times New Roman" w:hAnsi="Times New Roman" w:eastAsia="方正仿宋_GBK" w:cs="Times New Roman"/>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万元。与</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年相比，财政拨款收、支总计各增加</w:t>
      </w:r>
      <w:r>
        <w:rPr>
          <w:rFonts w:hint="default" w:ascii="Times New Roman" w:hAnsi="Times New Roman" w:eastAsia="方正仿宋_GBK" w:cs="Times New Roman"/>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（三）一般公共预算财政拨款收入支出决算情况说明</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val="0"/>
          <w:bCs/>
          <w:sz w:val="32"/>
          <w:szCs w:val="32"/>
          <w:shd w:val="clear" w:color="auto" w:fill="FFFFFF"/>
        </w:rPr>
        <w:t>1.</w:t>
      </w:r>
      <w:r>
        <w:rPr>
          <w:rStyle w:val="11"/>
          <w:rFonts w:hint="eastAsia" w:ascii="方正仿宋_GBK" w:hAnsi="方正仿宋_GBK" w:eastAsia="方正仿宋_GBK" w:cs="方正仿宋_GBK"/>
          <w:b/>
          <w:bCs w:val="0"/>
          <w:sz w:val="32"/>
          <w:szCs w:val="32"/>
          <w:shd w:val="clear" w:color="auto" w:fill="FFFFFF"/>
        </w:rPr>
        <w:t>收入情况。</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年度一般公共预算财政拨款收入</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万元，较上年决算数增加</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。主要原因是本</w:t>
      </w:r>
      <w:r>
        <w:rPr>
          <w:rStyle w:val="11"/>
          <w:rFonts w:hint="eastAsia" w:ascii="方正仿宋_GBK" w:hAnsi="方正仿宋_GBK" w:eastAsia="方正仿宋_GBK" w:cs="方正仿宋_GBK"/>
          <w:b w:val="0"/>
          <w:bCs/>
          <w:sz w:val="32"/>
          <w:szCs w:val="32"/>
          <w:shd w:val="clear" w:color="auto" w:fill="FFFFFF"/>
          <w:lang w:eastAsia="zh-CN"/>
        </w:rPr>
        <w:t>单位</w:t>
      </w:r>
      <w:r>
        <w:rPr>
          <w:rStyle w:val="11"/>
          <w:rFonts w:hint="default" w:ascii="Times New Roman" w:hAnsi="Times New Roman" w:eastAsia="方正仿宋_GBK" w:cs="Times New Roman"/>
          <w:b w:val="0"/>
          <w:bCs/>
          <w:sz w:val="32"/>
          <w:szCs w:val="32"/>
          <w:shd w:val="clear" w:color="auto" w:fill="FFFFFF"/>
        </w:rPr>
        <w:t>2021</w:t>
      </w:r>
      <w:r>
        <w:rPr>
          <w:rStyle w:val="11"/>
          <w:rFonts w:hint="eastAsia" w:ascii="方正仿宋_GBK" w:hAnsi="方正仿宋_GBK" w:eastAsia="方正仿宋_GBK" w:cs="方正仿宋_GBK"/>
          <w:b w:val="0"/>
          <w:bCs/>
          <w:sz w:val="32"/>
          <w:szCs w:val="32"/>
          <w:shd w:val="clear" w:color="auto" w:fill="FFFFFF"/>
        </w:rPr>
        <w:t>年年初预算及年终决算合并在区文化旅游委统一核算，</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年年初预算及年终决算为独立核算，所以无上年对比数。较年初预算数增加</w:t>
      </w:r>
      <w:r>
        <w:rPr>
          <w:rStyle w:val="11"/>
          <w:rFonts w:hint="default" w:ascii="Times New Roman" w:hAnsi="Times New Roman" w:eastAsia="方正仿宋_GBK" w:cs="Times New Roman"/>
          <w:b w:val="0"/>
          <w:bCs/>
          <w:sz w:val="32"/>
          <w:szCs w:val="32"/>
          <w:shd w:val="clear" w:color="auto" w:fill="FFFFFF"/>
        </w:rPr>
        <w:t>12.04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3.9%</w:t>
      </w:r>
      <w:r>
        <w:rPr>
          <w:rStyle w:val="11"/>
          <w:rFonts w:hint="eastAsia" w:ascii="方正仿宋_GBK" w:hAnsi="方正仿宋_GBK" w:eastAsia="方正仿宋_GBK" w:cs="方正仿宋_GBK"/>
          <w:b w:val="0"/>
          <w:bCs/>
          <w:sz w:val="32"/>
          <w:szCs w:val="32"/>
          <w:shd w:val="clear" w:color="auto" w:fill="FFFFFF"/>
        </w:rPr>
        <w:t>。主要原因是人员增加相应的增加了各项保险费等。此外，年初财政拨款结转和结余</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val="0"/>
          <w:bCs/>
          <w:sz w:val="32"/>
          <w:szCs w:val="32"/>
          <w:shd w:val="clear" w:color="auto" w:fill="FFFFFF"/>
        </w:rPr>
        <w:t>2</w:t>
      </w:r>
      <w:r>
        <w:rPr>
          <w:rStyle w:val="11"/>
          <w:rFonts w:hint="default" w:ascii="Times New Roman" w:hAnsi="Times New Roman" w:eastAsia="方正仿宋_GBK" w:cs="Times New Roman"/>
          <w:b/>
          <w:bCs w:val="0"/>
          <w:sz w:val="32"/>
          <w:szCs w:val="32"/>
          <w:shd w:val="clear" w:color="auto" w:fill="FFFFFF"/>
        </w:rPr>
        <w:t>.</w:t>
      </w:r>
      <w:r>
        <w:rPr>
          <w:rStyle w:val="11"/>
          <w:rFonts w:hint="eastAsia" w:ascii="方正仿宋_GBK" w:hAnsi="方正仿宋_GBK" w:eastAsia="方正仿宋_GBK" w:cs="方正仿宋_GBK"/>
          <w:b/>
          <w:bCs w:val="0"/>
          <w:sz w:val="32"/>
          <w:szCs w:val="32"/>
          <w:shd w:val="clear" w:color="auto" w:fill="FFFFFF"/>
        </w:rPr>
        <w:t>支出情况</w:t>
      </w:r>
      <w:r>
        <w:rPr>
          <w:rStyle w:val="11"/>
          <w:rFonts w:hint="eastAsia" w:ascii="方正仿宋_GBK" w:hAnsi="方正仿宋_GBK" w:eastAsia="方正仿宋_GBK" w:cs="方正仿宋_GBK"/>
          <w:b w:val="0"/>
          <w:bCs/>
          <w:sz w:val="32"/>
          <w:szCs w:val="32"/>
          <w:shd w:val="clear" w:color="auto" w:fill="FFFFFF"/>
        </w:rPr>
        <w:t>。</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年度一般公共预算财政拨款支出</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万元，较上年决算数增加</w:t>
      </w:r>
      <w:r>
        <w:rPr>
          <w:rStyle w:val="11"/>
          <w:rFonts w:hint="default" w:ascii="Times New Roman" w:hAnsi="Times New Roman" w:eastAsia="方正仿宋_GBK" w:cs="Times New Roman"/>
          <w:b w:val="0"/>
          <w:bCs/>
          <w:sz w:val="32"/>
          <w:szCs w:val="32"/>
          <w:shd w:val="clear" w:color="auto" w:fill="FFFFFF"/>
        </w:rPr>
        <w:t>323.74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100%</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Times New Roman" w:hAnsi="Times New Roman" w:eastAsia="方正仿宋_GBK" w:cs="Times New Roman"/>
          <w:b w:val="0"/>
          <w:bCs/>
          <w:sz w:val="32"/>
          <w:szCs w:val="32"/>
          <w:shd w:val="clear" w:color="auto" w:fill="FFFFFF"/>
        </w:rPr>
        <w:t>2021</w:t>
      </w:r>
      <w:r>
        <w:rPr>
          <w:rStyle w:val="11"/>
          <w:rFonts w:hint="eastAsia" w:ascii="方正仿宋_GBK" w:hAnsi="方正仿宋_GBK" w:eastAsia="方正仿宋_GBK" w:cs="方正仿宋_GBK"/>
          <w:b w:val="0"/>
          <w:bCs/>
          <w:sz w:val="32"/>
          <w:szCs w:val="32"/>
          <w:shd w:val="clear" w:color="auto" w:fill="FFFFFF"/>
        </w:rPr>
        <w:t>年年初预算及年终决算合并在区文化旅游委统一核算，</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年年初预算及年终决算为独立核算，所以无上年对比数。较年初预算数增加</w:t>
      </w:r>
      <w:r>
        <w:rPr>
          <w:rStyle w:val="11"/>
          <w:rFonts w:hint="default" w:ascii="Times New Roman" w:hAnsi="Times New Roman" w:eastAsia="方正仿宋_GBK" w:cs="Times New Roman"/>
          <w:b w:val="0"/>
          <w:bCs/>
          <w:sz w:val="32"/>
          <w:szCs w:val="32"/>
          <w:shd w:val="clear" w:color="auto" w:fill="FFFFFF"/>
        </w:rPr>
        <w:t>12.04</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3.9%</w:t>
      </w:r>
      <w:r>
        <w:rPr>
          <w:rStyle w:val="11"/>
          <w:rFonts w:hint="eastAsia" w:ascii="方正仿宋_GBK" w:hAnsi="方正仿宋_GBK" w:eastAsia="方正仿宋_GBK" w:cs="方正仿宋_GBK"/>
          <w:b w:val="0"/>
          <w:bCs/>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主要原因是人员增加相应的增加了各项保险费等。</w:t>
      </w:r>
    </w:p>
    <w:p>
      <w:pPr>
        <w:pStyle w:val="3"/>
        <w:keepNext w:val="0"/>
        <w:keepLines w:val="0"/>
        <w:widowControl/>
        <w:suppressLineNumbers w:val="0"/>
        <w:spacing w:before="0" w:beforeAutospacing="0"/>
        <w:ind w:left="0" w:firstLine="643" w:firstLineChars="200"/>
        <w:jc w:val="left"/>
        <w:rPr>
          <w:rFonts w:hint="eastAsia" w:ascii="Times New Roman" w:hAnsi="Times New Roman" w:eastAsia="方正仿宋_GBK" w:cs="Times New Roman"/>
          <w:b w:val="0"/>
          <w:bCs/>
          <w:kern w:val="0"/>
          <w:sz w:val="32"/>
          <w:szCs w:val="32"/>
          <w:shd w:val="clear" w:color="auto" w:fill="FFFFFF"/>
        </w:rPr>
      </w:pPr>
      <w:r>
        <w:rPr>
          <w:rStyle w:val="11"/>
          <w:rFonts w:hint="default" w:ascii="Times New Roman" w:hAnsi="Times New Roman" w:eastAsia="方正仿宋_GBK" w:cs="Times New Roman"/>
          <w:b/>
          <w:bCs w:val="0"/>
          <w:kern w:val="0"/>
          <w:sz w:val="32"/>
          <w:szCs w:val="32"/>
          <w:shd w:val="clear" w:color="auto" w:fill="FFFFFF"/>
        </w:rPr>
        <w:t>3.</w:t>
      </w:r>
      <w:r>
        <w:rPr>
          <w:rStyle w:val="11"/>
          <w:rFonts w:hint="eastAsia" w:ascii="方正仿宋_GBK" w:hAnsi="方正仿宋_GBK" w:eastAsia="方正仿宋_GBK" w:cs="方正仿宋_GBK"/>
          <w:b/>
          <w:bCs w:val="0"/>
          <w:kern w:val="0"/>
          <w:sz w:val="32"/>
          <w:szCs w:val="32"/>
          <w:shd w:val="clear" w:color="auto" w:fill="FFFFFF"/>
        </w:rPr>
        <w:t>结转结余情况。</w:t>
      </w:r>
      <w:r>
        <w:rPr>
          <w:rStyle w:val="11"/>
          <w:rFonts w:hint="default" w:ascii="Times New Roman" w:hAnsi="Times New Roman" w:eastAsia="方正仿宋_GBK" w:cs="Times New Roman"/>
          <w:b w:val="0"/>
          <w:bCs/>
          <w:kern w:val="0"/>
          <w:sz w:val="32"/>
          <w:szCs w:val="32"/>
          <w:shd w:val="clear" w:color="auto" w:fill="FFFFFF"/>
        </w:rPr>
        <w:t>2022</w:t>
      </w:r>
      <w:r>
        <w:rPr>
          <w:rStyle w:val="11"/>
          <w:rFonts w:hint="eastAsia" w:ascii="方正仿宋_GBK" w:hAnsi="方正仿宋_GBK" w:eastAsia="方正仿宋_GBK" w:cs="方正仿宋_GBK"/>
          <w:b w:val="0"/>
          <w:bCs/>
          <w:kern w:val="0"/>
          <w:sz w:val="32"/>
          <w:szCs w:val="32"/>
          <w:shd w:val="clear" w:color="auto" w:fill="FFFFFF"/>
        </w:rPr>
        <w:t>年度年末一般公共预算财政拨款结转和结余</w:t>
      </w:r>
      <w:r>
        <w:rPr>
          <w:rStyle w:val="11"/>
          <w:rFonts w:hint="default" w:ascii="Times New Roman" w:hAnsi="Times New Roman" w:eastAsia="方正仿宋_GBK" w:cs="Times New Roman"/>
          <w:b w:val="0"/>
          <w:bCs/>
          <w:kern w:val="0"/>
          <w:sz w:val="32"/>
          <w:szCs w:val="32"/>
          <w:shd w:val="clear" w:color="auto" w:fill="FFFFFF"/>
        </w:rPr>
        <w:t>0.00</w:t>
      </w:r>
      <w:r>
        <w:rPr>
          <w:rStyle w:val="11"/>
          <w:rFonts w:hint="eastAsia" w:ascii="方正仿宋_GBK" w:hAnsi="方正仿宋_GBK" w:eastAsia="方正仿宋_GBK" w:cs="方正仿宋_GBK"/>
          <w:b w:val="0"/>
          <w:bCs/>
          <w:kern w:val="0"/>
          <w:sz w:val="32"/>
          <w:szCs w:val="32"/>
          <w:shd w:val="clear" w:color="auto" w:fill="FFFFFF"/>
        </w:rPr>
        <w:t>万元，较上年决算数增加</w:t>
      </w:r>
      <w:r>
        <w:rPr>
          <w:rStyle w:val="11"/>
          <w:rFonts w:hint="default" w:ascii="Times New Roman" w:hAnsi="Times New Roman" w:eastAsia="方正仿宋_GBK" w:cs="Times New Roman"/>
          <w:b w:val="0"/>
          <w:bCs/>
          <w:kern w:val="0"/>
          <w:sz w:val="32"/>
          <w:szCs w:val="32"/>
          <w:shd w:val="clear" w:color="auto" w:fill="FFFFFF"/>
        </w:rPr>
        <w:t>0.00</w:t>
      </w:r>
      <w:r>
        <w:rPr>
          <w:rStyle w:val="11"/>
          <w:rFonts w:hint="eastAsia" w:ascii="方正仿宋_GBK" w:hAnsi="方正仿宋_GBK" w:eastAsia="方正仿宋_GBK" w:cs="方正仿宋_GBK"/>
          <w:b w:val="0"/>
          <w:bCs/>
          <w:kern w:val="0"/>
          <w:sz w:val="32"/>
          <w:szCs w:val="32"/>
          <w:shd w:val="clear" w:color="auto" w:fill="FFFFFF"/>
        </w:rPr>
        <w:t>万元，增长</w:t>
      </w:r>
      <w:r>
        <w:rPr>
          <w:rStyle w:val="11"/>
          <w:rFonts w:hint="default" w:ascii="Times New Roman" w:hAnsi="Times New Roman" w:eastAsia="方正仿宋_GBK" w:cs="Times New Roman"/>
          <w:b w:val="0"/>
          <w:bCs/>
          <w:kern w:val="0"/>
          <w:sz w:val="32"/>
          <w:szCs w:val="32"/>
          <w:shd w:val="clear" w:color="auto" w:fill="FFFFFF"/>
        </w:rPr>
        <w:t>100%</w:t>
      </w:r>
      <w:r>
        <w:rPr>
          <w:rStyle w:val="11"/>
          <w:rFonts w:hint="eastAsia" w:ascii="方正仿宋_GBK" w:hAnsi="方正仿宋_GBK" w:eastAsia="方正仿宋_GBK" w:cs="方正仿宋_GBK"/>
          <w:b w:val="0"/>
          <w:bCs/>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r>
        <w:rPr>
          <w:rStyle w:val="11"/>
          <w:rFonts w:hint="eastAsia" w:ascii="方正仿宋_GBK" w:hAnsi="方正仿宋_GBK" w:eastAsia="方正仿宋_GBK" w:cs="方正仿宋_GBK"/>
          <w:b w:val="0"/>
          <w:bCs/>
          <w:kern w:val="0"/>
          <w:sz w:val="32"/>
          <w:szCs w:val="32"/>
          <w:shd w:val="clear" w:color="auto" w:fill="FFFFFF"/>
        </w:rPr>
        <w:t>。</w:t>
      </w:r>
    </w:p>
    <w:p>
      <w:pPr>
        <w:keepNext w:val="0"/>
        <w:keepLines w:val="0"/>
        <w:widowControl/>
        <w:suppressLineNumbers w:val="0"/>
        <w:autoSpaceDE w:val="0"/>
        <w:autoSpaceDN/>
        <w:spacing w:before="0" w:beforeAutospacing="0" w:after="0" w:afterAutospacing="0" w:line="600" w:lineRule="exact"/>
        <w:ind w:left="0" w:right="0" w:firstLine="643" w:firstLineChars="200"/>
        <w:jc w:val="left"/>
        <w:rPr>
          <w:rFonts w:hint="eastAsia"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bCs w:val="0"/>
          <w:sz w:val="32"/>
          <w:szCs w:val="32"/>
          <w:shd w:val="clear" w:color="auto" w:fill="FFFFFF"/>
        </w:rPr>
        <w:t>4.</w:t>
      </w:r>
      <w:r>
        <w:rPr>
          <w:rStyle w:val="11"/>
          <w:rFonts w:hint="eastAsia" w:ascii="方正仿宋_GBK" w:hAnsi="方正仿宋_GBK" w:eastAsia="方正仿宋_GBK" w:cs="方正仿宋_GBK"/>
          <w:b/>
          <w:bCs w:val="0"/>
          <w:sz w:val="32"/>
          <w:szCs w:val="32"/>
          <w:shd w:val="clear" w:color="auto" w:fill="FFFFFF"/>
        </w:rPr>
        <w:t>比较情况。</w:t>
      </w:r>
      <w:r>
        <w:rPr>
          <w:rStyle w:val="11"/>
          <w:rFonts w:hint="eastAsia" w:ascii="方正仿宋_GBK" w:hAnsi="方正仿宋_GBK" w:eastAsia="方正仿宋_GBK" w:cs="方正仿宋_GBK"/>
          <w:b w:val="0"/>
          <w:bCs/>
          <w:sz w:val="32"/>
          <w:szCs w:val="32"/>
          <w:shd w:val="clear" w:color="auto" w:fill="FFFFFF"/>
        </w:rPr>
        <w:t>本部门</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年度一般公共预算财政拨款支出主要用于以下几个方面：</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w:t>
      </w:r>
      <w:r>
        <w:rPr>
          <w:rStyle w:val="11"/>
          <w:rFonts w:hint="default" w:ascii="Times New Roman" w:hAnsi="Times New Roman" w:eastAsia="方正仿宋_GBK" w:cs="Times New Roman"/>
          <w:b w:val="0"/>
          <w:bCs/>
          <w:sz w:val="32"/>
          <w:szCs w:val="32"/>
          <w:shd w:val="clear" w:color="auto" w:fill="FFFFFF"/>
        </w:rPr>
        <w:t>1</w:t>
      </w:r>
      <w:r>
        <w:rPr>
          <w:rStyle w:val="11"/>
          <w:rFonts w:hint="eastAsia" w:ascii="方正仿宋_GBK" w:hAnsi="方正仿宋_GBK" w:eastAsia="方正仿宋_GBK" w:cs="方正仿宋_GBK"/>
          <w:b w:val="0"/>
          <w:bCs/>
          <w:sz w:val="32"/>
          <w:szCs w:val="32"/>
          <w:shd w:val="clear" w:color="auto" w:fill="FFFFFF"/>
        </w:rPr>
        <w:t>）文化旅游体育与传媒支出</w:t>
      </w:r>
      <w:r>
        <w:rPr>
          <w:rStyle w:val="11"/>
          <w:rFonts w:hint="default" w:ascii="Times New Roman" w:hAnsi="Times New Roman" w:eastAsia="方正仿宋_GBK" w:cs="Times New Roman"/>
          <w:b w:val="0"/>
          <w:bCs/>
          <w:sz w:val="32"/>
          <w:szCs w:val="32"/>
          <w:shd w:val="clear" w:color="auto" w:fill="FFFFFF"/>
        </w:rPr>
        <w:t>264.54</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81.7%</w:t>
      </w:r>
      <w:r>
        <w:rPr>
          <w:rStyle w:val="11"/>
          <w:rFonts w:hint="eastAsia" w:ascii="方正仿宋_GBK" w:hAnsi="方正仿宋_GBK" w:eastAsia="方正仿宋_GBK" w:cs="方正仿宋_GBK"/>
          <w:b w:val="0"/>
          <w:bCs/>
          <w:sz w:val="32"/>
          <w:szCs w:val="32"/>
          <w:shd w:val="clear" w:color="auto" w:fill="FFFFFF"/>
        </w:rPr>
        <w:t>，较年初预算数增加</w:t>
      </w:r>
      <w:r>
        <w:rPr>
          <w:rStyle w:val="11"/>
          <w:rFonts w:hint="default" w:ascii="Times New Roman" w:hAnsi="Times New Roman" w:eastAsia="方正仿宋_GBK" w:cs="Times New Roman"/>
          <w:b w:val="0"/>
          <w:bCs/>
          <w:sz w:val="32"/>
          <w:szCs w:val="32"/>
          <w:shd w:val="clear" w:color="auto" w:fill="FFFFFF"/>
        </w:rPr>
        <w:t>8.46</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3.3%</w:t>
      </w:r>
      <w:r>
        <w:rPr>
          <w:rStyle w:val="11"/>
          <w:rFonts w:hint="eastAsia" w:ascii="方正仿宋_GBK" w:hAnsi="方正仿宋_GBK" w:eastAsia="方正仿宋_GBK" w:cs="方正仿宋_GBK"/>
          <w:b w:val="0"/>
          <w:bCs/>
          <w:sz w:val="32"/>
          <w:szCs w:val="32"/>
          <w:shd w:val="clear" w:color="auto" w:fill="FFFFFF"/>
        </w:rPr>
        <w:t>，主要原因是人员增加相应的公用经费也增加。</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w:t>
      </w:r>
      <w:r>
        <w:rPr>
          <w:rStyle w:val="11"/>
          <w:rFonts w:hint="default" w:ascii="Times New Roman" w:hAnsi="Times New Roman" w:eastAsia="方正仿宋_GBK" w:cs="Times New Roman"/>
          <w:b w:val="0"/>
          <w:bCs/>
          <w:sz w:val="32"/>
          <w:szCs w:val="32"/>
          <w:shd w:val="clear" w:color="auto" w:fill="FFFFFF"/>
        </w:rPr>
        <w:t>2</w:t>
      </w:r>
      <w:r>
        <w:rPr>
          <w:rStyle w:val="11"/>
          <w:rFonts w:hint="eastAsia" w:ascii="方正仿宋_GBK" w:hAnsi="方正仿宋_GBK" w:eastAsia="方正仿宋_GBK" w:cs="方正仿宋_GBK"/>
          <w:b w:val="0"/>
          <w:bCs/>
          <w:sz w:val="32"/>
          <w:szCs w:val="32"/>
          <w:shd w:val="clear" w:color="auto" w:fill="FFFFFF"/>
        </w:rPr>
        <w:t>）社会保障与就业支出</w:t>
      </w:r>
      <w:r>
        <w:rPr>
          <w:rStyle w:val="11"/>
          <w:rFonts w:hint="default" w:ascii="Times New Roman" w:hAnsi="Times New Roman" w:eastAsia="方正仿宋_GBK" w:cs="Times New Roman"/>
          <w:b w:val="0"/>
          <w:bCs/>
          <w:sz w:val="32"/>
          <w:szCs w:val="32"/>
          <w:shd w:val="clear" w:color="auto" w:fill="FFFFFF"/>
        </w:rPr>
        <w:t>30.97</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9.6%</w:t>
      </w:r>
      <w:r>
        <w:rPr>
          <w:rStyle w:val="11"/>
          <w:rFonts w:hint="eastAsia" w:ascii="方正仿宋_GBK" w:hAnsi="方正仿宋_GBK" w:eastAsia="方正仿宋_GBK" w:cs="方正仿宋_GBK"/>
          <w:b w:val="0"/>
          <w:bCs/>
          <w:sz w:val="32"/>
          <w:szCs w:val="32"/>
          <w:shd w:val="clear" w:color="auto" w:fill="FFFFFF"/>
        </w:rPr>
        <w:t>，较年初预算数增加</w:t>
      </w:r>
      <w:r>
        <w:rPr>
          <w:rStyle w:val="11"/>
          <w:rFonts w:hint="default" w:ascii="Times New Roman" w:hAnsi="Times New Roman" w:eastAsia="方正仿宋_GBK" w:cs="Times New Roman"/>
          <w:b w:val="0"/>
          <w:bCs/>
          <w:sz w:val="32"/>
          <w:szCs w:val="32"/>
          <w:shd w:val="clear" w:color="auto" w:fill="FFFFFF"/>
        </w:rPr>
        <w:t>3.38</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12.3%</w:t>
      </w:r>
      <w:r>
        <w:rPr>
          <w:rStyle w:val="11"/>
          <w:rFonts w:hint="eastAsia" w:ascii="方正仿宋_GBK" w:hAnsi="方正仿宋_GBK" w:eastAsia="方正仿宋_GBK" w:cs="方正仿宋_GBK"/>
          <w:b w:val="0"/>
          <w:bCs/>
          <w:sz w:val="32"/>
          <w:szCs w:val="32"/>
          <w:shd w:val="clear" w:color="auto" w:fill="FFFFFF"/>
        </w:rPr>
        <w:t>，主要原因是人员增加。</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w:t>
      </w:r>
      <w:r>
        <w:rPr>
          <w:rStyle w:val="11"/>
          <w:rFonts w:hint="default" w:ascii="Times New Roman" w:hAnsi="Times New Roman" w:eastAsia="方正仿宋_GBK" w:cs="Times New Roman"/>
          <w:b w:val="0"/>
          <w:bCs/>
          <w:sz w:val="32"/>
          <w:szCs w:val="32"/>
          <w:shd w:val="clear" w:color="auto" w:fill="FFFFFF"/>
        </w:rPr>
        <w:t>3</w:t>
      </w:r>
      <w:r>
        <w:rPr>
          <w:rStyle w:val="11"/>
          <w:rFonts w:hint="eastAsia" w:ascii="方正仿宋_GBK" w:hAnsi="方正仿宋_GBK" w:eastAsia="方正仿宋_GBK" w:cs="方正仿宋_GBK"/>
          <w:b w:val="0"/>
          <w:bCs/>
          <w:sz w:val="32"/>
          <w:szCs w:val="32"/>
          <w:shd w:val="clear" w:color="auto" w:fill="FFFFFF"/>
        </w:rPr>
        <w:t>）卫生健康支出</w:t>
      </w:r>
      <w:r>
        <w:rPr>
          <w:rStyle w:val="11"/>
          <w:rFonts w:hint="default" w:ascii="Times New Roman" w:hAnsi="Times New Roman" w:eastAsia="方正仿宋_GBK" w:cs="Times New Roman"/>
          <w:b w:val="0"/>
          <w:bCs/>
          <w:sz w:val="32"/>
          <w:szCs w:val="32"/>
          <w:shd w:val="clear" w:color="auto" w:fill="FFFFFF"/>
        </w:rPr>
        <w:t>14.16</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4.4%</w:t>
      </w:r>
      <w:r>
        <w:rPr>
          <w:rStyle w:val="11"/>
          <w:rFonts w:hint="eastAsia" w:ascii="方正仿宋_GBK" w:hAnsi="方正仿宋_GBK" w:eastAsia="方正仿宋_GBK" w:cs="方正仿宋_GBK"/>
          <w:b w:val="0"/>
          <w:bCs/>
          <w:sz w:val="32"/>
          <w:szCs w:val="32"/>
          <w:shd w:val="clear" w:color="auto" w:fill="FFFFFF"/>
        </w:rPr>
        <w:t>，较年初预算数减少</w:t>
      </w:r>
      <w:r>
        <w:rPr>
          <w:rStyle w:val="11"/>
          <w:rFonts w:hint="default" w:ascii="Times New Roman" w:hAnsi="Times New Roman" w:eastAsia="方正仿宋_GBK" w:cs="Times New Roman"/>
          <w:b w:val="0"/>
          <w:bCs/>
          <w:sz w:val="32"/>
          <w:szCs w:val="32"/>
          <w:shd w:val="clear" w:color="auto" w:fill="FFFFFF"/>
        </w:rPr>
        <w:t>1.08</w:t>
      </w:r>
      <w:r>
        <w:rPr>
          <w:rStyle w:val="11"/>
          <w:rFonts w:hint="eastAsia" w:ascii="方正仿宋_GBK" w:hAnsi="方正仿宋_GBK" w:eastAsia="方正仿宋_GBK" w:cs="方正仿宋_GBK"/>
          <w:b w:val="0"/>
          <w:bCs/>
          <w:sz w:val="32"/>
          <w:szCs w:val="32"/>
          <w:shd w:val="clear" w:color="auto" w:fill="FFFFFF"/>
        </w:rPr>
        <w:t>万元，下降</w:t>
      </w:r>
      <w:r>
        <w:rPr>
          <w:rStyle w:val="11"/>
          <w:rFonts w:hint="default" w:ascii="Times New Roman" w:hAnsi="Times New Roman" w:eastAsia="方正仿宋_GBK" w:cs="Times New Roman"/>
          <w:b w:val="0"/>
          <w:bCs/>
          <w:sz w:val="32"/>
          <w:szCs w:val="32"/>
          <w:shd w:val="clear" w:color="auto" w:fill="FFFFFF"/>
        </w:rPr>
        <w:t>7.1%</w:t>
      </w:r>
      <w:r>
        <w:rPr>
          <w:rStyle w:val="11"/>
          <w:rFonts w:hint="eastAsia" w:ascii="方正仿宋_GBK" w:hAnsi="方正仿宋_GBK" w:eastAsia="方正仿宋_GBK" w:cs="方正仿宋_GBK"/>
          <w:b w:val="0"/>
          <w:bCs/>
          <w:sz w:val="32"/>
          <w:szCs w:val="32"/>
          <w:shd w:val="clear" w:color="auto" w:fill="FFFFFF"/>
        </w:rPr>
        <w:t>，主要原因是年中对年初预算的二次医疗进行了追减。</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w:t>
      </w:r>
      <w:r>
        <w:rPr>
          <w:rStyle w:val="11"/>
          <w:rFonts w:hint="default" w:ascii="Times New Roman" w:hAnsi="Times New Roman" w:eastAsia="方正仿宋_GBK" w:cs="Times New Roman"/>
          <w:b w:val="0"/>
          <w:bCs/>
          <w:sz w:val="32"/>
          <w:szCs w:val="32"/>
          <w:shd w:val="clear" w:color="auto" w:fill="FFFFFF"/>
        </w:rPr>
        <w:t>4</w:t>
      </w:r>
      <w:r>
        <w:rPr>
          <w:rStyle w:val="11"/>
          <w:rFonts w:hint="eastAsia" w:ascii="方正仿宋_GBK" w:hAnsi="方正仿宋_GBK" w:eastAsia="方正仿宋_GBK" w:cs="方正仿宋_GBK"/>
          <w:b w:val="0"/>
          <w:bCs/>
          <w:sz w:val="32"/>
          <w:szCs w:val="32"/>
          <w:shd w:val="clear" w:color="auto" w:fill="FFFFFF"/>
        </w:rPr>
        <w:t>）住房保障支出</w:t>
      </w:r>
      <w:r>
        <w:rPr>
          <w:rStyle w:val="11"/>
          <w:rFonts w:hint="default" w:ascii="Times New Roman" w:hAnsi="Times New Roman" w:eastAsia="方正仿宋_GBK" w:cs="Times New Roman"/>
          <w:b w:val="0"/>
          <w:bCs/>
          <w:sz w:val="32"/>
          <w:szCs w:val="32"/>
          <w:shd w:val="clear" w:color="auto" w:fill="FFFFFF"/>
        </w:rPr>
        <w:t>14.07</w:t>
      </w:r>
      <w:r>
        <w:rPr>
          <w:rStyle w:val="11"/>
          <w:rFonts w:hint="eastAsia" w:ascii="方正仿宋_GBK" w:hAnsi="方正仿宋_GBK" w:eastAsia="方正仿宋_GBK" w:cs="方正仿宋_GBK"/>
          <w:b w:val="0"/>
          <w:bCs/>
          <w:sz w:val="32"/>
          <w:szCs w:val="32"/>
          <w:shd w:val="clear" w:color="auto" w:fill="FFFFFF"/>
        </w:rPr>
        <w:t>万元，占</w:t>
      </w:r>
      <w:r>
        <w:rPr>
          <w:rStyle w:val="11"/>
          <w:rFonts w:hint="default" w:ascii="Times New Roman" w:hAnsi="Times New Roman" w:eastAsia="方正仿宋_GBK" w:cs="Times New Roman"/>
          <w:b w:val="0"/>
          <w:bCs/>
          <w:sz w:val="32"/>
          <w:szCs w:val="32"/>
          <w:shd w:val="clear" w:color="auto" w:fill="FFFFFF"/>
        </w:rPr>
        <w:t>4.3%</w:t>
      </w:r>
      <w:r>
        <w:rPr>
          <w:rStyle w:val="11"/>
          <w:rFonts w:hint="eastAsia" w:ascii="方正仿宋_GBK" w:hAnsi="方正仿宋_GBK" w:eastAsia="方正仿宋_GBK" w:cs="方正仿宋_GBK"/>
          <w:b w:val="0"/>
          <w:bCs/>
          <w:sz w:val="32"/>
          <w:szCs w:val="32"/>
          <w:shd w:val="clear" w:color="auto" w:fill="FFFFFF"/>
        </w:rPr>
        <w:t>，较年初预算数增加</w:t>
      </w:r>
      <w:r>
        <w:rPr>
          <w:rStyle w:val="11"/>
          <w:rFonts w:hint="default" w:ascii="Times New Roman" w:hAnsi="Times New Roman" w:eastAsia="方正仿宋_GBK" w:cs="Times New Roman"/>
          <w:b w:val="0"/>
          <w:bCs/>
          <w:sz w:val="32"/>
          <w:szCs w:val="32"/>
          <w:shd w:val="clear" w:color="auto" w:fill="FFFFFF"/>
        </w:rPr>
        <w:t>1.27</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9.9%</w:t>
      </w:r>
      <w:r>
        <w:rPr>
          <w:rStyle w:val="11"/>
          <w:rFonts w:hint="eastAsia" w:ascii="方正仿宋_GBK" w:hAnsi="方正仿宋_GBK" w:eastAsia="方正仿宋_GBK" w:cs="方正仿宋_GBK"/>
          <w:b w:val="0"/>
          <w:bCs/>
          <w:sz w:val="32"/>
          <w:szCs w:val="32"/>
          <w:shd w:val="clear" w:color="auto" w:fill="FFFFFF"/>
        </w:rPr>
        <w:t>，主要原因是人员增加。</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（四）一般公共预算财政拨款基本支出决算情况说明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kern w:val="0"/>
          <w:sz w:val="32"/>
          <w:szCs w:val="32"/>
          <w:shd w:val="clear" w:color="auto" w:fill="FFFFFF"/>
        </w:rPr>
      </w:pP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年度一般公共预算财政拨款基本支出</w:t>
      </w:r>
      <w:r>
        <w:rPr>
          <w:rFonts w:hint="default" w:ascii="Times New Roman" w:hAnsi="Times New Roman" w:eastAsia="方正仿宋_GBK" w:cs="Times New Roman"/>
          <w:kern w:val="0"/>
          <w:sz w:val="32"/>
          <w:szCs w:val="32"/>
          <w:shd w:val="clear" w:color="auto" w:fill="FFFFFF"/>
        </w:rPr>
        <w:t>323.74</w:t>
      </w:r>
      <w:r>
        <w:rPr>
          <w:rFonts w:hint="eastAsia" w:ascii="方正仿宋_GBK" w:hAnsi="方正仿宋_GBK" w:eastAsia="方正仿宋_GBK" w:cs="方正仿宋_GBK"/>
          <w:kern w:val="0"/>
          <w:sz w:val="32"/>
          <w:szCs w:val="32"/>
          <w:shd w:val="clear" w:color="auto" w:fill="FFFFFF"/>
        </w:rPr>
        <w:t>万元。其中：人员经费</w:t>
      </w:r>
      <w:r>
        <w:rPr>
          <w:rFonts w:hint="default" w:ascii="Times New Roman" w:hAnsi="Times New Roman" w:eastAsia="方正仿宋_GBK" w:cs="Times New Roman"/>
          <w:kern w:val="0"/>
          <w:sz w:val="32"/>
          <w:szCs w:val="32"/>
          <w:shd w:val="clear" w:color="auto" w:fill="FFFFFF"/>
        </w:rPr>
        <w:t>269.77</w:t>
      </w:r>
      <w:r>
        <w:rPr>
          <w:rFonts w:hint="eastAsia" w:ascii="方正仿宋_GBK" w:hAnsi="方正仿宋_GBK" w:eastAsia="方正仿宋_GBK" w:cs="方正仿宋_GBK"/>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269.77</w:t>
      </w:r>
      <w:r>
        <w:rPr>
          <w:rFonts w:hint="eastAsia" w:ascii="方正仿宋_GBK" w:hAnsi="方正仿宋_GBK" w:eastAsia="方正仿宋_GBK" w:cs="方正仿宋_GBK"/>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年年初预算及年终决算为独立核算，所以无上年对比数。人员经费用途主要包括人员经费用途主要包括</w:t>
      </w:r>
      <w:r>
        <w:rPr>
          <w:rFonts w:hint="eastAsia" w:ascii="方正仿宋_GBK" w:hAnsi="方正仿宋_GBK" w:eastAsia="方正仿宋_GBK" w:cs="方正仿宋_GBK"/>
          <w:i w:val="0"/>
          <w:kern w:val="0"/>
          <w:sz w:val="32"/>
          <w:szCs w:val="32"/>
        </w:rPr>
        <w:t>基本工资、津贴补贴、奖金、社会保障缴费。</w:t>
      </w:r>
      <w:r>
        <w:rPr>
          <w:rFonts w:hint="eastAsia" w:ascii="方正仿宋_GBK" w:hAnsi="方正仿宋_GBK" w:eastAsia="方正仿宋_GBK" w:cs="方正仿宋_GBK"/>
          <w:kern w:val="0"/>
          <w:sz w:val="32"/>
          <w:szCs w:val="32"/>
          <w:shd w:val="clear" w:color="auto" w:fill="FFFFFF"/>
        </w:rPr>
        <w:t>公用经费</w:t>
      </w:r>
      <w:r>
        <w:rPr>
          <w:rFonts w:hint="default" w:ascii="Times New Roman" w:hAnsi="Times New Roman" w:eastAsia="方正仿宋_GBK" w:cs="Times New Roman"/>
          <w:kern w:val="0"/>
          <w:sz w:val="32"/>
          <w:szCs w:val="32"/>
          <w:shd w:val="clear" w:color="auto" w:fill="FFFFFF"/>
        </w:rPr>
        <w:t>53.97</w:t>
      </w:r>
      <w:r>
        <w:rPr>
          <w:rFonts w:hint="eastAsia" w:ascii="方正仿宋_GBK" w:hAnsi="方正仿宋_GBK" w:eastAsia="方正仿宋_GBK" w:cs="方正仿宋_GBK"/>
          <w:kern w:val="0"/>
          <w:sz w:val="32"/>
          <w:szCs w:val="32"/>
          <w:shd w:val="clear" w:color="auto" w:fill="FFFFFF"/>
        </w:rPr>
        <w:t>万元，较上年决算数增加</w:t>
      </w:r>
      <w:r>
        <w:rPr>
          <w:rFonts w:hint="default" w:ascii="Times New Roman" w:hAnsi="Times New Roman" w:eastAsia="方正仿宋_GBK" w:cs="Times New Roman"/>
          <w:kern w:val="0"/>
          <w:sz w:val="32"/>
          <w:szCs w:val="32"/>
          <w:shd w:val="clear" w:color="auto" w:fill="FFFFFF"/>
        </w:rPr>
        <w:t>53.97</w:t>
      </w:r>
      <w:r>
        <w:rPr>
          <w:rFonts w:hint="eastAsia" w:ascii="方正仿宋_GBK" w:hAnsi="方正仿宋_GBK" w:eastAsia="方正仿宋_GBK" w:cs="方正仿宋_GBK"/>
          <w:kern w:val="0"/>
          <w:sz w:val="32"/>
          <w:szCs w:val="32"/>
          <w:shd w:val="clear" w:color="auto" w:fill="FFFFFF"/>
        </w:rPr>
        <w:t>万元，增长</w:t>
      </w:r>
      <w:r>
        <w:rPr>
          <w:rFonts w:hint="default" w:ascii="Times New Roman" w:hAnsi="Times New Roman" w:eastAsia="方正仿宋_GBK" w:cs="Times New Roman"/>
          <w:kern w:val="0"/>
          <w:sz w:val="32"/>
          <w:szCs w:val="32"/>
          <w:shd w:val="clear" w:color="auto" w:fill="FFFFFF"/>
        </w:rPr>
        <w:t>100%</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年年初预算及年终决算为独立核算，所以无上年对比数。公用经费用途主要包括</w:t>
      </w:r>
      <w:r>
        <w:rPr>
          <w:rFonts w:hint="eastAsia" w:ascii="方正仿宋_GBK" w:hAnsi="方正仿宋_GBK" w:eastAsia="方正仿宋_GBK" w:cs="方正仿宋_GBK"/>
          <w:i w:val="0"/>
          <w:kern w:val="0"/>
          <w:sz w:val="32"/>
          <w:szCs w:val="32"/>
          <w:shd w:val="clear" w:color="auto" w:fill="FFFFFF"/>
        </w:rPr>
        <w:t>办公及印刷费、邮电费、差旅费、会议费、福利费、日常维护费、公务用车运行维护费以及其他费用。</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（五）政府性基金预算收支决算情况说明。</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本</w:t>
      </w:r>
      <w:r>
        <w:rPr>
          <w:rStyle w:val="11"/>
          <w:rFonts w:hint="eastAsia" w:ascii="方正仿宋_GBK" w:hAnsi="方正仿宋_GBK" w:eastAsia="方正仿宋_GBK" w:cs="方正仿宋_GBK"/>
          <w:b w:val="0"/>
          <w:bCs/>
          <w:sz w:val="32"/>
          <w:szCs w:val="32"/>
          <w:shd w:val="clear" w:color="auto" w:fill="FFFFFF"/>
          <w:lang w:eastAsia="zh-CN"/>
        </w:rPr>
        <w:t>单位</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年度无政府性基金预算财政拨款收支。</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（六）国有资本经营预算财政拨款支出决算情况说明。</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本</w:t>
      </w:r>
      <w:r>
        <w:rPr>
          <w:rStyle w:val="11"/>
          <w:rFonts w:hint="eastAsia" w:ascii="方正仿宋_GBK" w:hAnsi="方正仿宋_GBK" w:eastAsia="方正仿宋_GBK" w:cs="方正仿宋_GBK"/>
          <w:b w:val="0"/>
          <w:bCs/>
          <w:sz w:val="32"/>
          <w:szCs w:val="32"/>
          <w:shd w:val="clear" w:color="auto" w:fill="FFFFFF"/>
          <w:lang w:eastAsia="zh-CN"/>
        </w:rPr>
        <w:t>单位</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年度无国有资本经营预算财政拨款支出。</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三、</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三公</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经费情况说明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（一）</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三公</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经费支出总体情况说明</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Style w:val="11"/>
          <w:rFonts w:hint="default" w:ascii="方正仿宋_GBK" w:hAnsi="方正仿宋_GBK" w:eastAsia="方正仿宋_GBK" w:cs="方正仿宋_GBK"/>
          <w:b w:val="0"/>
          <w:bCs/>
          <w:sz w:val="32"/>
          <w:szCs w:val="32"/>
          <w:shd w:val="clear" w:color="auto" w:fill="FFFFFF"/>
        </w:rPr>
      </w:pP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三公</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经费支出共计</w:t>
      </w:r>
      <w:r>
        <w:rPr>
          <w:rStyle w:val="11"/>
          <w:rFonts w:hint="default" w:ascii="Times New Roman" w:hAnsi="Times New Roman" w:eastAsia="方正仿宋_GBK" w:cs="Times New Roman"/>
          <w:b w:val="0"/>
          <w:bCs/>
          <w:sz w:val="32"/>
          <w:szCs w:val="32"/>
          <w:shd w:val="clear" w:color="auto" w:fill="FFFFFF"/>
        </w:rPr>
        <w:t>6.86</w:t>
      </w:r>
      <w:r>
        <w:rPr>
          <w:rStyle w:val="11"/>
          <w:rFonts w:hint="eastAsia" w:ascii="方正仿宋_GBK" w:hAnsi="方正仿宋_GBK" w:eastAsia="方正仿宋_GBK" w:cs="方正仿宋_GBK"/>
          <w:b w:val="0"/>
          <w:bCs/>
          <w:sz w:val="32"/>
          <w:szCs w:val="32"/>
          <w:shd w:val="clear" w:color="auto" w:fill="FFFFFF"/>
        </w:rPr>
        <w:t>万元，较年初预算数减少</w:t>
      </w:r>
      <w:r>
        <w:rPr>
          <w:rStyle w:val="11"/>
          <w:rFonts w:hint="default" w:ascii="Times New Roman" w:hAnsi="Times New Roman" w:eastAsia="方正仿宋_GBK" w:cs="Times New Roman"/>
          <w:b w:val="0"/>
          <w:bCs/>
          <w:sz w:val="32"/>
          <w:szCs w:val="32"/>
          <w:shd w:val="clear" w:color="auto" w:fill="FFFFFF"/>
        </w:rPr>
        <w:t>3.14</w:t>
      </w:r>
      <w:r>
        <w:rPr>
          <w:rStyle w:val="11"/>
          <w:rFonts w:hint="eastAsia" w:ascii="方正仿宋_GBK" w:hAnsi="方正仿宋_GBK" w:eastAsia="方正仿宋_GBK" w:cs="方正仿宋_GBK"/>
          <w:b w:val="0"/>
          <w:bCs/>
          <w:sz w:val="32"/>
          <w:szCs w:val="32"/>
          <w:shd w:val="clear" w:color="auto" w:fill="FFFFFF"/>
        </w:rPr>
        <w:t>万元，下降</w:t>
      </w:r>
      <w:r>
        <w:rPr>
          <w:rStyle w:val="11"/>
          <w:rFonts w:hint="eastAsia" w:ascii="Times New Roman" w:hAnsi="Times New Roman" w:eastAsia="方正仿宋_GBK" w:cs="Times New Roman"/>
          <w:b w:val="0"/>
          <w:bCs/>
          <w:sz w:val="32"/>
          <w:szCs w:val="32"/>
          <w:shd w:val="clear" w:color="auto" w:fill="FFFFFF"/>
          <w:lang w:val="en-US" w:eastAsia="zh-CN"/>
        </w:rPr>
        <w:t>100</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方正仿宋_GBK" w:hAnsi="方正仿宋_GBK" w:eastAsia="方正仿宋_GBK" w:cs="方正仿宋_GBK"/>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年度未发生</w:t>
      </w:r>
      <w:r>
        <w:rPr>
          <w:rStyle w:val="11"/>
          <w:rFonts w:hint="default" w:ascii="方正仿宋_GBK" w:hAnsi="方正仿宋_GBK" w:eastAsia="方正仿宋_GBK" w:cs="方正仿宋_GBK"/>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三公</w:t>
      </w:r>
      <w:r>
        <w:rPr>
          <w:rStyle w:val="11"/>
          <w:rFonts w:hint="default" w:ascii="方正仿宋_GBK" w:hAnsi="方正仿宋_GBK" w:eastAsia="方正仿宋_GBK" w:cs="方正仿宋_GBK"/>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经费支出。较上年支出数增加</w:t>
      </w:r>
      <w:r>
        <w:rPr>
          <w:rStyle w:val="11"/>
          <w:rFonts w:hint="default" w:ascii="方正仿宋_GBK" w:hAnsi="方正仿宋_GBK" w:eastAsia="方正仿宋_GBK" w:cs="方正仿宋_GBK"/>
          <w:b w:val="0"/>
          <w:bCs/>
          <w:sz w:val="32"/>
          <w:szCs w:val="32"/>
          <w:shd w:val="clear" w:color="auto" w:fill="FFFFFF"/>
        </w:rPr>
        <w:t>6.86</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eastAsia" w:ascii="方正仿宋_GBK" w:hAnsi="方正仿宋_GBK" w:eastAsia="方正仿宋_GBK" w:cs="方正仿宋_GBK"/>
          <w:b w:val="0"/>
          <w:bCs/>
          <w:sz w:val="32"/>
          <w:szCs w:val="32"/>
          <w:shd w:val="clear" w:color="auto" w:fill="FFFFFF"/>
          <w:lang w:val="en-US" w:eastAsia="zh-CN"/>
        </w:rPr>
        <w:t>100</w:t>
      </w:r>
      <w:r>
        <w:rPr>
          <w:rStyle w:val="11"/>
          <w:rFonts w:hint="default" w:ascii="方正仿宋_GBK" w:hAnsi="方正仿宋_GBK" w:eastAsia="方正仿宋_GBK" w:cs="方正仿宋_GBK"/>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方正仿宋_GBK" w:hAnsi="方正仿宋_GBK" w:eastAsia="方正仿宋_GBK" w:cs="方正仿宋_GBK"/>
          <w:b w:val="0"/>
          <w:bCs/>
          <w:sz w:val="32"/>
          <w:szCs w:val="32"/>
          <w:shd w:val="clear" w:color="auto" w:fill="FFFFFF"/>
        </w:rPr>
        <w:t>2021</w:t>
      </w:r>
      <w:r>
        <w:rPr>
          <w:rStyle w:val="11"/>
          <w:rFonts w:hint="eastAsia" w:ascii="方正仿宋_GBK" w:hAnsi="方正仿宋_GBK" w:eastAsia="方正仿宋_GBK" w:cs="方正仿宋_GBK"/>
          <w:b w:val="0"/>
          <w:bCs/>
          <w:sz w:val="32"/>
          <w:szCs w:val="32"/>
          <w:shd w:val="clear" w:color="auto" w:fill="FFFFFF"/>
        </w:rPr>
        <w:t>年年初预算及年终决算合并在区文化旅游委统一核算，</w:t>
      </w:r>
      <w:r>
        <w:rPr>
          <w:rStyle w:val="11"/>
          <w:rFonts w:hint="default" w:ascii="方正仿宋_GBK" w:hAnsi="方正仿宋_GBK" w:eastAsia="方正仿宋_GBK" w:cs="方正仿宋_GBK"/>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年年初预算及年终决算为独立核算，所以无上年对比数。</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（二）</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三公</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经费分项支出情况</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年度本部门因公出国（境）费用</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万元，费用支出较年初预算数增加</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eastAsia" w:ascii="Times New Roman" w:hAnsi="Times New Roman" w:eastAsia="方正仿宋_GBK" w:cs="Times New Roman"/>
          <w:b w:val="0"/>
          <w:bCs/>
          <w:sz w:val="32"/>
          <w:szCs w:val="32"/>
          <w:shd w:val="clear" w:color="auto" w:fill="FFFFFF"/>
        </w:rPr>
        <w:t xml:space="preserve"> </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，增长</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，主要原因是</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年度本部门未发生因公出国（境）费用。较上年支出数增加</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，主要原因是</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年度本部门未发生因公出国（境）费用。</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公务车购置费</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万元，主要原因是本单位</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年未发生公务车购置费支出。费用支出较年初预算数增加</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0%</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年未发生公务车购置费支出。较上年支出数增加</w:t>
      </w:r>
      <w:r>
        <w:rPr>
          <w:rStyle w:val="11"/>
          <w:rFonts w:hint="default" w:ascii="Times New Roman" w:hAnsi="Times New Roman" w:eastAsia="方正仿宋_GBK" w:cs="Times New Roman"/>
          <w:b w:val="0"/>
          <w:bCs/>
          <w:sz w:val="32"/>
          <w:szCs w:val="32"/>
          <w:shd w:val="clear" w:color="auto" w:fill="FFFFFF"/>
        </w:rPr>
        <w:t>0.00</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Times New Roman" w:hAnsi="Times New Roman" w:eastAsia="方正仿宋_GBK" w:cs="Times New Roman"/>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Times New Roman" w:hAnsi="Times New Roman" w:eastAsia="方正仿宋_GBK" w:cs="Times New Roman"/>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年未发生公务车购置费支出。</w:t>
      </w:r>
    </w:p>
    <w:p>
      <w:pPr>
        <w:keepNext w:val="0"/>
        <w:keepLines w:val="0"/>
        <w:widowControl/>
        <w:suppressLineNumbers w:val="0"/>
        <w:autoSpaceDE w:val="0"/>
        <w:autoSpaceDN/>
        <w:spacing w:before="0" w:beforeAutospacing="0" w:after="0" w:afterAutospacing="0" w:line="600" w:lineRule="exact"/>
        <w:ind w:left="0" w:right="0" w:firstLine="640" w:firstLineChars="200"/>
        <w:jc w:val="left"/>
        <w:rPr>
          <w:rFonts w:hint="default" w:ascii="Times New Roman" w:hAnsi="Times New Roman" w:eastAsia="方正仿宋_GBK" w:cs="Times New Roman"/>
          <w:b w:val="0"/>
          <w:bCs/>
          <w:color w:val="FF0000"/>
          <w:sz w:val="32"/>
          <w:szCs w:val="32"/>
          <w:shd w:val="clear" w:color="auto" w:fill="FFFFFF"/>
        </w:rPr>
      </w:pPr>
      <w:r>
        <w:rPr>
          <w:rStyle w:val="11"/>
          <w:rFonts w:hint="eastAsia" w:ascii="方正仿宋_GBK" w:hAnsi="方正仿宋_GBK" w:eastAsia="方正仿宋_GBK" w:cs="方正仿宋_GBK"/>
          <w:b w:val="0"/>
          <w:bCs/>
          <w:sz w:val="32"/>
          <w:szCs w:val="32"/>
          <w:shd w:val="clear" w:color="auto" w:fill="FFFFFF"/>
        </w:rPr>
        <w:t>公务车运行维护费</w:t>
      </w:r>
      <w:r>
        <w:rPr>
          <w:rStyle w:val="11"/>
          <w:rFonts w:hint="default" w:ascii="Times New Roman" w:hAnsi="Times New Roman" w:eastAsia="方正仿宋_GBK" w:cs="Times New Roman"/>
          <w:b w:val="0"/>
          <w:bCs/>
          <w:sz w:val="32"/>
          <w:szCs w:val="32"/>
          <w:shd w:val="clear" w:color="auto" w:fill="FFFFFF"/>
        </w:rPr>
        <w:t>6.39</w:t>
      </w:r>
      <w:r>
        <w:rPr>
          <w:rStyle w:val="11"/>
          <w:rFonts w:hint="eastAsia" w:ascii="方正仿宋_GBK" w:hAnsi="方正仿宋_GBK" w:eastAsia="方正仿宋_GBK" w:cs="方正仿宋_GBK"/>
          <w:b w:val="0"/>
          <w:bCs/>
          <w:sz w:val="32"/>
          <w:szCs w:val="32"/>
          <w:shd w:val="clear" w:color="auto" w:fill="FFFFFF"/>
        </w:rPr>
        <w:t>万元，主要用于</w:t>
      </w:r>
      <w:r>
        <w:rPr>
          <w:rStyle w:val="11"/>
          <w:rFonts w:hint="eastAsia" w:ascii="方正仿宋_GBK" w:hAnsi="方正仿宋_GBK" w:eastAsia="方正仿宋_GBK" w:cs="方正仿宋_GBK"/>
          <w:b w:val="0"/>
          <w:bCs/>
          <w:sz w:val="32"/>
          <w:szCs w:val="32"/>
          <w:shd w:val="clear" w:color="auto" w:fill="FFFFFF"/>
          <w:lang w:eastAsia="zh-CN"/>
        </w:rPr>
        <w:t>公务车维修维护费、邮费、过路费等。</w:t>
      </w:r>
      <w:r>
        <w:rPr>
          <w:rStyle w:val="11"/>
          <w:rFonts w:hint="eastAsia" w:ascii="方正仿宋_GBK" w:hAnsi="方正仿宋_GBK" w:eastAsia="方正仿宋_GBK" w:cs="方正仿宋_GBK"/>
          <w:b w:val="0"/>
          <w:bCs/>
          <w:sz w:val="32"/>
          <w:szCs w:val="32"/>
          <w:shd w:val="clear" w:color="auto" w:fill="FFFFFF"/>
        </w:rPr>
        <w:t>费用支出较年初预算数减少</w:t>
      </w:r>
      <w:r>
        <w:rPr>
          <w:rStyle w:val="11"/>
          <w:rFonts w:hint="default" w:ascii="方正仿宋_GBK" w:hAnsi="方正仿宋_GBK" w:eastAsia="方正仿宋_GBK" w:cs="方正仿宋_GBK"/>
          <w:b w:val="0"/>
          <w:bCs/>
          <w:sz w:val="32"/>
          <w:szCs w:val="32"/>
          <w:shd w:val="clear" w:color="auto" w:fill="FFFFFF"/>
        </w:rPr>
        <w:t>1.61</w:t>
      </w:r>
      <w:r>
        <w:rPr>
          <w:rStyle w:val="11"/>
          <w:rFonts w:hint="eastAsia" w:ascii="方正仿宋_GBK" w:hAnsi="方正仿宋_GBK" w:eastAsia="方正仿宋_GBK" w:cs="方正仿宋_GBK"/>
          <w:b w:val="0"/>
          <w:bCs/>
          <w:sz w:val="32"/>
          <w:szCs w:val="32"/>
          <w:shd w:val="clear" w:color="auto" w:fill="FFFFFF"/>
        </w:rPr>
        <w:t>万元，下降</w:t>
      </w:r>
      <w:r>
        <w:rPr>
          <w:rStyle w:val="11"/>
          <w:rFonts w:hint="default" w:ascii="方正仿宋_GBK" w:hAnsi="方正仿宋_GBK" w:eastAsia="方正仿宋_GBK" w:cs="方正仿宋_GBK"/>
          <w:b w:val="0"/>
          <w:bCs/>
          <w:sz w:val="32"/>
          <w:szCs w:val="32"/>
          <w:shd w:val="clear" w:color="auto" w:fill="FFFFFF"/>
        </w:rPr>
        <w:t>20.1%</w:t>
      </w:r>
      <w:r>
        <w:rPr>
          <w:rStyle w:val="11"/>
          <w:rFonts w:hint="eastAsia" w:ascii="方正仿宋_GBK" w:hAnsi="方正仿宋_GBK" w:eastAsia="方正仿宋_GBK" w:cs="方正仿宋_GBK"/>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lang w:eastAsia="zh-CN"/>
        </w:rPr>
        <w:t>根据相关规定节约经费支出。</w:t>
      </w:r>
      <w:r>
        <w:rPr>
          <w:rStyle w:val="11"/>
          <w:rFonts w:hint="eastAsia" w:ascii="方正仿宋_GBK" w:hAnsi="方正仿宋_GBK" w:eastAsia="方正仿宋_GBK" w:cs="方正仿宋_GBK"/>
          <w:b w:val="0"/>
          <w:bCs/>
          <w:sz w:val="32"/>
          <w:szCs w:val="32"/>
          <w:shd w:val="clear" w:color="auto" w:fill="FFFFFF"/>
        </w:rPr>
        <w:t>较上年支出数增加</w:t>
      </w:r>
      <w:r>
        <w:rPr>
          <w:rStyle w:val="11"/>
          <w:rFonts w:hint="default" w:ascii="方正仿宋_GBK" w:hAnsi="方正仿宋_GBK" w:eastAsia="方正仿宋_GBK" w:cs="方正仿宋_GBK"/>
          <w:b w:val="0"/>
          <w:bCs/>
          <w:sz w:val="32"/>
          <w:szCs w:val="32"/>
          <w:shd w:val="clear" w:color="auto" w:fill="FFFFFF"/>
        </w:rPr>
        <w:t>6.39</w:t>
      </w:r>
      <w:r>
        <w:rPr>
          <w:rStyle w:val="11"/>
          <w:rFonts w:hint="eastAsia" w:ascii="方正仿宋_GBK" w:hAnsi="方正仿宋_GBK" w:eastAsia="方正仿宋_GBK" w:cs="方正仿宋_GBK"/>
          <w:b w:val="0"/>
          <w:bCs/>
          <w:sz w:val="32"/>
          <w:szCs w:val="32"/>
          <w:shd w:val="clear" w:color="auto" w:fill="FFFFFF"/>
        </w:rPr>
        <w:t>万元，增长</w:t>
      </w:r>
      <w:r>
        <w:rPr>
          <w:rStyle w:val="11"/>
          <w:rFonts w:hint="default" w:ascii="方正仿宋_GBK" w:hAnsi="方正仿宋_GBK" w:eastAsia="方正仿宋_GBK" w:cs="方正仿宋_GBK"/>
          <w:b w:val="0"/>
          <w:bCs/>
          <w:sz w:val="32"/>
          <w:szCs w:val="32"/>
          <w:shd w:val="clear" w:color="auto" w:fill="FFFFFF"/>
        </w:rPr>
        <w:t>%</w:t>
      </w:r>
      <w:r>
        <w:rPr>
          <w:rStyle w:val="11"/>
          <w:rFonts w:hint="eastAsia" w:ascii="方正仿宋_GBK" w:hAnsi="方正仿宋_GBK" w:eastAsia="方正仿宋_GBK" w:cs="方正仿宋_GBK"/>
          <w:b w:val="0"/>
          <w:bCs/>
          <w:sz w:val="32"/>
          <w:szCs w:val="32"/>
          <w:shd w:val="clear" w:color="auto" w:fill="FFFFFF"/>
        </w:rPr>
        <w:t>，主要原因是本单位</w:t>
      </w:r>
      <w:r>
        <w:rPr>
          <w:rStyle w:val="11"/>
          <w:rFonts w:hint="default" w:ascii="方正仿宋_GBK" w:hAnsi="方正仿宋_GBK" w:eastAsia="方正仿宋_GBK" w:cs="方正仿宋_GBK"/>
          <w:b w:val="0"/>
          <w:bCs/>
          <w:sz w:val="32"/>
          <w:szCs w:val="32"/>
          <w:shd w:val="clear" w:color="auto" w:fill="FFFFFF"/>
        </w:rPr>
        <w:t>2021</w:t>
      </w:r>
      <w:r>
        <w:rPr>
          <w:rStyle w:val="11"/>
          <w:rFonts w:hint="eastAsia" w:ascii="方正仿宋_GBK" w:hAnsi="方正仿宋_GBK" w:eastAsia="方正仿宋_GBK" w:cs="方正仿宋_GBK"/>
          <w:b w:val="0"/>
          <w:bCs/>
          <w:sz w:val="32"/>
          <w:szCs w:val="32"/>
          <w:shd w:val="clear" w:color="auto" w:fill="FFFFFF"/>
        </w:rPr>
        <w:t>年年初预算及年终决算合并在区文化旅游委统一核算，</w:t>
      </w:r>
      <w:r>
        <w:rPr>
          <w:rStyle w:val="11"/>
          <w:rFonts w:hint="default" w:ascii="方正仿宋_GBK" w:hAnsi="方正仿宋_GBK" w:eastAsia="方正仿宋_GBK" w:cs="方正仿宋_GBK"/>
          <w:b w:val="0"/>
          <w:bCs/>
          <w:sz w:val="32"/>
          <w:szCs w:val="32"/>
          <w:shd w:val="clear" w:color="auto" w:fill="FFFFFF"/>
        </w:rPr>
        <w:t>2022</w:t>
      </w:r>
      <w:r>
        <w:rPr>
          <w:rStyle w:val="11"/>
          <w:rFonts w:hint="eastAsia" w:ascii="方正仿宋_GBK" w:hAnsi="方正仿宋_GBK" w:eastAsia="方正仿宋_GBK" w:cs="方正仿宋_GBK"/>
          <w:b w:val="0"/>
          <w:bCs/>
          <w:sz w:val="32"/>
          <w:szCs w:val="32"/>
          <w:shd w:val="clear" w:color="auto" w:fill="FFFFFF"/>
        </w:rPr>
        <w:t>年年初预算及年终决算为独立核算，所以无上年对比数。</w:t>
      </w:r>
    </w:p>
    <w:p>
      <w:pPr>
        <w:pStyle w:val="3"/>
        <w:keepNext w:val="0"/>
        <w:keepLines w:val="0"/>
        <w:widowControl/>
        <w:suppressLineNumbers w:val="0"/>
        <w:spacing w:before="0" w:beforeAutospacing="0"/>
        <w:ind w:left="0" w:firstLine="640" w:firstLineChars="200"/>
        <w:jc w:val="left"/>
        <w:rPr>
          <w:rStyle w:val="11"/>
          <w:rFonts w:hint="default" w:ascii="方正仿宋_GBK" w:hAnsi="方正仿宋_GBK" w:eastAsia="方正仿宋_GBK" w:cs="方正仿宋_GBK"/>
          <w:b w:val="0"/>
          <w:bCs/>
          <w:kern w:val="2"/>
          <w:sz w:val="32"/>
          <w:szCs w:val="32"/>
          <w:shd w:val="clear" w:color="auto" w:fill="FFFFFF"/>
          <w:lang w:val="en-US" w:eastAsia="zh-CN" w:bidi="ar-SA"/>
        </w:rPr>
      </w:pPr>
      <w:r>
        <w:rPr>
          <w:rStyle w:val="11"/>
          <w:rFonts w:hint="eastAsia" w:ascii="方正仿宋_GBK" w:hAnsi="方正仿宋_GBK" w:eastAsia="方正仿宋_GBK" w:cs="方正仿宋_GBK"/>
          <w:b w:val="0"/>
          <w:bCs/>
          <w:kern w:val="2"/>
          <w:sz w:val="32"/>
          <w:szCs w:val="32"/>
          <w:shd w:val="clear" w:color="auto" w:fill="FFFFFF"/>
          <w:lang w:val="en-US" w:eastAsia="zh-CN" w:bidi="ar-SA"/>
        </w:rPr>
        <w:t>公务接待费</w:t>
      </w:r>
      <w:r>
        <w:rPr>
          <w:rStyle w:val="11"/>
          <w:rFonts w:hint="default" w:ascii="方正仿宋_GBK" w:hAnsi="方正仿宋_GBK" w:eastAsia="方正仿宋_GBK" w:cs="方正仿宋_GBK"/>
          <w:b w:val="0"/>
          <w:bCs/>
          <w:kern w:val="2"/>
          <w:sz w:val="32"/>
          <w:szCs w:val="32"/>
          <w:shd w:val="clear" w:color="auto" w:fill="FFFFFF"/>
          <w:lang w:val="en-US" w:eastAsia="zh-CN" w:bidi="ar-SA"/>
        </w:rPr>
        <w:t>0.48</w:t>
      </w:r>
      <w:r>
        <w:rPr>
          <w:rStyle w:val="11"/>
          <w:rFonts w:hint="eastAsia" w:ascii="方正仿宋_GBK" w:hAnsi="方正仿宋_GBK" w:eastAsia="方正仿宋_GBK" w:cs="方正仿宋_GBK"/>
          <w:b w:val="0"/>
          <w:bCs/>
          <w:kern w:val="2"/>
          <w:sz w:val="32"/>
          <w:szCs w:val="32"/>
          <w:shd w:val="clear" w:color="auto" w:fill="FFFFFF"/>
          <w:lang w:val="en-US" w:eastAsia="zh-CN" w:bidi="ar-SA"/>
        </w:rPr>
        <w:t>万元，主要用于接待市级以上部门或其他区县到我单位学习调研接待支出，接受相关部门检查指导工作发生的接待支出、招商引资接待支出。费用支出较年初预算数减少</w:t>
      </w:r>
      <w:r>
        <w:rPr>
          <w:rStyle w:val="11"/>
          <w:rFonts w:hint="default" w:ascii="方正仿宋_GBK" w:hAnsi="方正仿宋_GBK" w:eastAsia="方正仿宋_GBK" w:cs="方正仿宋_GBK"/>
          <w:b w:val="0"/>
          <w:bCs/>
          <w:kern w:val="2"/>
          <w:sz w:val="32"/>
          <w:szCs w:val="32"/>
          <w:shd w:val="clear" w:color="auto" w:fill="FFFFFF"/>
          <w:lang w:val="en-US" w:eastAsia="zh-CN" w:bidi="ar-SA"/>
        </w:rPr>
        <w:t>1.52</w:t>
      </w:r>
      <w:r>
        <w:rPr>
          <w:rStyle w:val="11"/>
          <w:rFonts w:hint="eastAsia" w:ascii="方正仿宋_GBK" w:hAnsi="方正仿宋_GBK" w:eastAsia="方正仿宋_GBK" w:cs="方正仿宋_GBK"/>
          <w:b w:val="0"/>
          <w:bCs/>
          <w:kern w:val="2"/>
          <w:sz w:val="32"/>
          <w:szCs w:val="32"/>
          <w:shd w:val="clear" w:color="auto" w:fill="FFFFFF"/>
          <w:lang w:val="en-US" w:eastAsia="zh-CN" w:bidi="ar-SA"/>
        </w:rPr>
        <w:t>万元，下降</w:t>
      </w:r>
      <w:r>
        <w:rPr>
          <w:rStyle w:val="11"/>
          <w:rFonts w:hint="default" w:ascii="方正仿宋_GBK" w:hAnsi="方正仿宋_GBK" w:eastAsia="方正仿宋_GBK" w:cs="方正仿宋_GBK"/>
          <w:b w:val="0"/>
          <w:bCs/>
          <w:kern w:val="2"/>
          <w:sz w:val="32"/>
          <w:szCs w:val="32"/>
          <w:shd w:val="clear" w:color="auto" w:fill="FFFFFF"/>
          <w:lang w:val="en-US" w:eastAsia="zh-CN" w:bidi="ar-SA"/>
        </w:rPr>
        <w:t>76%</w:t>
      </w:r>
      <w:r>
        <w:rPr>
          <w:rStyle w:val="11"/>
          <w:rFonts w:hint="eastAsia" w:ascii="方正仿宋_GBK" w:hAnsi="方正仿宋_GBK" w:eastAsia="方正仿宋_GBK" w:cs="方正仿宋_GBK"/>
          <w:b w:val="0"/>
          <w:bCs/>
          <w:kern w:val="2"/>
          <w:sz w:val="32"/>
          <w:szCs w:val="32"/>
          <w:shd w:val="clear" w:color="auto" w:fill="FFFFFF"/>
          <w:lang w:val="en-US" w:eastAsia="zh-CN" w:bidi="ar-SA"/>
        </w:rPr>
        <w:t>，主要原因是主要原因是强化公务接待支出管理，严格遵守公务接待开支范围和开支标准，严格控制陪餐人数。较上年支出数增加</w:t>
      </w:r>
      <w:r>
        <w:rPr>
          <w:rStyle w:val="11"/>
          <w:rFonts w:hint="default" w:ascii="方正仿宋_GBK" w:hAnsi="方正仿宋_GBK" w:eastAsia="方正仿宋_GBK" w:cs="方正仿宋_GBK"/>
          <w:b w:val="0"/>
          <w:bCs/>
          <w:kern w:val="2"/>
          <w:sz w:val="32"/>
          <w:szCs w:val="32"/>
          <w:shd w:val="clear" w:color="auto" w:fill="FFFFFF"/>
          <w:lang w:val="en-US" w:eastAsia="zh-CN" w:bidi="ar-SA"/>
        </w:rPr>
        <w:t>0.48</w:t>
      </w:r>
      <w:r>
        <w:rPr>
          <w:rStyle w:val="11"/>
          <w:rFonts w:hint="eastAsia" w:ascii="方正仿宋_GBK" w:hAnsi="方正仿宋_GBK" w:eastAsia="方正仿宋_GBK" w:cs="方正仿宋_GBK"/>
          <w:b w:val="0"/>
          <w:bCs/>
          <w:kern w:val="2"/>
          <w:sz w:val="32"/>
          <w:szCs w:val="32"/>
          <w:shd w:val="clear" w:color="auto" w:fill="FFFFFF"/>
          <w:lang w:val="en-US" w:eastAsia="zh-CN" w:bidi="ar-SA"/>
        </w:rPr>
        <w:t>万元，增长</w:t>
      </w:r>
      <w:r>
        <w:rPr>
          <w:rStyle w:val="11"/>
          <w:rFonts w:hint="default" w:ascii="方正仿宋_GBK" w:hAnsi="方正仿宋_GBK" w:eastAsia="方正仿宋_GBK" w:cs="方正仿宋_GBK"/>
          <w:b w:val="0"/>
          <w:bCs/>
          <w:kern w:val="2"/>
          <w:sz w:val="32"/>
          <w:szCs w:val="32"/>
          <w:shd w:val="clear" w:color="auto" w:fill="FFFFFF"/>
          <w:lang w:val="en-US" w:eastAsia="zh-CN" w:bidi="ar-SA"/>
        </w:rPr>
        <w:t>100%</w:t>
      </w:r>
      <w:r>
        <w:rPr>
          <w:rStyle w:val="11"/>
          <w:rFonts w:hint="eastAsia" w:ascii="方正仿宋_GBK" w:hAnsi="方正仿宋_GBK" w:eastAsia="方正仿宋_GBK" w:cs="方正仿宋_GBK"/>
          <w:b w:val="0"/>
          <w:bCs/>
          <w:kern w:val="2"/>
          <w:sz w:val="32"/>
          <w:szCs w:val="32"/>
          <w:shd w:val="clear" w:color="auto" w:fill="FFFFFF"/>
          <w:lang w:val="en-US" w:eastAsia="zh-CN" w:bidi="ar-SA"/>
        </w:rPr>
        <w:t>，主要原因是本单位</w:t>
      </w:r>
      <w:r>
        <w:rPr>
          <w:rStyle w:val="11"/>
          <w:rFonts w:hint="default" w:ascii="方正仿宋_GBK" w:hAnsi="方正仿宋_GBK" w:eastAsia="方正仿宋_GBK" w:cs="方正仿宋_GBK"/>
          <w:b w:val="0"/>
          <w:bCs/>
          <w:kern w:val="2"/>
          <w:sz w:val="32"/>
          <w:szCs w:val="32"/>
          <w:shd w:val="clear" w:color="auto" w:fill="FFFFFF"/>
          <w:lang w:val="en-US" w:eastAsia="zh-CN" w:bidi="ar-SA"/>
        </w:rPr>
        <w:t>2021</w:t>
      </w:r>
      <w:r>
        <w:rPr>
          <w:rStyle w:val="11"/>
          <w:rFonts w:hint="eastAsia" w:ascii="方正仿宋_GBK" w:hAnsi="方正仿宋_GBK" w:eastAsia="方正仿宋_GBK" w:cs="方正仿宋_GBK"/>
          <w:b w:val="0"/>
          <w:bCs/>
          <w:kern w:val="2"/>
          <w:sz w:val="32"/>
          <w:szCs w:val="32"/>
          <w:shd w:val="clear" w:color="auto" w:fill="FFFFFF"/>
          <w:lang w:val="en-US" w:eastAsia="zh-CN" w:bidi="ar-SA"/>
        </w:rPr>
        <w:t>年年初预算及年终决算合并在区文化旅游委统一核算，</w:t>
      </w:r>
      <w:r>
        <w:rPr>
          <w:rStyle w:val="11"/>
          <w:rFonts w:hint="default" w:ascii="方正仿宋_GBK" w:hAnsi="方正仿宋_GBK" w:eastAsia="方正仿宋_GBK" w:cs="方正仿宋_GBK"/>
          <w:b w:val="0"/>
          <w:bCs/>
          <w:kern w:val="2"/>
          <w:sz w:val="32"/>
          <w:szCs w:val="32"/>
          <w:shd w:val="clear" w:color="auto" w:fill="FFFFFF"/>
          <w:lang w:val="en-US" w:eastAsia="zh-CN" w:bidi="ar-SA"/>
        </w:rPr>
        <w:t>2022</w:t>
      </w:r>
      <w:r>
        <w:rPr>
          <w:rStyle w:val="11"/>
          <w:rFonts w:hint="eastAsia" w:ascii="方正仿宋_GBK" w:hAnsi="方正仿宋_GBK" w:eastAsia="方正仿宋_GBK" w:cs="方正仿宋_GBK"/>
          <w:b w:val="0"/>
          <w:bCs/>
          <w:kern w:val="2"/>
          <w:sz w:val="32"/>
          <w:szCs w:val="32"/>
          <w:shd w:val="clear" w:color="auto" w:fill="FFFFFF"/>
          <w:lang w:val="en-US" w:eastAsia="zh-CN" w:bidi="ar-SA"/>
        </w:rPr>
        <w:t>年年初预算及年终决算为独立核算，所以无上年对比数。</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（三）</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三公</w:t>
      </w:r>
      <w:r>
        <w:rPr>
          <w:rStyle w:val="11"/>
          <w:rFonts w:hint="default" w:ascii="Times New Roman" w:hAnsi="Times New Roman" w:eastAsia="方正楷体_GBK" w:cs="Times New Roman"/>
          <w:b w:val="0"/>
          <w:sz w:val="32"/>
          <w:szCs w:val="32"/>
          <w:shd w:val="clear" w:color="auto" w:fill="FFFFFF"/>
        </w:rPr>
        <w:t>”</w:t>
      </w:r>
      <w:r>
        <w:rPr>
          <w:rStyle w:val="11"/>
          <w:rFonts w:hint="eastAsia" w:ascii="方正楷体_GBK" w:hAnsi="方正楷体_GBK" w:eastAsia="方正楷体_GBK" w:cs="方正楷体_GBK"/>
          <w:b w:val="0"/>
          <w:sz w:val="32"/>
          <w:szCs w:val="32"/>
          <w:shd w:val="clear" w:color="auto" w:fill="FFFFFF"/>
        </w:rPr>
        <w:t>经费实物量情况</w:t>
      </w:r>
    </w:p>
    <w:p>
      <w:pPr>
        <w:pStyle w:val="3"/>
        <w:keepNext w:val="0"/>
        <w:keepLines w:val="0"/>
        <w:widowControl/>
        <w:suppressLineNumbers w:val="0"/>
        <w:spacing w:before="0" w:beforeAutospacing="0"/>
        <w:ind w:left="0" w:firstLine="640" w:firstLineChars="200"/>
        <w:jc w:val="left"/>
        <w:rPr>
          <w:rFonts w:hint="default" w:ascii="Times New Roman" w:hAnsi="Times New Roman" w:eastAsia="方正仿宋_GBK" w:cs="Times New Roman"/>
          <w:b w:val="0"/>
          <w:i w:val="0"/>
          <w:kern w:val="0"/>
          <w:sz w:val="32"/>
          <w:szCs w:val="32"/>
          <w:shd w:val="clear" w:color="auto" w:fill="FFFFFF"/>
        </w:rPr>
      </w:pPr>
      <w:r>
        <w:rPr>
          <w:rStyle w:val="14"/>
          <w:rFonts w:hint="default" w:ascii="Times New Roman" w:hAnsi="Times New Roman" w:eastAsia="方正仿宋_GBK" w:cs="Times New Roman"/>
          <w:b w:val="0"/>
          <w:i w:val="0"/>
          <w:kern w:val="0"/>
          <w:sz w:val="32"/>
          <w:szCs w:val="32"/>
          <w:shd w:val="clear" w:color="auto" w:fill="FFFFFF"/>
        </w:rPr>
        <w:t>2022</w:t>
      </w:r>
      <w:r>
        <w:rPr>
          <w:rStyle w:val="14"/>
          <w:rFonts w:hint="eastAsia" w:ascii="方正仿宋_GBK" w:hAnsi="方正仿宋_GBK" w:eastAsia="方正仿宋_GBK" w:cs="方正仿宋_GBK"/>
          <w:b w:val="0"/>
          <w:i w:val="0"/>
          <w:kern w:val="0"/>
          <w:sz w:val="32"/>
          <w:szCs w:val="32"/>
          <w:shd w:val="clear" w:color="auto" w:fill="FFFFFF"/>
        </w:rPr>
        <w:t>年度本部门因公出国（境）共计</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个团组，</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人；公务用车购置</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辆，公务车保有量为</w:t>
      </w:r>
      <w:r>
        <w:rPr>
          <w:rStyle w:val="14"/>
          <w:rFonts w:hint="default" w:ascii="Times New Roman" w:hAnsi="Times New Roman" w:eastAsia="方正仿宋_GBK" w:cs="Times New Roman"/>
          <w:b w:val="0"/>
          <w:i w:val="0"/>
          <w:kern w:val="0"/>
          <w:sz w:val="32"/>
          <w:szCs w:val="32"/>
          <w:shd w:val="clear" w:color="auto" w:fill="FFFFFF"/>
        </w:rPr>
        <w:t>2</w:t>
      </w:r>
      <w:r>
        <w:rPr>
          <w:rStyle w:val="14"/>
          <w:rFonts w:hint="eastAsia" w:ascii="方正仿宋_GBK" w:hAnsi="方正仿宋_GBK" w:eastAsia="方正仿宋_GBK" w:cs="方正仿宋_GBK"/>
          <w:b w:val="0"/>
          <w:i w:val="0"/>
          <w:kern w:val="0"/>
          <w:sz w:val="32"/>
          <w:szCs w:val="32"/>
          <w:shd w:val="clear" w:color="auto" w:fill="FFFFFF"/>
        </w:rPr>
        <w:t>辆；国内公务接待</w:t>
      </w:r>
      <w:r>
        <w:rPr>
          <w:rStyle w:val="14"/>
          <w:rFonts w:hint="default" w:ascii="Times New Roman" w:hAnsi="Times New Roman" w:eastAsia="方正仿宋_GBK" w:cs="Times New Roman"/>
          <w:b w:val="0"/>
          <w:i w:val="0"/>
          <w:kern w:val="0"/>
          <w:sz w:val="32"/>
          <w:szCs w:val="32"/>
          <w:shd w:val="clear" w:color="auto" w:fill="FFFFFF"/>
        </w:rPr>
        <w:t>8</w:t>
      </w:r>
      <w:r>
        <w:rPr>
          <w:rStyle w:val="14"/>
          <w:rFonts w:hint="eastAsia" w:ascii="方正仿宋_GBK" w:hAnsi="方正仿宋_GBK" w:eastAsia="方正仿宋_GBK" w:cs="方正仿宋_GBK"/>
          <w:b w:val="0"/>
          <w:i w:val="0"/>
          <w:kern w:val="0"/>
          <w:sz w:val="32"/>
          <w:szCs w:val="32"/>
          <w:shd w:val="clear" w:color="auto" w:fill="FFFFFF"/>
        </w:rPr>
        <w:t>批次</w:t>
      </w:r>
      <w:r>
        <w:rPr>
          <w:rStyle w:val="14"/>
          <w:rFonts w:hint="default" w:ascii="Times New Roman" w:hAnsi="Times New Roman" w:eastAsia="方正仿宋_GBK" w:cs="Times New Roman"/>
          <w:b w:val="0"/>
          <w:i w:val="0"/>
          <w:kern w:val="0"/>
          <w:sz w:val="32"/>
          <w:szCs w:val="32"/>
          <w:shd w:val="clear" w:color="auto" w:fill="FFFFFF"/>
        </w:rPr>
        <w:t>51</w:t>
      </w:r>
      <w:r>
        <w:rPr>
          <w:rStyle w:val="14"/>
          <w:rFonts w:hint="eastAsia" w:ascii="方正仿宋_GBK" w:hAnsi="方正仿宋_GBK" w:eastAsia="方正仿宋_GBK" w:cs="方正仿宋_GBK"/>
          <w:b w:val="0"/>
          <w:i w:val="0"/>
          <w:kern w:val="0"/>
          <w:sz w:val="32"/>
          <w:szCs w:val="32"/>
          <w:shd w:val="clear" w:color="auto" w:fill="FFFFFF"/>
        </w:rPr>
        <w:t>人，其中：国内外事接待</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批次，</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人；国（境）外公务接待</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批次，</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人。</w:t>
      </w:r>
      <w:r>
        <w:rPr>
          <w:rStyle w:val="14"/>
          <w:rFonts w:hint="default" w:ascii="Times New Roman" w:hAnsi="Times New Roman" w:eastAsia="方正仿宋_GBK" w:cs="Times New Roman"/>
          <w:b w:val="0"/>
          <w:i w:val="0"/>
          <w:kern w:val="0"/>
          <w:sz w:val="32"/>
          <w:szCs w:val="32"/>
          <w:shd w:val="clear" w:color="auto" w:fill="FFFFFF"/>
        </w:rPr>
        <w:t>2022</w:t>
      </w:r>
      <w:r>
        <w:rPr>
          <w:rStyle w:val="14"/>
          <w:rFonts w:hint="eastAsia" w:ascii="方正仿宋_GBK" w:hAnsi="方正仿宋_GBK" w:eastAsia="方正仿宋_GBK" w:cs="方正仿宋_GBK"/>
          <w:b w:val="0"/>
          <w:i w:val="0"/>
          <w:kern w:val="0"/>
          <w:sz w:val="32"/>
          <w:szCs w:val="32"/>
          <w:shd w:val="clear" w:color="auto" w:fill="FFFFFF"/>
        </w:rPr>
        <w:t>年本部门人均接待费</w:t>
      </w:r>
      <w:r>
        <w:rPr>
          <w:rStyle w:val="14"/>
          <w:rFonts w:hint="default" w:ascii="Times New Roman" w:hAnsi="Times New Roman" w:eastAsia="方正仿宋_GBK" w:cs="Times New Roman"/>
          <w:b w:val="0"/>
          <w:i w:val="0"/>
          <w:kern w:val="0"/>
          <w:sz w:val="32"/>
          <w:szCs w:val="32"/>
          <w:shd w:val="clear" w:color="auto" w:fill="FFFFFF"/>
        </w:rPr>
        <w:t>93.59</w:t>
      </w:r>
      <w:r>
        <w:rPr>
          <w:rStyle w:val="14"/>
          <w:rFonts w:hint="eastAsia" w:ascii="方正仿宋_GBK" w:hAnsi="方正仿宋_GBK" w:eastAsia="方正仿宋_GBK" w:cs="方正仿宋_GBK"/>
          <w:b w:val="0"/>
          <w:i w:val="0"/>
          <w:kern w:val="0"/>
          <w:sz w:val="32"/>
          <w:szCs w:val="32"/>
          <w:shd w:val="clear" w:color="auto" w:fill="FFFFFF"/>
        </w:rPr>
        <w:t>元，车均购置费</w:t>
      </w:r>
      <w:r>
        <w:rPr>
          <w:rStyle w:val="14"/>
          <w:rFonts w:hint="default" w:ascii="Times New Roman" w:hAnsi="Times New Roman" w:eastAsia="方正仿宋_GBK" w:cs="Times New Roman"/>
          <w:b w:val="0"/>
          <w:i w:val="0"/>
          <w:kern w:val="0"/>
          <w:sz w:val="32"/>
          <w:szCs w:val="32"/>
          <w:shd w:val="clear" w:color="auto" w:fill="FFFFFF"/>
        </w:rPr>
        <w:t>0.00</w:t>
      </w:r>
      <w:r>
        <w:rPr>
          <w:rStyle w:val="14"/>
          <w:rFonts w:hint="eastAsia" w:ascii="方正仿宋_GBK" w:hAnsi="方正仿宋_GBK" w:eastAsia="方正仿宋_GBK" w:cs="方正仿宋_GBK"/>
          <w:b w:val="0"/>
          <w:i w:val="0"/>
          <w:kern w:val="0"/>
          <w:sz w:val="32"/>
          <w:szCs w:val="32"/>
          <w:shd w:val="clear" w:color="auto" w:fill="FFFFFF"/>
        </w:rPr>
        <w:t>万元，车均维护费</w:t>
      </w:r>
      <w:r>
        <w:rPr>
          <w:rStyle w:val="14"/>
          <w:rFonts w:hint="default" w:ascii="Times New Roman" w:hAnsi="Times New Roman" w:eastAsia="方正仿宋_GBK" w:cs="Times New Roman"/>
          <w:b w:val="0"/>
          <w:i w:val="0"/>
          <w:kern w:val="0"/>
          <w:sz w:val="32"/>
          <w:szCs w:val="32"/>
          <w:shd w:val="clear" w:color="auto" w:fill="FFFFFF"/>
        </w:rPr>
        <w:t>3.20</w:t>
      </w:r>
      <w:r>
        <w:rPr>
          <w:rStyle w:val="14"/>
          <w:rFonts w:hint="eastAsia" w:ascii="方正仿宋_GBK" w:hAnsi="方正仿宋_GBK" w:eastAsia="方正仿宋_GBK" w:cs="方正仿宋_GBK"/>
          <w:b w:val="0"/>
          <w:i w:val="0"/>
          <w:kern w:val="0"/>
          <w:sz w:val="32"/>
          <w:szCs w:val="32"/>
          <w:shd w:val="clear" w:color="auto" w:fill="FFFFFF"/>
        </w:rPr>
        <w:t>万元。</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黑体_GBK" w:cs="Times New Roman"/>
          <w:b w:val="0"/>
          <w:sz w:val="32"/>
          <w:szCs w:val="32"/>
          <w:shd w:val="clear" w:color="auto" w:fill="FFFFFF"/>
        </w:rPr>
      </w:pPr>
      <w:r>
        <w:rPr>
          <w:rStyle w:val="11"/>
          <w:rFonts w:hint="eastAsia" w:ascii="方正黑体_GBK" w:hAnsi="方正黑体_GBK" w:eastAsia="方正黑体_GBK" w:cs="方正黑体_GBK"/>
          <w:b w:val="0"/>
          <w:sz w:val="32"/>
          <w:szCs w:val="32"/>
          <w:shd w:val="clear" w:color="auto" w:fill="FFFFFF"/>
        </w:rPr>
        <w:t>四、其他需要说明的事项</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（一）财政拨款会议费和培训费情况说明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kern w:val="0"/>
          <w:sz w:val="32"/>
          <w:szCs w:val="32"/>
          <w:shd w:val="clear" w:color="auto" w:fill="FFFFFF"/>
        </w:rPr>
      </w:pPr>
      <w:r>
        <w:rPr>
          <w:rStyle w:val="14"/>
          <w:rFonts w:hint="eastAsia" w:ascii="方正仿宋_GBK" w:hAnsi="方正仿宋_GBK" w:eastAsia="方正仿宋_GBK" w:cs="方正仿宋_GBK"/>
          <w:b w:val="0"/>
          <w:i w:val="0"/>
          <w:kern w:val="0"/>
          <w:sz w:val="32"/>
          <w:szCs w:val="32"/>
          <w:shd w:val="clear" w:color="auto" w:fill="FFFFFF"/>
        </w:rPr>
        <w:t>本年度会议费支出</w:t>
      </w:r>
      <w:r>
        <w:rPr>
          <w:rStyle w:val="14"/>
          <w:rFonts w:hint="default" w:ascii="Times New Roman" w:hAnsi="Times New Roman" w:eastAsia="方正仿宋_GBK" w:cs="Times New Roman"/>
          <w:b w:val="0"/>
          <w:i w:val="0"/>
          <w:kern w:val="0"/>
          <w:sz w:val="32"/>
          <w:szCs w:val="32"/>
          <w:shd w:val="clear" w:color="auto" w:fill="FFFFFF"/>
        </w:rPr>
        <w:t>0.00</w:t>
      </w:r>
      <w:r>
        <w:rPr>
          <w:rStyle w:val="14"/>
          <w:rFonts w:hint="eastAsia" w:ascii="方正仿宋_GBK" w:hAnsi="方正仿宋_GBK" w:eastAsia="方正仿宋_GBK" w:cs="方正仿宋_GBK"/>
          <w:b w:val="0"/>
          <w:i w:val="0"/>
          <w:kern w:val="0"/>
          <w:sz w:val="32"/>
          <w:szCs w:val="32"/>
          <w:shd w:val="clear" w:color="auto" w:fill="FFFFFF"/>
        </w:rPr>
        <w:t>万元，较上年决算数增加</w:t>
      </w:r>
      <w:r>
        <w:rPr>
          <w:rStyle w:val="14"/>
          <w:rFonts w:hint="default" w:ascii="Times New Roman" w:hAnsi="Times New Roman" w:eastAsia="方正仿宋_GBK" w:cs="Times New Roman"/>
          <w:b w:val="0"/>
          <w:i w:val="0"/>
          <w:kern w:val="0"/>
          <w:sz w:val="32"/>
          <w:szCs w:val="32"/>
          <w:shd w:val="clear" w:color="auto" w:fill="FFFFFF"/>
        </w:rPr>
        <w:t>0.00</w:t>
      </w:r>
      <w:r>
        <w:rPr>
          <w:rStyle w:val="14"/>
          <w:rFonts w:hint="eastAsia" w:ascii="方正仿宋_GBK" w:hAnsi="方正仿宋_GBK" w:eastAsia="方正仿宋_GBK" w:cs="方正仿宋_GBK"/>
          <w:b w:val="0"/>
          <w:i w:val="0"/>
          <w:kern w:val="0"/>
          <w:sz w:val="32"/>
          <w:szCs w:val="32"/>
          <w:shd w:val="clear" w:color="auto" w:fill="FFFFFF"/>
        </w:rPr>
        <w:t>万元，增长</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年未发生会议费</w:t>
      </w:r>
      <w:r>
        <w:rPr>
          <w:rStyle w:val="14"/>
          <w:rFonts w:hint="eastAsia" w:ascii="方正仿宋_GBK" w:hAnsi="方正仿宋_GBK" w:eastAsia="方正仿宋_GBK" w:cs="方正仿宋_GBK"/>
          <w:b w:val="0"/>
          <w:i w:val="0"/>
          <w:kern w:val="0"/>
          <w:sz w:val="32"/>
          <w:szCs w:val="32"/>
          <w:shd w:val="clear" w:color="auto" w:fill="FFFFFF"/>
        </w:rPr>
        <w:t>。本年度培训费支出</w:t>
      </w:r>
      <w:r>
        <w:rPr>
          <w:rStyle w:val="14"/>
          <w:rFonts w:hint="default" w:ascii="Times New Roman" w:hAnsi="Times New Roman" w:eastAsia="方正仿宋_GBK" w:cs="Times New Roman"/>
          <w:b w:val="0"/>
          <w:i w:val="0"/>
          <w:kern w:val="0"/>
          <w:sz w:val="32"/>
          <w:szCs w:val="32"/>
          <w:shd w:val="clear" w:color="auto" w:fill="FFFFFF"/>
        </w:rPr>
        <w:t>0.39</w:t>
      </w:r>
      <w:r>
        <w:rPr>
          <w:rStyle w:val="14"/>
          <w:rFonts w:hint="eastAsia" w:ascii="方正仿宋_GBK" w:hAnsi="方正仿宋_GBK" w:eastAsia="方正仿宋_GBK" w:cs="方正仿宋_GBK"/>
          <w:b w:val="0"/>
          <w:i w:val="0"/>
          <w:kern w:val="0"/>
          <w:sz w:val="32"/>
          <w:szCs w:val="32"/>
          <w:shd w:val="clear" w:color="auto" w:fill="FFFFFF"/>
        </w:rPr>
        <w:t>万元，较上年决算数增加</w:t>
      </w:r>
      <w:r>
        <w:rPr>
          <w:rStyle w:val="14"/>
          <w:rFonts w:hint="default" w:ascii="Times New Roman" w:hAnsi="Times New Roman" w:eastAsia="方正仿宋_GBK" w:cs="Times New Roman"/>
          <w:b w:val="0"/>
          <w:i w:val="0"/>
          <w:kern w:val="0"/>
          <w:sz w:val="32"/>
          <w:szCs w:val="32"/>
          <w:shd w:val="clear" w:color="auto" w:fill="FFFFFF"/>
        </w:rPr>
        <w:t>0.39</w:t>
      </w:r>
      <w:r>
        <w:rPr>
          <w:rStyle w:val="14"/>
          <w:rFonts w:hint="eastAsia" w:ascii="方正仿宋_GBK" w:hAnsi="方正仿宋_GBK" w:eastAsia="方正仿宋_GBK" w:cs="方正仿宋_GBK"/>
          <w:b w:val="0"/>
          <w:i w:val="0"/>
          <w:kern w:val="0"/>
          <w:sz w:val="32"/>
          <w:szCs w:val="32"/>
          <w:shd w:val="clear" w:color="auto" w:fill="FFFFFF"/>
        </w:rPr>
        <w:t>万元，增长</w:t>
      </w:r>
      <w:r>
        <w:rPr>
          <w:rStyle w:val="14"/>
          <w:rFonts w:hint="default" w:ascii="Times New Roman" w:hAnsi="Times New Roman" w:eastAsia="方正仿宋_GBK" w:cs="Times New Roman"/>
          <w:b w:val="0"/>
          <w:i w:val="0"/>
          <w:kern w:val="0"/>
          <w:sz w:val="32"/>
          <w:szCs w:val="32"/>
          <w:shd w:val="clear" w:color="auto" w:fill="FFFFFF"/>
        </w:rPr>
        <w:t>100%</w:t>
      </w:r>
      <w:r>
        <w:rPr>
          <w:rStyle w:val="14"/>
          <w:rFonts w:hint="eastAsia" w:ascii="方正仿宋_GBK" w:hAnsi="方正仿宋_GBK" w:eastAsia="方正仿宋_GBK" w:cs="方正仿宋_GBK"/>
          <w:b w:val="0"/>
          <w:i w:val="0"/>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（二）机关运行经费支出情况说明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b w:val="0"/>
          <w:i w:val="0"/>
          <w:kern w:val="0"/>
          <w:sz w:val="32"/>
          <w:szCs w:val="32"/>
          <w:shd w:val="clear" w:color="auto" w:fill="FFFFFF"/>
        </w:rPr>
      </w:pPr>
      <w:r>
        <w:rPr>
          <w:rStyle w:val="14"/>
          <w:rFonts w:hint="default" w:ascii="Times New Roman" w:hAnsi="Times New Roman" w:eastAsia="方正仿宋_GBK" w:cs="Times New Roman"/>
          <w:b w:val="0"/>
          <w:i w:val="0"/>
          <w:kern w:val="0"/>
          <w:sz w:val="32"/>
          <w:szCs w:val="32"/>
          <w:shd w:val="clear" w:color="auto" w:fill="FFFFFF"/>
        </w:rPr>
        <w:t>2022</w:t>
      </w:r>
      <w:r>
        <w:rPr>
          <w:rStyle w:val="14"/>
          <w:rFonts w:hint="eastAsia" w:ascii="方正仿宋_GBK" w:hAnsi="方正仿宋_GBK" w:eastAsia="方正仿宋_GBK" w:cs="方正仿宋_GBK"/>
          <w:b w:val="0"/>
          <w:i w:val="0"/>
          <w:kern w:val="0"/>
          <w:sz w:val="32"/>
          <w:szCs w:val="32"/>
          <w:shd w:val="clear" w:color="auto" w:fill="FFFFFF"/>
        </w:rPr>
        <w:t>年度本部门机关运行经费支出</w:t>
      </w:r>
      <w:r>
        <w:rPr>
          <w:rStyle w:val="14"/>
          <w:rFonts w:hint="default" w:ascii="Times New Roman" w:hAnsi="Times New Roman" w:eastAsia="方正仿宋_GBK" w:cs="Times New Roman"/>
          <w:b w:val="0"/>
          <w:i w:val="0"/>
          <w:kern w:val="0"/>
          <w:sz w:val="32"/>
          <w:szCs w:val="32"/>
          <w:shd w:val="clear" w:color="auto" w:fill="FFFFFF"/>
        </w:rPr>
        <w:t>53.97</w:t>
      </w:r>
      <w:r>
        <w:rPr>
          <w:rStyle w:val="14"/>
          <w:rFonts w:hint="eastAsia" w:ascii="方正仿宋_GBK" w:hAnsi="方正仿宋_GBK" w:eastAsia="方正仿宋_GBK" w:cs="方正仿宋_GBK"/>
          <w:b w:val="0"/>
          <w:i w:val="0"/>
          <w:kern w:val="0"/>
          <w:sz w:val="32"/>
          <w:szCs w:val="32"/>
          <w:shd w:val="clear" w:color="auto" w:fill="FFFFFF"/>
        </w:rPr>
        <w:t>万元，</w:t>
      </w:r>
      <w:r>
        <w:rPr>
          <w:rFonts w:hint="eastAsia" w:ascii="方正仿宋_GBK" w:hAnsi="方正仿宋_GBK" w:eastAsia="方正仿宋_GBK" w:cs="方正仿宋_GBK"/>
          <w:kern w:val="0"/>
          <w:sz w:val="32"/>
          <w:szCs w:val="32"/>
          <w:shd w:val="clear" w:color="auto" w:fill="FFFFFF"/>
        </w:rPr>
        <w:t>主要用于开支</w:t>
      </w:r>
      <w:r>
        <w:rPr>
          <w:rFonts w:hint="eastAsia" w:ascii="方正仿宋_GBK" w:hAnsi="方正仿宋_GBK" w:eastAsia="方正仿宋_GBK" w:cs="方正仿宋_GBK"/>
          <w:i w:val="0"/>
          <w:kern w:val="0"/>
          <w:sz w:val="32"/>
          <w:szCs w:val="32"/>
          <w:shd w:val="clear" w:color="auto" w:fill="FFFFFF"/>
        </w:rPr>
        <w:t>办公费、邮电费、公务车运行维护费、差旅费、公务车燃油费、工会经费等支出。</w:t>
      </w:r>
      <w:r>
        <w:rPr>
          <w:rStyle w:val="14"/>
          <w:rFonts w:hint="eastAsia" w:ascii="方正仿宋_GBK" w:hAnsi="方正仿宋_GBK" w:eastAsia="方正仿宋_GBK" w:cs="方正仿宋_GBK"/>
          <w:b w:val="0"/>
          <w:i w:val="0"/>
          <w:kern w:val="0"/>
          <w:sz w:val="32"/>
          <w:szCs w:val="32"/>
          <w:shd w:val="clear" w:color="auto" w:fill="FFFFFF"/>
        </w:rPr>
        <w:t>机关运行经费较上年决算数增加</w:t>
      </w:r>
      <w:r>
        <w:rPr>
          <w:rStyle w:val="14"/>
          <w:rFonts w:hint="default" w:ascii="Times New Roman" w:hAnsi="Times New Roman" w:eastAsia="方正仿宋_GBK" w:cs="Times New Roman"/>
          <w:b w:val="0"/>
          <w:i w:val="0"/>
          <w:kern w:val="0"/>
          <w:sz w:val="32"/>
          <w:szCs w:val="32"/>
          <w:shd w:val="clear" w:color="auto" w:fill="FFFFFF"/>
        </w:rPr>
        <w:t>53.97</w:t>
      </w:r>
      <w:r>
        <w:rPr>
          <w:rStyle w:val="14"/>
          <w:rFonts w:hint="eastAsia" w:ascii="方正仿宋_GBK" w:hAnsi="方正仿宋_GBK" w:eastAsia="方正仿宋_GBK" w:cs="方正仿宋_GBK"/>
          <w:b w:val="0"/>
          <w:i w:val="0"/>
          <w:kern w:val="0"/>
          <w:sz w:val="32"/>
          <w:szCs w:val="32"/>
          <w:shd w:val="clear" w:color="auto" w:fill="FFFFFF"/>
        </w:rPr>
        <w:t>万元，增长</w:t>
      </w:r>
      <w:r>
        <w:rPr>
          <w:rStyle w:val="14"/>
          <w:rFonts w:hint="default" w:ascii="Times New Roman" w:hAnsi="Times New Roman" w:eastAsia="方正仿宋_GBK" w:cs="Times New Roman"/>
          <w:b w:val="0"/>
          <w:i w:val="0"/>
          <w:kern w:val="0"/>
          <w:sz w:val="32"/>
          <w:szCs w:val="32"/>
          <w:shd w:val="clear" w:color="auto" w:fill="FFFFFF"/>
        </w:rPr>
        <w:t>100%</w:t>
      </w:r>
      <w:r>
        <w:rPr>
          <w:rStyle w:val="14"/>
          <w:rFonts w:hint="eastAsia" w:ascii="方正仿宋_GBK" w:hAnsi="方正仿宋_GBK" w:eastAsia="方正仿宋_GBK" w:cs="方正仿宋_GBK"/>
          <w:b w:val="0"/>
          <w:i w:val="0"/>
          <w:kern w:val="0"/>
          <w:sz w:val="32"/>
          <w:szCs w:val="32"/>
          <w:shd w:val="clear" w:color="auto" w:fill="FFFFFF"/>
        </w:rPr>
        <w:t>，</w:t>
      </w:r>
      <w:r>
        <w:rPr>
          <w:rFonts w:hint="eastAsia" w:ascii="方正仿宋_GBK" w:hAnsi="方正仿宋_GBK" w:eastAsia="方正仿宋_GBK" w:cs="方正仿宋_GBK"/>
          <w:kern w:val="0"/>
          <w:sz w:val="32"/>
          <w:szCs w:val="32"/>
          <w:shd w:val="clear" w:color="auto" w:fill="FFFFFF"/>
        </w:rPr>
        <w:t>主要原因是本单位</w:t>
      </w:r>
      <w:r>
        <w:rPr>
          <w:rFonts w:hint="default" w:ascii="Times New Roman" w:hAnsi="Times New Roman" w:eastAsia="方正仿宋_GBK" w:cs="Times New Roman"/>
          <w:kern w:val="0"/>
          <w:sz w:val="32"/>
          <w:szCs w:val="32"/>
          <w:shd w:val="clear" w:color="auto" w:fill="FFFFFF"/>
        </w:rPr>
        <w:t>2021</w:t>
      </w:r>
      <w:r>
        <w:rPr>
          <w:rFonts w:hint="eastAsia" w:ascii="方正仿宋_GBK" w:hAnsi="方正仿宋_GBK" w:eastAsia="方正仿宋_GBK" w:cs="方正仿宋_GBK"/>
          <w:kern w:val="0"/>
          <w:sz w:val="32"/>
          <w:szCs w:val="32"/>
          <w:shd w:val="clear" w:color="auto" w:fill="FFFFFF"/>
        </w:rPr>
        <w:t>年年初预算及年终决算合并在区文化旅游委统一核算，</w:t>
      </w: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年年初预算及年终决算为独立核算，所以无上年对比数。</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（三）国有资产占用情况说明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4"/>
          <w:rFonts w:hint="eastAsia" w:ascii="方正仿宋_GBK" w:hAnsi="方正仿宋_GBK" w:eastAsia="方正仿宋_GBK" w:cs="方正仿宋_GBK"/>
          <w:b w:val="0"/>
          <w:i w:val="0"/>
          <w:kern w:val="0"/>
          <w:sz w:val="32"/>
          <w:szCs w:val="32"/>
          <w:shd w:val="clear" w:color="auto" w:fill="FFFFFF"/>
        </w:rPr>
        <w:t>截至</w:t>
      </w:r>
      <w:r>
        <w:rPr>
          <w:rStyle w:val="14"/>
          <w:rFonts w:hint="default" w:ascii="Times New Roman" w:hAnsi="Times New Roman" w:eastAsia="方正仿宋_GBK" w:cs="Times New Roman"/>
          <w:b w:val="0"/>
          <w:i w:val="0"/>
          <w:kern w:val="0"/>
          <w:sz w:val="32"/>
          <w:szCs w:val="32"/>
          <w:shd w:val="clear" w:color="auto" w:fill="FFFFFF"/>
        </w:rPr>
        <w:t>2022</w:t>
      </w:r>
      <w:r>
        <w:rPr>
          <w:rStyle w:val="14"/>
          <w:rFonts w:hint="eastAsia" w:ascii="方正仿宋_GBK" w:hAnsi="方正仿宋_GBK" w:eastAsia="方正仿宋_GBK" w:cs="方正仿宋_GBK"/>
          <w:b w:val="0"/>
          <w:i w:val="0"/>
          <w:kern w:val="0"/>
          <w:sz w:val="32"/>
          <w:szCs w:val="32"/>
          <w:shd w:val="clear" w:color="auto" w:fill="FFFFFF"/>
        </w:rPr>
        <w:t>年</w:t>
      </w:r>
      <w:r>
        <w:rPr>
          <w:rStyle w:val="14"/>
          <w:rFonts w:hint="default" w:ascii="Times New Roman" w:hAnsi="Times New Roman" w:eastAsia="方正仿宋_GBK" w:cs="Times New Roman"/>
          <w:b w:val="0"/>
          <w:i w:val="0"/>
          <w:kern w:val="0"/>
          <w:sz w:val="32"/>
          <w:szCs w:val="32"/>
          <w:shd w:val="clear" w:color="auto" w:fill="FFFFFF"/>
        </w:rPr>
        <w:t>12</w:t>
      </w:r>
      <w:r>
        <w:rPr>
          <w:rStyle w:val="14"/>
          <w:rFonts w:hint="eastAsia" w:ascii="方正仿宋_GBK" w:hAnsi="方正仿宋_GBK" w:eastAsia="方正仿宋_GBK" w:cs="方正仿宋_GBK"/>
          <w:b w:val="0"/>
          <w:i w:val="0"/>
          <w:kern w:val="0"/>
          <w:sz w:val="32"/>
          <w:szCs w:val="32"/>
          <w:shd w:val="clear" w:color="auto" w:fill="FFFFFF"/>
        </w:rPr>
        <w:t>月</w:t>
      </w:r>
      <w:r>
        <w:rPr>
          <w:rStyle w:val="14"/>
          <w:rFonts w:hint="default" w:ascii="Times New Roman" w:hAnsi="Times New Roman" w:eastAsia="方正仿宋_GBK" w:cs="Times New Roman"/>
          <w:b w:val="0"/>
          <w:i w:val="0"/>
          <w:kern w:val="0"/>
          <w:sz w:val="32"/>
          <w:szCs w:val="32"/>
          <w:shd w:val="clear" w:color="auto" w:fill="FFFFFF"/>
        </w:rPr>
        <w:t>31</w:t>
      </w:r>
      <w:r>
        <w:rPr>
          <w:rStyle w:val="14"/>
          <w:rFonts w:hint="eastAsia" w:ascii="方正仿宋_GBK" w:hAnsi="方正仿宋_GBK" w:eastAsia="方正仿宋_GBK" w:cs="方正仿宋_GBK"/>
          <w:b w:val="0"/>
          <w:i w:val="0"/>
          <w:kern w:val="0"/>
          <w:sz w:val="32"/>
          <w:szCs w:val="32"/>
          <w:shd w:val="clear" w:color="auto" w:fill="FFFFFF"/>
        </w:rPr>
        <w:t>日，本部门共有车辆</w:t>
      </w:r>
      <w:r>
        <w:rPr>
          <w:rStyle w:val="14"/>
          <w:rFonts w:hint="default" w:ascii="Times New Roman" w:hAnsi="Times New Roman" w:eastAsia="方正仿宋_GBK" w:cs="Times New Roman"/>
          <w:b w:val="0"/>
          <w:i w:val="0"/>
          <w:kern w:val="0"/>
          <w:sz w:val="32"/>
          <w:szCs w:val="32"/>
          <w:shd w:val="clear" w:color="auto" w:fill="FFFFFF"/>
        </w:rPr>
        <w:t>2</w:t>
      </w:r>
      <w:r>
        <w:rPr>
          <w:rStyle w:val="14"/>
          <w:rFonts w:hint="eastAsia" w:ascii="方正仿宋_GBK" w:hAnsi="方正仿宋_GBK" w:eastAsia="方正仿宋_GBK" w:cs="方正仿宋_GBK"/>
          <w:b w:val="0"/>
          <w:i w:val="0"/>
          <w:kern w:val="0"/>
          <w:sz w:val="32"/>
          <w:szCs w:val="32"/>
          <w:shd w:val="clear" w:color="auto" w:fill="FFFFFF"/>
        </w:rPr>
        <w:t>辆，其中，副部（省）级及以上领导用车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辆、主要领导干部用车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辆、机要通信用车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辆、应急保障用车</w:t>
      </w:r>
      <w:r>
        <w:rPr>
          <w:rStyle w:val="14"/>
          <w:rFonts w:hint="default" w:ascii="Times New Roman" w:hAnsi="Times New Roman" w:eastAsia="方正仿宋_GBK" w:cs="Times New Roman"/>
          <w:b w:val="0"/>
          <w:i w:val="0"/>
          <w:kern w:val="0"/>
          <w:sz w:val="32"/>
          <w:szCs w:val="32"/>
          <w:shd w:val="clear" w:color="auto" w:fill="FFFFFF"/>
        </w:rPr>
        <w:t>2</w:t>
      </w:r>
      <w:r>
        <w:rPr>
          <w:rStyle w:val="14"/>
          <w:rFonts w:hint="eastAsia" w:ascii="方正仿宋_GBK" w:hAnsi="方正仿宋_GBK" w:eastAsia="方正仿宋_GBK" w:cs="方正仿宋_GBK"/>
          <w:b w:val="0"/>
          <w:i w:val="0"/>
          <w:kern w:val="0"/>
          <w:sz w:val="32"/>
          <w:szCs w:val="32"/>
          <w:shd w:val="clear" w:color="auto" w:fill="FFFFFF"/>
        </w:rPr>
        <w:t>辆、执法执勤用车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辆，特种专业技术用车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辆，离退休干部用车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辆，其他用车</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辆。单价</w:t>
      </w:r>
      <w:r>
        <w:rPr>
          <w:rStyle w:val="14"/>
          <w:rFonts w:hint="default" w:ascii="Times New Roman" w:hAnsi="Times New Roman" w:eastAsia="方正仿宋_GBK" w:cs="Times New Roman"/>
          <w:b w:val="0"/>
          <w:i w:val="0"/>
          <w:kern w:val="0"/>
          <w:sz w:val="32"/>
          <w:szCs w:val="32"/>
          <w:shd w:val="clear" w:color="auto" w:fill="FFFFFF"/>
        </w:rPr>
        <w:t>100</w:t>
      </w:r>
      <w:r>
        <w:rPr>
          <w:rStyle w:val="14"/>
          <w:rFonts w:hint="eastAsia" w:ascii="方正仿宋_GBK" w:hAnsi="方正仿宋_GBK" w:eastAsia="方正仿宋_GBK" w:cs="方正仿宋_GBK"/>
          <w:b w:val="0"/>
          <w:i w:val="0"/>
          <w:kern w:val="0"/>
          <w:sz w:val="32"/>
          <w:szCs w:val="32"/>
          <w:shd w:val="clear" w:color="auto" w:fill="FFFFFF"/>
        </w:rPr>
        <w:t>万元（含）以上设备（不含车辆）</w:t>
      </w:r>
      <w:r>
        <w:rPr>
          <w:rStyle w:val="14"/>
          <w:rFonts w:hint="default" w:ascii="Times New Roman" w:hAnsi="Times New Roman" w:eastAsia="方正仿宋_GBK" w:cs="Times New Roman"/>
          <w:b w:val="0"/>
          <w:i w:val="0"/>
          <w:kern w:val="0"/>
          <w:sz w:val="32"/>
          <w:szCs w:val="32"/>
          <w:shd w:val="clear" w:color="auto" w:fill="FFFFFF"/>
        </w:rPr>
        <w:t>0</w:t>
      </w:r>
      <w:r>
        <w:rPr>
          <w:rStyle w:val="14"/>
          <w:rFonts w:hint="eastAsia" w:ascii="方正仿宋_GBK" w:hAnsi="方正仿宋_GBK" w:eastAsia="方正仿宋_GBK" w:cs="方正仿宋_GBK"/>
          <w:b w:val="0"/>
          <w:i w:val="0"/>
          <w:kern w:val="0"/>
          <w:sz w:val="32"/>
          <w:szCs w:val="32"/>
          <w:shd w:val="clear" w:color="auto" w:fill="FFFFFF"/>
        </w:rPr>
        <w:t>台（套）。</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楷体_GBK" w:cs="Times New Roman"/>
          <w:b w:val="0"/>
          <w:sz w:val="32"/>
          <w:szCs w:val="32"/>
          <w:shd w:val="clear" w:color="auto" w:fill="FFFFFF"/>
        </w:rPr>
      </w:pPr>
      <w:r>
        <w:rPr>
          <w:rStyle w:val="11"/>
          <w:rFonts w:hint="eastAsia" w:ascii="方正楷体_GBK" w:hAnsi="方正楷体_GBK" w:eastAsia="方正楷体_GBK" w:cs="方正楷体_GBK"/>
          <w:b w:val="0"/>
          <w:sz w:val="32"/>
          <w:szCs w:val="32"/>
          <w:shd w:val="clear" w:color="auto" w:fill="FFFFFF"/>
        </w:rPr>
        <w:t>（四）政府采购支出说明</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shd w:val="clear" w:color="auto" w:fill="FFFFFF"/>
        </w:rPr>
        <w:t>2022</w:t>
      </w:r>
      <w:r>
        <w:rPr>
          <w:rFonts w:hint="eastAsia" w:ascii="方正仿宋_GBK" w:hAnsi="方正仿宋_GBK" w:eastAsia="方正仿宋_GBK" w:cs="方正仿宋_GBK"/>
          <w:kern w:val="0"/>
          <w:sz w:val="32"/>
          <w:szCs w:val="32"/>
          <w:shd w:val="clear" w:color="auto" w:fill="FFFFFF"/>
        </w:rPr>
        <w:t>年度我单位未发生政府采购事项，无相关经费支出。</w:t>
      </w:r>
    </w:p>
    <w:p>
      <w:pPr>
        <w:pStyle w:val="8"/>
        <w:keepNext w:val="0"/>
        <w:keepLines w:val="0"/>
        <w:widowControl/>
        <w:suppressLineNumbers w:val="0"/>
        <w:autoSpaceDE w:val="0"/>
        <w:autoSpaceDN/>
        <w:spacing w:before="0" w:beforeAutospacing="0" w:line="600" w:lineRule="exact"/>
        <w:ind w:left="0" w:firstLine="640" w:firstLineChars="200"/>
        <w:jc w:val="both"/>
        <w:rPr>
          <w:rFonts w:hint="default" w:ascii="Times New Roman" w:hAnsi="Times New Roman" w:eastAsia="方正黑体_GBK" w:cs="Times New Roman"/>
          <w:b w:val="0"/>
          <w:sz w:val="32"/>
          <w:szCs w:val="32"/>
          <w:shd w:val="clear" w:color="auto" w:fill="FFFFFF"/>
        </w:rPr>
      </w:pPr>
      <w:r>
        <w:rPr>
          <w:rStyle w:val="11"/>
          <w:rFonts w:hint="eastAsia" w:ascii="方正黑体_GBK" w:hAnsi="方正黑体_GBK" w:eastAsia="方正黑体_GBK" w:cs="方正黑体_GBK"/>
          <w:b w:val="0"/>
          <w:sz w:val="32"/>
          <w:szCs w:val="32"/>
          <w:shd w:val="clear" w:color="auto" w:fill="FFFFFF"/>
        </w:rPr>
        <w:t>五、预算绩效管理情况说明</w:t>
      </w:r>
    </w:p>
    <w:p>
      <w:pPr>
        <w:pStyle w:val="7"/>
        <w:tabs>
          <w:tab w:val="center" w:pos="4153"/>
          <w:tab w:val="left" w:pos="7275"/>
        </w:tabs>
        <w:spacing w:line="600" w:lineRule="exact"/>
        <w:ind w:firstLine="640"/>
        <w:rPr>
          <w:rFonts w:hint="eastAsia" w:eastAsia="方正楷体_GBK" w:cs="华文仿宋"/>
          <w:color w:val="333333"/>
          <w:sz w:val="32"/>
          <w:szCs w:val="32"/>
        </w:rPr>
      </w:pPr>
      <w:r>
        <w:rPr>
          <w:rFonts w:hint="eastAsia" w:eastAsia="方正楷体_GBK" w:cs="华文仿宋"/>
          <w:color w:val="333333"/>
          <w:sz w:val="32"/>
          <w:szCs w:val="32"/>
        </w:rPr>
        <w:t>（一）预算绩效管理工作开展情况</w:t>
      </w:r>
    </w:p>
    <w:p>
      <w:pPr>
        <w:pStyle w:val="7"/>
        <w:tabs>
          <w:tab w:val="center" w:pos="4153"/>
          <w:tab w:val="left" w:pos="7275"/>
        </w:tabs>
        <w:spacing w:line="600" w:lineRule="exact"/>
        <w:ind w:firstLine="640"/>
        <w:rPr>
          <w:rFonts w:hint="eastAsia" w:eastAsia="方正仿宋_GBK" w:cs="华文仿宋"/>
          <w:kern w:val="0"/>
          <w:sz w:val="32"/>
          <w:szCs w:val="32"/>
          <w:highlight w:val="none"/>
          <w:lang w:eastAsia="zh-CN"/>
        </w:rPr>
      </w:pPr>
      <w:r>
        <w:rPr>
          <w:rFonts w:hint="eastAsia" w:eastAsia="方正仿宋_GBK" w:cs="华文仿宋"/>
          <w:kern w:val="0"/>
          <w:sz w:val="32"/>
          <w:szCs w:val="32"/>
          <w:highlight w:val="none"/>
        </w:rPr>
        <w:t>根据预算绩效管理要求，我委对部门整体项目开展了绩效自评</w:t>
      </w:r>
      <w:r>
        <w:rPr>
          <w:rFonts w:hint="eastAsia" w:eastAsia="方正仿宋_GBK" w:cs="华文仿宋"/>
          <w:kern w:val="0"/>
          <w:sz w:val="32"/>
          <w:szCs w:val="32"/>
          <w:highlight w:val="none"/>
          <w:lang w:eastAsia="zh-CN"/>
        </w:rPr>
        <w:t>。</w:t>
      </w:r>
    </w:p>
    <w:p>
      <w:pPr>
        <w:pStyle w:val="7"/>
        <w:tabs>
          <w:tab w:val="center" w:pos="4153"/>
          <w:tab w:val="left" w:pos="7275"/>
        </w:tabs>
        <w:spacing w:line="600" w:lineRule="exact"/>
        <w:ind w:firstLine="640"/>
        <w:rPr>
          <w:rFonts w:eastAsia="方正仿宋_GBK" w:cs="华文仿宋"/>
          <w:color w:val="333333"/>
          <w:sz w:val="32"/>
          <w:szCs w:val="32"/>
          <w:highlight w:val="none"/>
        </w:rPr>
      </w:pPr>
      <w:r>
        <w:rPr>
          <w:rFonts w:hint="eastAsia" w:eastAsia="方正仿宋_GBK" w:cs="华文仿宋"/>
          <w:color w:val="333333"/>
          <w:sz w:val="32"/>
          <w:szCs w:val="32"/>
          <w:highlight w:val="none"/>
        </w:rPr>
        <w:t>（二）绩效自评结果</w:t>
      </w:r>
    </w:p>
    <w:p>
      <w:pPr>
        <w:pStyle w:val="7"/>
        <w:tabs>
          <w:tab w:val="center" w:pos="4153"/>
          <w:tab w:val="left" w:pos="7275"/>
        </w:tabs>
        <w:spacing w:line="600" w:lineRule="exact"/>
        <w:ind w:firstLine="640"/>
        <w:rPr>
          <w:rFonts w:hint="eastAsia" w:eastAsia="方正仿宋_GBK" w:cs="华文仿宋"/>
          <w:kern w:val="0"/>
          <w:sz w:val="32"/>
          <w:szCs w:val="32"/>
          <w:highlight w:val="none"/>
        </w:rPr>
      </w:pPr>
      <w:r>
        <w:rPr>
          <w:rFonts w:hint="eastAsia" w:eastAsia="方正仿宋_GBK" w:cs="华文仿宋"/>
          <w:kern w:val="0"/>
          <w:sz w:val="32"/>
          <w:szCs w:val="32"/>
          <w:highlight w:val="none"/>
        </w:rPr>
        <w:t>1.绩效目标自评表</w:t>
      </w:r>
    </w:p>
    <w:p>
      <w:pPr>
        <w:pStyle w:val="7"/>
        <w:tabs>
          <w:tab w:val="center" w:pos="4153"/>
          <w:tab w:val="left" w:pos="7275"/>
        </w:tabs>
        <w:spacing w:line="600" w:lineRule="exact"/>
        <w:ind w:firstLine="640"/>
        <w:rPr>
          <w:rFonts w:hint="eastAsia" w:eastAsia="方正仿宋_GBK" w:cs="华文仿宋"/>
          <w:kern w:val="0"/>
          <w:sz w:val="32"/>
          <w:szCs w:val="32"/>
          <w:highlight w:val="none"/>
        </w:rPr>
      </w:pPr>
    </w:p>
    <w:tbl>
      <w:tblPr>
        <w:tblStyle w:val="4"/>
        <w:tblW w:w="14174" w:type="dxa"/>
        <w:tblInd w:w="0" w:type="dxa"/>
        <w:tblLayout w:type="fixed"/>
        <w:tblCellMar>
          <w:top w:w="0" w:type="dxa"/>
          <w:left w:w="108" w:type="dxa"/>
          <w:bottom w:w="0" w:type="dxa"/>
          <w:right w:w="108" w:type="dxa"/>
        </w:tblCellMar>
      </w:tblPr>
      <w:tblGrid>
        <w:gridCol w:w="1872"/>
        <w:gridCol w:w="1481"/>
        <w:gridCol w:w="1600"/>
        <w:gridCol w:w="1465"/>
        <w:gridCol w:w="1062"/>
        <w:gridCol w:w="923"/>
        <w:gridCol w:w="1015"/>
        <w:gridCol w:w="682"/>
        <w:gridCol w:w="721"/>
        <w:gridCol w:w="1312"/>
        <w:gridCol w:w="1009"/>
        <w:gridCol w:w="1032"/>
      </w:tblGrid>
      <w:tr>
        <w:tblPrEx>
          <w:tblCellMar>
            <w:top w:w="0" w:type="dxa"/>
            <w:left w:w="108" w:type="dxa"/>
            <w:bottom w:w="0" w:type="dxa"/>
            <w:right w:w="108" w:type="dxa"/>
          </w:tblCellMar>
        </w:tblPrEx>
        <w:trPr>
          <w:trHeight w:val="800" w:hRule="atLeast"/>
        </w:trPr>
        <w:tc>
          <w:tcPr>
            <w:tcW w:w="14174" w:type="dxa"/>
            <w:gridSpan w:val="12"/>
            <w:tcBorders>
              <w:top w:val="nil"/>
              <w:left w:val="nil"/>
              <w:bottom w:val="single" w:color="auto" w:sz="4" w:space="0"/>
              <w:right w:val="nil"/>
            </w:tcBorders>
            <w:vAlign w:val="center"/>
          </w:tcPr>
          <w:p>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2022年度单位整体绩效自评表</w:t>
            </w:r>
          </w:p>
        </w:tc>
      </w:tr>
      <w:tr>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pStyle w:val="3"/>
              <w:shd w:val="clear" w:color="auto" w:fill="FFFFFF"/>
              <w:jc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区文化市场综合行政执法支队</w:t>
            </w:r>
          </w:p>
          <w:p>
            <w:pPr>
              <w:keepNext w:val="0"/>
              <w:keepLines w:val="0"/>
              <w:widowControl/>
              <w:suppressLineNumbers w:val="0"/>
              <w:ind w:firstLineChars="10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整体自评</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项目编码：</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50015200022P000070</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w:t>
            </w:r>
          </w:p>
        </w:tc>
        <w:tc>
          <w:tcPr>
            <w:tcW w:w="1312" w:type="dxa"/>
            <w:tcBorders>
              <w:top w:val="single" w:color="auto" w:sz="4" w:space="0"/>
              <w:left w:val="single" w:color="auto" w:sz="4" w:space="0"/>
              <w:bottom w:val="single" w:color="auto" w:sz="4" w:space="0"/>
              <w:right w:val="single" w:color="auto" w:sz="4" w:space="0"/>
            </w:tcBorders>
            <w:vAlign w:val="center"/>
          </w:tcPr>
          <w:p>
            <w:pPr>
              <w:jc w:val="right"/>
              <w:rPr>
                <w:rFonts w:hint="eastAsia" w:ascii="宋体" w:hAnsi="宋体" w:eastAsia="宋体" w:cs="宋体"/>
                <w:b/>
                <w:bCs/>
                <w:i w:val="0"/>
                <w:iCs w:val="0"/>
                <w:color w:val="000000"/>
                <w:sz w:val="22"/>
                <w:szCs w:val="22"/>
                <w:u w:val="none"/>
              </w:rPr>
            </w:pPr>
          </w:p>
        </w:tc>
        <w:tc>
          <w:tcPr>
            <w:tcW w:w="2041" w:type="dxa"/>
            <w:gridSpan w:val="2"/>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187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项目主管单位：</w:t>
            </w:r>
          </w:p>
        </w:tc>
        <w:tc>
          <w:tcPr>
            <w:tcW w:w="308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区文化市场综合行政执法支队</w:t>
            </w:r>
          </w:p>
        </w:tc>
        <w:tc>
          <w:tcPr>
            <w:tcW w:w="14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198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017-教科文科</w:t>
            </w:r>
          </w:p>
        </w:tc>
        <w:tc>
          <w:tcPr>
            <w:tcW w:w="101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单位联系人：</w:t>
            </w:r>
          </w:p>
        </w:tc>
        <w:tc>
          <w:tcPr>
            <w:tcW w:w="140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秦洪梅</w:t>
            </w:r>
          </w:p>
        </w:tc>
        <w:tc>
          <w:tcPr>
            <w:tcW w:w="131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w:t>
            </w:r>
            <w:r>
              <w:rPr>
                <w:rFonts w:hint="eastAsia" w:ascii="宋体" w:hAnsi="宋体" w:cs="宋体"/>
                <w:b/>
                <w:bCs/>
                <w:i w:val="0"/>
                <w:iCs w:val="0"/>
                <w:color w:val="000000"/>
                <w:kern w:val="0"/>
                <w:sz w:val="22"/>
                <w:szCs w:val="22"/>
                <w:u w:val="none"/>
                <w:lang w:val="en-US" w:eastAsia="zh-CN" w:bidi="ar"/>
              </w:rPr>
              <w:t>电</w:t>
            </w:r>
            <w:r>
              <w:rPr>
                <w:rFonts w:hint="eastAsia" w:ascii="宋体" w:hAnsi="宋体" w:eastAsia="宋体" w:cs="宋体"/>
                <w:b/>
                <w:bCs/>
                <w:i w:val="0"/>
                <w:iCs w:val="0"/>
                <w:color w:val="000000"/>
                <w:kern w:val="0"/>
                <w:sz w:val="22"/>
                <w:szCs w:val="22"/>
                <w:u w:val="none"/>
                <w:lang w:val="en-US" w:eastAsia="zh-CN" w:bidi="ar"/>
              </w:rPr>
              <w:t>话：</w:t>
            </w:r>
          </w:p>
        </w:tc>
        <w:tc>
          <w:tcPr>
            <w:tcW w:w="204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44597013</w:t>
            </w:r>
          </w:p>
        </w:tc>
      </w:tr>
      <w:tr>
        <w:tblPrEx>
          <w:tblCellMar>
            <w:top w:w="0" w:type="dxa"/>
            <w:left w:w="108" w:type="dxa"/>
            <w:bottom w:w="0" w:type="dxa"/>
            <w:right w:w="108" w:type="dxa"/>
          </w:tblCellMar>
        </w:tblPrEx>
        <w:trPr>
          <w:trHeight w:val="587" w:hRule="atLeast"/>
        </w:trPr>
        <w:tc>
          <w:tcPr>
            <w:tcW w:w="14174" w:type="dxa"/>
            <w:gridSpan w:val="12"/>
            <w:tcBorders>
              <w:top w:val="single" w:color="auto"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i w:val="0"/>
                <w:iCs w:val="0"/>
                <w:color w:val="000000"/>
                <w:sz w:val="22"/>
                <w:szCs w:val="22"/>
                <w:u w:val="none"/>
              </w:rPr>
            </w:pP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年度总金额（万元）</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rPr>
              <w:t>311.7</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3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r>
      <w:tr>
        <w:tblPrEx>
          <w:tblCellMar>
            <w:top w:w="0" w:type="dxa"/>
            <w:left w:w="108" w:type="dxa"/>
            <w:bottom w:w="0" w:type="dxa"/>
            <w:right w:w="108" w:type="dxa"/>
          </w:tblCellMar>
        </w:tblPrEx>
        <w:trPr>
          <w:trHeight w:val="500" w:hRule="atLeast"/>
        </w:trPr>
        <w:tc>
          <w:tcPr>
            <w:tcW w:w="335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06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rPr>
              <w:t>311.7</w:t>
            </w:r>
          </w:p>
        </w:tc>
        <w:tc>
          <w:tcPr>
            <w:tcW w:w="1985"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69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2033"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 </w:t>
            </w:r>
          </w:p>
        </w:tc>
      </w:tr>
      <w:tr>
        <w:tblPrEx>
          <w:tblCellMar>
            <w:top w:w="0" w:type="dxa"/>
            <w:left w:w="108" w:type="dxa"/>
            <w:bottom w:w="0" w:type="dxa"/>
            <w:right w:w="108" w:type="dxa"/>
          </w:tblCellMar>
        </w:tblPrEx>
        <w:trPr>
          <w:trHeight w:val="441"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tblPrEx>
          <w:tblCellMar>
            <w:top w:w="0" w:type="dxa"/>
            <w:left w:w="108" w:type="dxa"/>
            <w:bottom w:w="0" w:type="dxa"/>
            <w:right w:w="108" w:type="dxa"/>
          </w:tblCellMar>
        </w:tblPrEx>
        <w:trPr>
          <w:trHeight w:val="500" w:hRule="atLeast"/>
        </w:trPr>
        <w:tc>
          <w:tcPr>
            <w:tcW w:w="6418"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3682"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4074" w:type="dxa"/>
            <w:gridSpan w:val="4"/>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tblPrEx>
          <w:tblCellMar>
            <w:top w:w="0" w:type="dxa"/>
            <w:left w:w="108" w:type="dxa"/>
            <w:bottom w:w="0" w:type="dxa"/>
            <w:right w:w="108" w:type="dxa"/>
          </w:tblCellMar>
        </w:tblPrEx>
        <w:trPr>
          <w:trHeight w:val="394" w:hRule="atLeast"/>
        </w:trPr>
        <w:tc>
          <w:tcPr>
            <w:tcW w:w="6418"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保运转</w:t>
            </w:r>
          </w:p>
        </w:tc>
        <w:tc>
          <w:tcPr>
            <w:tcW w:w="3682" w:type="dxa"/>
            <w:gridSpan w:val="4"/>
            <w:tcBorders>
              <w:top w:val="single" w:color="000000" w:sz="4" w:space="0"/>
              <w:left w:val="single" w:color="000000" w:sz="4" w:space="0"/>
              <w:bottom w:val="single" w:color="000000" w:sz="4" w:space="0"/>
              <w:right w:val="single" w:color="000000" w:sz="4" w:space="0"/>
            </w:tcBorders>
            <w:vAlign w:val="top"/>
          </w:tcPr>
          <w:p>
            <w:pPr>
              <w:jc w:val="left"/>
              <w:rPr>
                <w:rFonts w:hint="eastAsia" w:ascii="宋体" w:hAnsi="宋体" w:eastAsia="宋体" w:cs="宋体"/>
                <w:i w:val="0"/>
                <w:iCs w:val="0"/>
                <w:color w:val="000000"/>
                <w:sz w:val="22"/>
                <w:szCs w:val="22"/>
                <w:u w:val="none"/>
              </w:rPr>
            </w:pPr>
          </w:p>
        </w:tc>
        <w:tc>
          <w:tcPr>
            <w:tcW w:w="4074" w:type="dxa"/>
            <w:gridSpan w:val="4"/>
            <w:tcBorders>
              <w:top w:val="single" w:color="000000" w:sz="4" w:space="0"/>
              <w:left w:val="single" w:color="000000" w:sz="4" w:space="0"/>
              <w:bottom w:val="single" w:color="000000" w:sz="4" w:space="0"/>
              <w:right w:val="single" w:color="000000" w:sz="4" w:space="0"/>
            </w:tcBorders>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r>
      <w:tr>
        <w:tblPrEx>
          <w:tblCellMar>
            <w:top w:w="0" w:type="dxa"/>
            <w:left w:w="108" w:type="dxa"/>
            <w:bottom w:w="0" w:type="dxa"/>
            <w:right w:w="108" w:type="dxa"/>
          </w:tblCellMar>
        </w:tblPrEx>
        <w:trPr>
          <w:trHeight w:val="407" w:hRule="atLeast"/>
        </w:trPr>
        <w:tc>
          <w:tcPr>
            <w:tcW w:w="14174" w:type="dxa"/>
            <w:gridSpan w:val="1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14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10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92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72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13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c>
          <w:tcPr>
            <w:tcW w:w="103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市财政局建议</w:t>
            </w:r>
          </w:p>
        </w:tc>
      </w:tr>
      <w:tr>
        <w:tblPrEx>
          <w:tblCellMar>
            <w:top w:w="0" w:type="dxa"/>
            <w:left w:w="108" w:type="dxa"/>
            <w:bottom w:w="0" w:type="dxa"/>
            <w:right w:w="108" w:type="dxa"/>
          </w:tblCellMar>
        </w:tblPrEx>
        <w:trPr>
          <w:trHeight w:val="500" w:hRule="atLeast"/>
        </w:trPr>
        <w:tc>
          <w:tcPr>
            <w:tcW w:w="18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基本支出</w:t>
            </w:r>
          </w:p>
        </w:tc>
        <w:tc>
          <w:tcPr>
            <w:tcW w:w="148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万元</w:t>
            </w:r>
          </w:p>
        </w:tc>
        <w:tc>
          <w:tcPr>
            <w:tcW w:w="16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4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062"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923"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6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Chars="100"/>
              <w:jc w:val="right"/>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10</w:t>
            </w:r>
          </w:p>
        </w:tc>
        <w:tc>
          <w:tcPr>
            <w:tcW w:w="721" w:type="dxa"/>
            <w:tcBorders>
              <w:top w:val="single" w:color="000000" w:sz="4" w:space="0"/>
              <w:left w:val="single" w:color="000000" w:sz="4" w:space="0"/>
              <w:bottom w:val="single" w:color="000000" w:sz="4" w:space="0"/>
              <w:right w:val="single" w:color="000000" w:sz="4" w:space="0"/>
            </w:tcBorders>
            <w:vAlign w:val="center"/>
          </w:tcPr>
          <w:p>
            <w:pPr>
              <w:jc w:val="right"/>
              <w:rPr>
                <w:rFonts w:hint="eastAsia" w:ascii="宋体" w:hAnsi="宋体" w:eastAsia="宋体" w:cs="宋体"/>
                <w:i w:val="0"/>
                <w:iCs w:val="0"/>
                <w:color w:val="000000"/>
                <w:sz w:val="22"/>
                <w:szCs w:val="22"/>
                <w:u w:val="none"/>
              </w:rPr>
            </w:pPr>
          </w:p>
        </w:tc>
        <w:tc>
          <w:tcPr>
            <w:tcW w:w="131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c>
          <w:tcPr>
            <w:tcW w:w="100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w:t>
            </w:r>
          </w:p>
        </w:tc>
        <w:tc>
          <w:tcPr>
            <w:tcW w:w="1032" w:type="dxa"/>
            <w:tcBorders>
              <w:top w:val="single" w:color="000000" w:sz="4" w:space="0"/>
              <w:left w:val="single" w:color="000000" w:sz="4" w:space="0"/>
              <w:bottom w:val="single" w:color="000000" w:sz="4" w:space="0"/>
              <w:right w:val="single" w:color="000000" w:sz="4" w:space="0"/>
            </w:tcBorders>
            <w:vAlign w:val="center"/>
          </w:tcPr>
          <w:p>
            <w:pPr>
              <w:jc w:val="left"/>
              <w:rPr>
                <w:rFonts w:hint="eastAsia" w:ascii="宋体" w:hAnsi="宋体" w:eastAsia="宋体" w:cs="宋体"/>
                <w:i w:val="0"/>
                <w:iCs w:val="0"/>
                <w:color w:val="000000"/>
                <w:sz w:val="22"/>
                <w:szCs w:val="22"/>
                <w:u w:val="none"/>
              </w:rPr>
            </w:pPr>
          </w:p>
        </w:tc>
      </w:tr>
    </w:tbl>
    <w:p>
      <w:pPr>
        <w:pStyle w:val="3"/>
        <w:shd w:val="clear" w:color="auto" w:fill="FFFFFF"/>
        <w:snapToGrid w:val="0"/>
        <w:rPr>
          <w:rFonts w:hint="eastAsia" w:ascii="Times New Roman" w:hAnsi="Times New Roman" w:eastAsia="方正仿宋_GBK" w:cs="宋体"/>
          <w:kern w:val="0"/>
          <w:sz w:val="32"/>
          <w:szCs w:val="32"/>
          <w:highlight w:val="none"/>
          <w:shd w:val="clear" w:color="auto" w:fill="FFFFFF"/>
          <w:lang w:val="en-US" w:eastAsia="zh-CN" w:bidi="ar-SA"/>
        </w:rPr>
      </w:pPr>
      <w:r>
        <w:rPr>
          <w:rFonts w:hint="eastAsia" w:ascii="Times New Roman" w:hAnsi="Times New Roman" w:eastAsia="方正仿宋_GBK" w:cs="宋体"/>
          <w:kern w:val="0"/>
          <w:sz w:val="32"/>
          <w:szCs w:val="32"/>
          <w:highlight w:val="none"/>
          <w:shd w:val="clear" w:color="auto" w:fill="FFFFFF"/>
          <w:lang w:val="en-US" w:eastAsia="zh-CN" w:bidi="ar-SA"/>
        </w:rPr>
        <w:t>2.绩效自评报告或案例。</w:t>
      </w:r>
    </w:p>
    <w:p>
      <w:pPr>
        <w:pStyle w:val="3"/>
        <w:shd w:val="clear" w:color="auto" w:fill="FFFFFF"/>
        <w:snapToGrid w:val="0"/>
        <w:ind w:left="405" w:firstLine="320" w:firstLineChars="100"/>
        <w:rPr>
          <w:rFonts w:hint="eastAsia" w:ascii="Times New Roman" w:hAnsi="Times New Roman" w:eastAsia="方正仿宋_GBK" w:cs="宋体"/>
          <w:kern w:val="0"/>
          <w:sz w:val="32"/>
          <w:szCs w:val="32"/>
          <w:highlight w:val="none"/>
          <w:shd w:val="clear" w:color="auto" w:fill="FFFFFF"/>
          <w:lang w:val="en-US" w:eastAsia="zh-CN" w:bidi="ar-SA"/>
        </w:rPr>
      </w:pPr>
      <w:r>
        <w:rPr>
          <w:rFonts w:hint="eastAsia" w:ascii="Times New Roman" w:hAnsi="Times New Roman" w:eastAsia="方正仿宋_GBK" w:cs="宋体"/>
          <w:kern w:val="0"/>
          <w:sz w:val="32"/>
          <w:szCs w:val="32"/>
          <w:highlight w:val="none"/>
          <w:shd w:val="clear" w:color="auto" w:fill="FFFFFF"/>
          <w:lang w:val="en-US" w:eastAsia="zh-CN" w:bidi="ar-SA"/>
        </w:rPr>
        <w:t>无</w:t>
      </w:r>
    </w:p>
    <w:p>
      <w:pPr>
        <w:pStyle w:val="3"/>
        <w:shd w:val="clear" w:color="auto" w:fill="FFFFFF"/>
        <w:snapToGrid w:val="0"/>
        <w:rPr>
          <w:rFonts w:hint="eastAsia" w:ascii="Times New Roman" w:hAnsi="Times New Roman" w:eastAsia="方正仿宋_GBK" w:cs="宋体"/>
          <w:kern w:val="0"/>
          <w:sz w:val="32"/>
          <w:szCs w:val="32"/>
          <w:highlight w:val="none"/>
          <w:shd w:val="clear" w:color="auto" w:fill="FFFFFF"/>
          <w:lang w:val="en-US" w:eastAsia="zh-CN" w:bidi="ar-SA"/>
        </w:rPr>
      </w:pPr>
      <w:r>
        <w:rPr>
          <w:rFonts w:hint="eastAsia" w:ascii="Times New Roman" w:hAnsi="Times New Roman" w:eastAsia="方正仿宋_GBK" w:cs="宋体"/>
          <w:kern w:val="0"/>
          <w:sz w:val="32"/>
          <w:szCs w:val="32"/>
          <w:highlight w:val="none"/>
          <w:shd w:val="clear" w:color="auto" w:fill="FFFFFF"/>
          <w:lang w:val="en-US" w:eastAsia="zh-CN" w:bidi="ar-SA"/>
        </w:rPr>
        <w:t>3.关于绩效自评结果的说明。</w:t>
      </w:r>
    </w:p>
    <w:p>
      <w:pPr>
        <w:pStyle w:val="3"/>
        <w:shd w:val="clear" w:color="auto" w:fill="FFFFFF"/>
        <w:snapToGrid w:val="0"/>
        <w:rPr>
          <w:rFonts w:hint="eastAsia" w:ascii="Times New Roman" w:hAnsi="Times New Roman" w:eastAsia="方正仿宋_GBK" w:cs="宋体"/>
          <w:kern w:val="0"/>
          <w:sz w:val="32"/>
          <w:szCs w:val="32"/>
          <w:highlight w:val="none"/>
          <w:shd w:val="clear" w:color="auto" w:fill="FFFFFF"/>
          <w:lang w:val="en-US" w:eastAsia="zh-CN" w:bidi="ar-SA"/>
        </w:rPr>
      </w:pPr>
      <w:r>
        <w:rPr>
          <w:rFonts w:hint="eastAsia" w:ascii="Times New Roman" w:hAnsi="Times New Roman" w:eastAsia="方正仿宋_GBK" w:cs="宋体"/>
          <w:kern w:val="0"/>
          <w:sz w:val="32"/>
          <w:szCs w:val="32"/>
          <w:highlight w:val="none"/>
          <w:shd w:val="clear" w:color="auto" w:fill="FFFFFF"/>
          <w:lang w:val="en-US" w:eastAsia="zh-CN" w:bidi="ar-SA"/>
        </w:rPr>
        <w:t>本部门对整体绩效和项目以填报目标自评表形式开展了自评，从评价情况来看，均是按照绩效目标开展，并完成了年度绩效目标，自评结果均属优</w:t>
      </w:r>
    </w:p>
    <w:p>
      <w:pPr>
        <w:widowControl/>
        <w:jc w:val="both"/>
        <w:rPr>
          <w:rFonts w:hint="eastAsia" w:ascii="宋体" w:hAnsi="宋体" w:eastAsia="宋体" w:cs="宋体"/>
          <w:b/>
          <w:bCs/>
          <w:kern w:val="0"/>
          <w:sz w:val="36"/>
          <w:szCs w:val="36"/>
          <w:shd w:val="clear" w:fill="FFFFFF"/>
        </w:rPr>
      </w:pPr>
      <w:r>
        <w:rPr>
          <w:rStyle w:val="10"/>
          <w:rFonts w:hint="eastAsia" w:ascii="宋体" w:hAnsi="宋体" w:eastAsia="宋体" w:cs="宋体"/>
          <w:b/>
          <w:bCs/>
          <w:sz w:val="36"/>
          <w:szCs w:val="36"/>
          <w:shd w:val="clear" w:fill="FFFFFF"/>
        </w:rPr>
        <w:t>六、专业名词解释</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（一）财政拨款收入：指本年度从本级财政部门取得的财政拨款，包括一般公共预算财政拨款和政府性基金预算财政拨款。</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（二）事业收入：指事业单位开展专业业务活动及其辅助活动取得的现金流入；事业单位收到的财政专户实际核拨的教育收费等资金在此反映。</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（三）经营收入：指事业单位在专业业务活动及其辅助活动之外开展非独立核算经营活动取得的现金流入。</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四）其他收入：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（五）使用非财政拨款结余：指单位在当年的“财政拨款收入”、“事业收入”、“经营收入”、“其他收入”等不足以安排当年支出的情况下，使用以前年度积累的非财政拨款结余弥补本年度收支缺口的资金。</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（六）年初结转和结余：指单位上年结转本年使用的基本支出结转、项目支出结转和结余、经营结余。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（七）结余分配：指单位按照国家有关规定，缴纳所得税、提取专用基金、转入非财政拨款结余等当年结余的分配情况。</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（八）年末结转和结余：指单位结转下年的基本支出结转、项目支出结转和结余、经营结余。</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九）基本支出：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（十）项目支出：指在基本支出之外为完成特定行政任务和事业发展目标所发生的支出。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（十一）经营支出：指事业单位在专业业务活动及其辅助活动之外开展非独立核算经营活动发生的支出。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二）“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（十三）机关运行经费：为保障行政单位（含参照公务员法管理的事业单位）运行用于购买货物和服务等的各项公用经费，包括办公及印刷费、邮电费、差旅费、会议费、福利费、日常维护 费、专用材料及一般设备购置费、办公用房水电费、办公用房取暖费、办公用房物业管理费、公务用车运行维护费以及其他费用。</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（十四）工资福利支出（支出经济分类科目类级）：反映单位开支的在职职工和编制外长期聘用人员的各类劳动报酬，以及为上述人员缴纳的各项社会保险费等。</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（十五）商品和服务支出（支出经济分类科目类级）：反映单位购买商品和服务的支出（不包括用于购置固定资产的支出、战略性和应急储备支出）。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（十六）对个人和家庭的补助（支出经济分类科目类级）：反映用于对个人和家庭的补助支出。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十七）其他资本性支出（支出经济分类科目类级）：反映非各级发展与改革部门集中安排的用于购置固定资产、战略性和应急性储备、土地和无形资产，以及构建基础设施、大型修缮和财政支持企业更新改造所发生的支出。</w:t>
      </w:r>
    </w:p>
    <w:p>
      <w:pPr>
        <w:pStyle w:val="8"/>
        <w:keepNext w:val="0"/>
        <w:keepLines w:val="0"/>
        <w:pageBreakBefore w:val="0"/>
        <w:widowControl/>
        <w:suppressLineNumbers w:val="0"/>
        <w:kinsoku/>
        <w:wordWrap/>
        <w:overflowPunct/>
        <w:topLinePunct w:val="0"/>
        <w:autoSpaceDE/>
        <w:autoSpaceDN/>
        <w:bidi w:val="0"/>
        <w:adjustRightInd/>
        <w:snapToGrid/>
        <w:spacing w:before="0" w:beforeAutospacing="0" w:line="500" w:lineRule="exact"/>
        <w:ind w:left="0" w:firstLine="640" w:firstLineChars="200"/>
        <w:jc w:val="left"/>
        <w:textAlignment w:val="auto"/>
        <w:rPr>
          <w:rFonts w:hint="eastAsia" w:ascii="Times New Roman" w:hAnsi="Times New Roman" w:eastAsia="方正仿宋_GBK" w:cs="华文仿宋"/>
          <w:kern w:val="0"/>
          <w:sz w:val="32"/>
          <w:szCs w:val="32"/>
          <w:lang w:val="en-US" w:eastAsia="zh-CN" w:bidi="ar-SA"/>
        </w:rPr>
      </w:pPr>
      <w:r>
        <w:rPr>
          <w:rFonts w:hint="eastAsia" w:ascii="Times New Roman" w:hAnsi="Times New Roman" w:eastAsia="方正仿宋_GBK" w:cs="华文仿宋"/>
          <w:kern w:val="0"/>
          <w:sz w:val="32"/>
          <w:szCs w:val="32"/>
          <w:lang w:val="en-US" w:eastAsia="zh-CN" w:bidi="ar-SA"/>
        </w:rPr>
        <w:t>七、决算公开联系方式及信息反馈渠道，本单位决算公开信息反馈和联系方式： 邓胜兰            电话：02344497013。</w:t>
      </w:r>
    </w:p>
    <w:p>
      <w:pPr>
        <w:pStyle w:val="8"/>
        <w:spacing w:beforeAutospacing="0" w:afterAutospacing="0" w:line="600" w:lineRule="exact"/>
        <w:rPr>
          <w:rFonts w:hint="eastAsia" w:ascii="Times New Roman" w:hAnsi="Times New Roman" w:eastAsia="方正仿宋_GBK" w:cs="宋体"/>
          <w:sz w:val="32"/>
          <w:szCs w:val="32"/>
          <w:shd w:val="clear" w:color="auto" w:fill="FFFFFF"/>
          <w:lang w:val="en-US" w:eastAsia="zh-CN"/>
        </w:rPr>
      </w:pPr>
      <w:r>
        <w:rPr>
          <w:rFonts w:hint="eastAsia" w:ascii="Times New Roman" w:hAnsi="Times New Roman" w:eastAsia="方正仿宋_GBK" w:cs="宋体"/>
          <w:sz w:val="32"/>
          <w:szCs w:val="32"/>
          <w:shd w:val="clear" w:color="auto" w:fill="FFFFFF"/>
          <w:lang w:val="en-US" w:eastAsia="zh-CN"/>
        </w:rPr>
        <w:t>附件</w:t>
      </w:r>
    </w:p>
    <w:tbl>
      <w:tblPr>
        <w:tblStyle w:val="4"/>
        <w:tblW w:w="13988" w:type="dxa"/>
        <w:tblInd w:w="0" w:type="dxa"/>
        <w:shd w:val="clear" w:color="auto" w:fill="auto"/>
        <w:tblLayout w:type="fixed"/>
        <w:tblCellMar>
          <w:top w:w="0" w:type="dxa"/>
          <w:left w:w="0" w:type="dxa"/>
          <w:bottom w:w="0" w:type="dxa"/>
          <w:right w:w="0" w:type="dxa"/>
        </w:tblCellMar>
      </w:tblPr>
      <w:tblGrid>
        <w:gridCol w:w="5727"/>
        <w:gridCol w:w="2023"/>
        <w:gridCol w:w="4216"/>
        <w:gridCol w:w="2022"/>
      </w:tblGrid>
      <w:tr>
        <w:tblPrEx>
          <w:tblCellMar>
            <w:top w:w="0" w:type="dxa"/>
            <w:left w:w="0" w:type="dxa"/>
            <w:bottom w:w="0" w:type="dxa"/>
            <w:right w:w="0" w:type="dxa"/>
          </w:tblCellMar>
        </w:tblPrEx>
        <w:trPr>
          <w:trHeight w:val="555" w:hRule="atLeast"/>
        </w:trPr>
        <w:tc>
          <w:tcPr>
            <w:tcW w:w="13988" w:type="dxa"/>
            <w:gridSpan w:val="4"/>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r>
              <w:rPr>
                <w:rFonts w:hint="eastAsia" w:ascii="黑体" w:hAnsi="宋体" w:eastAsia="黑体" w:cs="黑体"/>
                <w:i w:val="0"/>
                <w:color w:val="000000"/>
                <w:kern w:val="0"/>
                <w:sz w:val="44"/>
                <w:szCs w:val="44"/>
                <w:u w:val="none"/>
                <w:lang w:val="en-US" w:eastAsia="zh-CN" w:bidi="ar"/>
              </w:rPr>
              <w:t>收入支出决算总表</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02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21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22"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2023"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4216"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2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00" w:hRule="atLeast"/>
        </w:trPr>
        <w:tc>
          <w:tcPr>
            <w:tcW w:w="7750"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623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02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r>
      <w:tr>
        <w:tblPrEx>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02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02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r>
      <w:tr>
        <w:tblPrEx>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使用非财政拨款结余</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结余分配</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年初结转和结余</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年末结转和结余</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727"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42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0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r>
    </w:tbl>
    <w:p>
      <w:pPr>
        <w:widowControl/>
        <w:jc w:val="left"/>
      </w:pPr>
      <w:r>
        <w:br w:type="page"/>
      </w:r>
    </w:p>
    <w:tbl>
      <w:tblPr>
        <w:tblStyle w:val="4"/>
        <w:tblW w:w="13982" w:type="dxa"/>
        <w:tblInd w:w="0" w:type="dxa"/>
        <w:shd w:val="clear" w:color="auto" w:fill="auto"/>
        <w:tblLayout w:type="fixed"/>
        <w:tblCellMar>
          <w:top w:w="0" w:type="dxa"/>
          <w:left w:w="0" w:type="dxa"/>
          <w:bottom w:w="0" w:type="dxa"/>
          <w:right w:w="0" w:type="dxa"/>
        </w:tblCellMar>
      </w:tblPr>
      <w:tblGrid>
        <w:gridCol w:w="2137"/>
        <w:gridCol w:w="565"/>
        <w:gridCol w:w="542"/>
        <w:gridCol w:w="1493"/>
        <w:gridCol w:w="3104"/>
        <w:gridCol w:w="850"/>
        <w:gridCol w:w="696"/>
        <w:gridCol w:w="728"/>
        <w:gridCol w:w="729"/>
        <w:gridCol w:w="729"/>
        <w:gridCol w:w="729"/>
        <w:gridCol w:w="728"/>
        <w:gridCol w:w="952"/>
      </w:tblGrid>
      <w:tr>
        <w:tblPrEx>
          <w:tblCellMar>
            <w:top w:w="0" w:type="dxa"/>
            <w:left w:w="0" w:type="dxa"/>
            <w:bottom w:w="0" w:type="dxa"/>
            <w:right w:w="0" w:type="dxa"/>
          </w:tblCellMar>
        </w:tblPrEx>
        <w:trPr>
          <w:trHeight w:val="630" w:hRule="exact"/>
        </w:trPr>
        <w:tc>
          <w:tcPr>
            <w:tcW w:w="13982" w:type="dxa"/>
            <w:gridSpan w:val="1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收入决算表</w:t>
            </w:r>
          </w:p>
        </w:tc>
      </w:tr>
      <w:tr>
        <w:tblPrEx>
          <w:tblCellMar>
            <w:top w:w="0" w:type="dxa"/>
            <w:left w:w="0" w:type="dxa"/>
            <w:bottom w:w="0" w:type="dxa"/>
            <w:right w:w="0" w:type="dxa"/>
          </w:tblCellMar>
        </w:tblPrEx>
        <w:trPr>
          <w:trHeight w:val="283" w:hRule="exact"/>
        </w:trPr>
        <w:tc>
          <w:tcPr>
            <w:tcW w:w="213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56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35"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0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5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8"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9"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CellMar>
            <w:top w:w="0" w:type="dxa"/>
            <w:left w:w="0" w:type="dxa"/>
            <w:bottom w:w="0" w:type="dxa"/>
            <w:right w:w="0" w:type="dxa"/>
          </w:tblCellMar>
        </w:tblPrEx>
        <w:trPr>
          <w:trHeight w:val="283" w:hRule="exact"/>
        </w:trPr>
        <w:tc>
          <w:tcPr>
            <w:tcW w:w="7841" w:type="dxa"/>
            <w:gridSpan w:val="5"/>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850"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6"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728"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2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409" w:type="dxa"/>
            <w:gridSpan w:val="3"/>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283" w:hRule="exact"/>
        </w:trPr>
        <w:tc>
          <w:tcPr>
            <w:tcW w:w="784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85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69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7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145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7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72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95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CellMar>
            <w:top w:w="0" w:type="dxa"/>
            <w:left w:w="0" w:type="dxa"/>
            <w:bottom w:w="0" w:type="dxa"/>
            <w:right w:w="0" w:type="dxa"/>
          </w:tblCellMar>
        </w:tblPrEx>
        <w:trPr>
          <w:trHeight w:val="312" w:hRule="exact"/>
        </w:trPr>
        <w:tc>
          <w:tcPr>
            <w:tcW w:w="3244" w:type="dxa"/>
            <w:gridSpan w:val="3"/>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59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72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12" w:hRule="exact"/>
        </w:trPr>
        <w:tc>
          <w:tcPr>
            <w:tcW w:w="324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5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312" w:hRule="exact"/>
        </w:trPr>
        <w:tc>
          <w:tcPr>
            <w:tcW w:w="3244" w:type="dxa"/>
            <w:gridSpan w:val="3"/>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59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5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2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5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7841"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20899</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其他社会保障和就业支出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283" w:hRule="exact"/>
        </w:trPr>
        <w:tc>
          <w:tcPr>
            <w:tcW w:w="3244"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59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8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6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5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line="600" w:lineRule="exact"/>
      </w:pPr>
    </w:p>
    <w:p>
      <w:pPr>
        <w:widowControl/>
        <w:jc w:val="left"/>
      </w:pPr>
      <w:r>
        <w:br w:type="page"/>
      </w:r>
    </w:p>
    <w:tbl>
      <w:tblPr>
        <w:tblStyle w:val="4"/>
        <w:tblW w:w="13988" w:type="dxa"/>
        <w:tblInd w:w="0" w:type="dxa"/>
        <w:shd w:val="clear" w:color="auto" w:fill="auto"/>
        <w:tblLayout w:type="fixed"/>
        <w:tblCellMar>
          <w:top w:w="0" w:type="dxa"/>
          <w:left w:w="0" w:type="dxa"/>
          <w:bottom w:w="0" w:type="dxa"/>
          <w:right w:w="0" w:type="dxa"/>
        </w:tblCellMar>
      </w:tblPr>
      <w:tblGrid>
        <w:gridCol w:w="4954"/>
        <w:gridCol w:w="70"/>
        <w:gridCol w:w="20"/>
        <w:gridCol w:w="90"/>
        <w:gridCol w:w="3366"/>
        <w:gridCol w:w="990"/>
        <w:gridCol w:w="1187"/>
        <w:gridCol w:w="773"/>
        <w:gridCol w:w="773"/>
        <w:gridCol w:w="774"/>
        <w:gridCol w:w="991"/>
      </w:tblGrid>
      <w:tr>
        <w:tblPrEx>
          <w:shd w:val="clear" w:color="auto" w:fill="auto"/>
          <w:tblCellMar>
            <w:top w:w="0" w:type="dxa"/>
            <w:left w:w="0" w:type="dxa"/>
            <w:bottom w:w="0" w:type="dxa"/>
            <w:right w:w="0" w:type="dxa"/>
          </w:tblCellMar>
        </w:tblPrEx>
        <w:trPr>
          <w:trHeight w:val="510" w:hRule="exac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支出决算表</w:t>
            </w:r>
          </w:p>
        </w:tc>
      </w:tr>
      <w:tr>
        <w:tblPrEx>
          <w:tblCellMar>
            <w:top w:w="0" w:type="dxa"/>
            <w:left w:w="0" w:type="dxa"/>
            <w:bottom w:w="0" w:type="dxa"/>
            <w:right w:w="0" w:type="dxa"/>
          </w:tblCellMar>
        </w:tblPrEx>
        <w:trPr>
          <w:trHeight w:val="510" w:hRule="exact"/>
        </w:trPr>
        <w:tc>
          <w:tcPr>
            <w:tcW w:w="495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90"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36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38"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shd w:val="clear" w:color="auto" w:fill="auto"/>
          <w:tblCellMar>
            <w:top w:w="0" w:type="dxa"/>
            <w:left w:w="0" w:type="dxa"/>
            <w:bottom w:w="0" w:type="dxa"/>
            <w:right w:w="0" w:type="dxa"/>
          </w:tblCellMar>
        </w:tblPrEx>
        <w:trPr>
          <w:trHeight w:val="510" w:hRule="exact"/>
        </w:trPr>
        <w:tc>
          <w:tcPr>
            <w:tcW w:w="8500" w:type="dxa"/>
            <w:gridSpan w:val="5"/>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990"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8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7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38"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510" w:hRule="exact"/>
        </w:trPr>
        <w:tc>
          <w:tcPr>
            <w:tcW w:w="85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11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7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77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99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CellMar>
            <w:top w:w="0" w:type="dxa"/>
            <w:left w:w="0" w:type="dxa"/>
            <w:bottom w:w="0" w:type="dxa"/>
            <w:right w:w="0" w:type="dxa"/>
          </w:tblCellMar>
        </w:tblPrEx>
        <w:trPr>
          <w:trHeight w:val="510" w:hRule="exact"/>
        </w:trPr>
        <w:tc>
          <w:tcPr>
            <w:tcW w:w="502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47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7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77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850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行政事业单位养老支出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605"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20899</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510" w:hRule="exact"/>
        </w:trPr>
        <w:tc>
          <w:tcPr>
            <w:tcW w:w="50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347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1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line="600" w:lineRule="exact"/>
      </w:pPr>
    </w:p>
    <w:p>
      <w:pPr>
        <w:widowControl/>
        <w:jc w:val="left"/>
      </w:pPr>
      <w:r>
        <w:br w:type="page"/>
      </w:r>
    </w:p>
    <w:tbl>
      <w:tblPr>
        <w:tblStyle w:val="4"/>
        <w:tblW w:w="13988" w:type="dxa"/>
        <w:tblInd w:w="0" w:type="dxa"/>
        <w:shd w:val="clear" w:color="auto" w:fill="auto"/>
        <w:tblLayout w:type="fixed"/>
        <w:tblCellMar>
          <w:top w:w="0" w:type="dxa"/>
          <w:left w:w="0" w:type="dxa"/>
          <w:bottom w:w="0" w:type="dxa"/>
          <w:right w:w="0" w:type="dxa"/>
        </w:tblCellMar>
      </w:tblPr>
      <w:tblGrid>
        <w:gridCol w:w="4511"/>
        <w:gridCol w:w="1520"/>
        <w:gridCol w:w="2707"/>
        <w:gridCol w:w="692"/>
        <w:gridCol w:w="1520"/>
        <w:gridCol w:w="1519"/>
        <w:gridCol w:w="1519"/>
      </w:tblGrid>
      <w:tr>
        <w:tblPrEx>
          <w:shd w:val="clear" w:color="auto" w:fill="auto"/>
          <w:tblCellMar>
            <w:top w:w="0" w:type="dxa"/>
            <w:left w:w="0" w:type="dxa"/>
            <w:bottom w:w="0" w:type="dxa"/>
            <w:right w:w="0" w:type="dxa"/>
          </w:tblCellMar>
        </w:tblPrEx>
        <w:trPr>
          <w:trHeight w:val="555" w:hRule="atLeast"/>
        </w:trPr>
        <w:tc>
          <w:tcPr>
            <w:tcW w:w="13988" w:type="dxa"/>
            <w:gridSpan w:val="7"/>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财政拨款收入支出决算总表</w:t>
            </w:r>
          </w:p>
        </w:tc>
      </w:tr>
      <w:tr>
        <w:tblPrEx>
          <w:tblCellMar>
            <w:top w:w="0" w:type="dxa"/>
            <w:left w:w="0" w:type="dxa"/>
            <w:bottom w:w="0" w:type="dxa"/>
            <w:right w:w="0" w:type="dxa"/>
          </w:tblCellMar>
        </w:tblPrEx>
        <w:trPr>
          <w:trHeight w:val="300" w:hRule="atLeast"/>
        </w:trPr>
        <w:tc>
          <w:tcPr>
            <w:tcW w:w="4511"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52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70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2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9"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CellMar>
            <w:top w:w="0" w:type="dxa"/>
            <w:left w:w="0" w:type="dxa"/>
            <w:bottom w:w="0" w:type="dxa"/>
            <w:right w:w="0" w:type="dxa"/>
          </w:tblCellMar>
        </w:tblPrEx>
        <w:trPr>
          <w:trHeight w:val="300" w:hRule="atLeast"/>
        </w:trPr>
        <w:tc>
          <w:tcPr>
            <w:tcW w:w="6031"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2707"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692"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20"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19"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trHeight w:val="300" w:hRule="atLeast"/>
        </w:trPr>
        <w:tc>
          <w:tcPr>
            <w:tcW w:w="6031"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7957"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CellMar>
            <w:top w:w="0" w:type="dxa"/>
            <w:left w:w="0" w:type="dxa"/>
            <w:bottom w:w="0" w:type="dxa"/>
            <w:right w:w="0" w:type="dxa"/>
          </w:tblCellMar>
        </w:tblPrEx>
        <w:trPr>
          <w:trHeight w:val="285" w:hRule="atLeast"/>
        </w:trPr>
        <w:tc>
          <w:tcPr>
            <w:tcW w:w="451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52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270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5250"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600" w:hRule="atLeast"/>
        </w:trPr>
        <w:tc>
          <w:tcPr>
            <w:tcW w:w="451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2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0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30.97</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14.16</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69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6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69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451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270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5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line="600" w:lineRule="exact"/>
      </w:pPr>
    </w:p>
    <w:p>
      <w:pPr>
        <w:widowControl/>
        <w:jc w:val="left"/>
      </w:pPr>
      <w:r>
        <w:br w:type="page"/>
      </w:r>
    </w:p>
    <w:tbl>
      <w:tblPr>
        <w:tblStyle w:val="4"/>
        <w:tblW w:w="14138" w:type="dxa"/>
        <w:tblInd w:w="0" w:type="dxa"/>
        <w:shd w:val="clear" w:color="auto" w:fill="auto"/>
        <w:tblLayout w:type="fixed"/>
        <w:tblCellMar>
          <w:top w:w="0" w:type="dxa"/>
          <w:left w:w="0" w:type="dxa"/>
          <w:bottom w:w="0" w:type="dxa"/>
          <w:right w:w="0" w:type="dxa"/>
        </w:tblCellMar>
      </w:tblPr>
      <w:tblGrid>
        <w:gridCol w:w="5125"/>
        <w:gridCol w:w="439"/>
        <w:gridCol w:w="1226"/>
        <w:gridCol w:w="3585"/>
        <w:gridCol w:w="804"/>
        <w:gridCol w:w="304"/>
        <w:gridCol w:w="507"/>
        <w:gridCol w:w="661"/>
        <w:gridCol w:w="150"/>
        <w:gridCol w:w="1187"/>
        <w:gridCol w:w="150"/>
      </w:tblGrid>
      <w:tr>
        <w:tblPrEx>
          <w:shd w:val="clear" w:color="auto" w:fill="auto"/>
          <w:tblCellMar>
            <w:top w:w="0" w:type="dxa"/>
            <w:left w:w="0" w:type="dxa"/>
            <w:bottom w:w="0" w:type="dxa"/>
            <w:right w:w="0" w:type="dxa"/>
          </w:tblCellMar>
        </w:tblPrEx>
        <w:trPr>
          <w:gridAfter w:val="1"/>
          <w:wAfter w:w="150" w:type="dxa"/>
          <w:trHeight w:val="745" w:hRule="exact"/>
        </w:trPr>
        <w:tc>
          <w:tcPr>
            <w:tcW w:w="13988" w:type="dxa"/>
            <w:gridSpan w:val="10"/>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一般公共预算财政拨款支出决算表</w:t>
            </w:r>
          </w:p>
        </w:tc>
      </w:tr>
      <w:tr>
        <w:tblPrEx>
          <w:tblCellMar>
            <w:top w:w="0" w:type="dxa"/>
            <w:left w:w="0" w:type="dxa"/>
            <w:bottom w:w="0" w:type="dxa"/>
            <w:right w:w="0" w:type="dxa"/>
          </w:tblCellMar>
        </w:tblPrEx>
        <w:trPr>
          <w:trHeight w:val="283" w:hRule="exact"/>
        </w:trPr>
        <w:tc>
          <w:tcPr>
            <w:tcW w:w="512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43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2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389"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CellMar>
            <w:top w:w="0" w:type="dxa"/>
            <w:left w:w="0" w:type="dxa"/>
            <w:bottom w:w="0" w:type="dxa"/>
            <w:right w:w="0" w:type="dxa"/>
          </w:tblCellMar>
        </w:tblPrEx>
        <w:trPr>
          <w:trHeight w:val="283" w:hRule="exact"/>
        </w:trPr>
        <w:tc>
          <w:tcPr>
            <w:tcW w:w="5125"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43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26"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389"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811"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11"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37"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tblCellMar>
            <w:top w:w="0" w:type="dxa"/>
            <w:left w:w="0" w:type="dxa"/>
            <w:bottom w:w="0" w:type="dxa"/>
            <w:right w:w="0" w:type="dxa"/>
          </w:tblCellMar>
        </w:tblPrEx>
        <w:trPr>
          <w:gridAfter w:val="1"/>
          <w:wAfter w:w="150" w:type="dxa"/>
          <w:trHeight w:val="283" w:hRule="exact"/>
        </w:trPr>
        <w:tc>
          <w:tcPr>
            <w:tcW w:w="1037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3613"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gridAfter w:val="1"/>
          <w:wAfter w:w="150" w:type="dxa"/>
          <w:trHeight w:val="312" w:hRule="exact"/>
        </w:trPr>
        <w:tc>
          <w:tcPr>
            <w:tcW w:w="5564"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811"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10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68"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33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gridAfter w:val="1"/>
          <w:wAfter w:w="150" w:type="dxa"/>
          <w:trHeight w:val="312" w:hRule="exact"/>
        </w:trPr>
        <w:tc>
          <w:tcPr>
            <w:tcW w:w="556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3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50" w:type="dxa"/>
          <w:trHeight w:val="312" w:hRule="exact"/>
        </w:trPr>
        <w:tc>
          <w:tcPr>
            <w:tcW w:w="5564"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1"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0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68"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33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50" w:type="dxa"/>
          <w:trHeight w:val="283" w:hRule="exact"/>
        </w:trPr>
        <w:tc>
          <w:tcPr>
            <w:tcW w:w="10375" w:type="dxa"/>
            <w:gridSpan w:val="4"/>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323.74</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文化旅游体育与传媒支出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20701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文化和旅游</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264.54</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2070101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行政运行</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264.54</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社会保障和就业支出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30.97</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20805</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行政事业单位养老支出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29.95</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2080505</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2080506</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2080599</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其他行政事业单位养老支出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20899</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其他社会保障和就业支出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1.02</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2089999</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其他社会保障和就业支出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卫生健康支出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21011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行政事业单位医疗</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14.16</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2101101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行政单位医疗</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11.72</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2101199</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其他行政事业单位医疗支出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2.44</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住房保障支出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22102</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住房改革支出</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14.07</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r>
      <w:tr>
        <w:tblPrEx>
          <w:tblCellMar>
            <w:top w:w="0" w:type="dxa"/>
            <w:left w:w="0" w:type="dxa"/>
            <w:bottom w:w="0" w:type="dxa"/>
            <w:right w:w="0" w:type="dxa"/>
          </w:tblCellMar>
        </w:tblPrEx>
        <w:trPr>
          <w:gridAfter w:val="1"/>
          <w:wAfter w:w="150" w:type="dxa"/>
          <w:trHeight w:val="283" w:hRule="exact"/>
        </w:trPr>
        <w:tc>
          <w:tcPr>
            <w:tcW w:w="556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2210201</w:t>
            </w:r>
          </w:p>
        </w:tc>
        <w:tc>
          <w:tcPr>
            <w:tcW w:w="4811"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0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168"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33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spacing w:line="600" w:lineRule="exact"/>
      </w:pPr>
    </w:p>
    <w:p>
      <w:pPr>
        <w:widowControl/>
        <w:jc w:val="left"/>
      </w:pPr>
      <w:r>
        <w:br w:type="page"/>
      </w:r>
    </w:p>
    <w:tbl>
      <w:tblPr>
        <w:tblStyle w:val="4"/>
        <w:tblW w:w="13983" w:type="dxa"/>
        <w:tblInd w:w="0" w:type="dxa"/>
        <w:shd w:val="clear" w:color="auto" w:fill="auto"/>
        <w:tblLayout w:type="fixed"/>
        <w:tblCellMar>
          <w:top w:w="0" w:type="dxa"/>
          <w:left w:w="0" w:type="dxa"/>
          <w:bottom w:w="0" w:type="dxa"/>
          <w:right w:w="0" w:type="dxa"/>
        </w:tblCellMar>
      </w:tblPr>
      <w:tblGrid>
        <w:gridCol w:w="1629"/>
        <w:gridCol w:w="2469"/>
        <w:gridCol w:w="1189"/>
        <w:gridCol w:w="1061"/>
        <w:gridCol w:w="2077"/>
        <w:gridCol w:w="1062"/>
        <w:gridCol w:w="900"/>
        <w:gridCol w:w="2749"/>
        <w:gridCol w:w="847"/>
      </w:tblGrid>
      <w:tr>
        <w:tblPrEx>
          <w:tblCellMar>
            <w:top w:w="0" w:type="dxa"/>
            <w:left w:w="0" w:type="dxa"/>
            <w:bottom w:w="0" w:type="dxa"/>
            <w:right w:w="0" w:type="dxa"/>
          </w:tblCellMar>
        </w:tblPrEx>
        <w:trPr>
          <w:trHeight w:val="555" w:hRule="atLeast"/>
        </w:trPr>
        <w:tc>
          <w:tcPr>
            <w:tcW w:w="13983"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一般公共预算财政拨款基本支出决算表</w:t>
            </w: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246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8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1"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96" w:type="dxa"/>
            <w:gridSpan w:val="2"/>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公开06表</w:t>
            </w:r>
          </w:p>
        </w:tc>
      </w:tr>
      <w:tr>
        <w:tblPrEx>
          <w:tblCellMar>
            <w:top w:w="0" w:type="dxa"/>
            <w:left w:w="0" w:type="dxa"/>
            <w:bottom w:w="0" w:type="dxa"/>
            <w:right w:w="0" w:type="dxa"/>
          </w:tblCellMar>
        </w:tblPrEx>
        <w:trPr>
          <w:trHeight w:val="300" w:hRule="atLeast"/>
        </w:trPr>
        <w:tc>
          <w:tcPr>
            <w:tcW w:w="4098"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公开部门：重庆市潼南区文化市场综合行政执法支队</w:t>
            </w:r>
          </w:p>
        </w:tc>
        <w:tc>
          <w:tcPr>
            <w:tcW w:w="118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61"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077"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062"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0"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596" w:type="dxa"/>
            <w:gridSpan w:val="2"/>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tblCellMar>
            <w:top w:w="0" w:type="dxa"/>
            <w:left w:w="0" w:type="dxa"/>
            <w:bottom w:w="0" w:type="dxa"/>
            <w:right w:w="0" w:type="dxa"/>
          </w:tblCellMar>
        </w:tblPrEx>
        <w:trPr>
          <w:trHeight w:val="300" w:hRule="atLeast"/>
        </w:trPr>
        <w:tc>
          <w:tcPr>
            <w:tcW w:w="5287" w:type="dxa"/>
            <w:gridSpan w:val="3"/>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8696" w:type="dxa"/>
            <w:gridSpan w:val="6"/>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CellMar>
            <w:top w:w="0" w:type="dxa"/>
            <w:left w:w="0" w:type="dxa"/>
            <w:bottom w:w="0" w:type="dxa"/>
            <w:right w:w="0" w:type="dxa"/>
          </w:tblCellMar>
        </w:tblPrEx>
        <w:trPr>
          <w:trHeight w:val="300" w:hRule="atLeast"/>
        </w:trPr>
        <w:tc>
          <w:tcPr>
            <w:tcW w:w="162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46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18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106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07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106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c>
          <w:tcPr>
            <w:tcW w:w="900"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74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84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金额</w:t>
            </w:r>
          </w:p>
        </w:tc>
      </w:tr>
      <w:tr>
        <w:tblPrEx>
          <w:tblCellMar>
            <w:top w:w="0" w:type="dxa"/>
            <w:left w:w="0" w:type="dxa"/>
            <w:bottom w:w="0" w:type="dxa"/>
            <w:right w:w="0" w:type="dxa"/>
          </w:tblCellMar>
        </w:tblPrEx>
        <w:trPr>
          <w:trHeight w:val="600" w:hRule="atLeast"/>
        </w:trPr>
        <w:tc>
          <w:tcPr>
            <w:tcW w:w="162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6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8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07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6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00"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84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266.55</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65.90</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4.95</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58.88</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85.44</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18.57</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0.71</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9.38</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5.47</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10.12</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2.98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14.07</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2.24</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246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118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07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106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2749"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84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3.22</w:t>
            </w: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246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118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106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0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106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27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84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246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118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07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1062"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5.76</w:t>
            </w:r>
          </w:p>
        </w:tc>
        <w:tc>
          <w:tcPr>
            <w:tcW w:w="900"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2749"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847" w:type="dxa"/>
            <w:tcBorders>
              <w:top w:val="single" w:color="auto" w:sz="4" w:space="0"/>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0.20</w:t>
            </w: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5.28</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1.82</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国家赔偿费用支出</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11.26</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对民间非营利组织和群众性自治组织补贴</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其他个人和家庭的补助支出</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经常性赠与</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6.74</w:t>
            </w: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资本性赠与</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6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6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07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106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0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7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00" w:hRule="atLeast"/>
        </w:trPr>
        <w:tc>
          <w:tcPr>
            <w:tcW w:w="409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1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269.77</w:t>
            </w:r>
          </w:p>
        </w:tc>
        <w:tc>
          <w:tcPr>
            <w:tcW w:w="784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84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53.97</w:t>
            </w:r>
          </w:p>
        </w:tc>
      </w:tr>
    </w:tbl>
    <w:p>
      <w:pPr>
        <w:spacing w:line="600" w:lineRule="exact"/>
      </w:pPr>
    </w:p>
    <w:tbl>
      <w:tblPr>
        <w:tblStyle w:val="4"/>
        <w:tblW w:w="13988" w:type="dxa"/>
        <w:tblInd w:w="0" w:type="dxa"/>
        <w:shd w:val="clear" w:color="auto" w:fill="auto"/>
        <w:tblLayout w:type="fixed"/>
        <w:tblCellMar>
          <w:top w:w="0" w:type="dxa"/>
          <w:left w:w="0" w:type="dxa"/>
          <w:bottom w:w="0" w:type="dxa"/>
          <w:right w:w="0" w:type="dxa"/>
        </w:tblCellMar>
      </w:tblPr>
      <w:tblGrid>
        <w:gridCol w:w="5010"/>
        <w:gridCol w:w="65"/>
        <w:gridCol w:w="25"/>
        <w:gridCol w:w="90"/>
        <w:gridCol w:w="2167"/>
        <w:gridCol w:w="1231"/>
        <w:gridCol w:w="1231"/>
        <w:gridCol w:w="1057"/>
        <w:gridCol w:w="1058"/>
        <w:gridCol w:w="1057"/>
        <w:gridCol w:w="997"/>
      </w:tblGrid>
      <w:tr>
        <w:tblPrEx>
          <w:shd w:val="clear" w:color="auto" w:fill="auto"/>
          <w:tblCellMar>
            <w:top w:w="0" w:type="dxa"/>
            <w:left w:w="0" w:type="dxa"/>
            <w:bottom w:w="0" w:type="dxa"/>
            <w:right w:w="0" w:type="dxa"/>
          </w:tblCellMar>
        </w:tblPrEx>
        <w:trPr>
          <w:trHeight w:val="555"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政府性基金预算财政拨款收入支出决算表</w:t>
            </w:r>
          </w:p>
        </w:tc>
      </w:tr>
      <w:tr>
        <w:tblPrEx>
          <w:shd w:val="clear" w:color="auto" w:fill="auto"/>
          <w:tblCellMar>
            <w:top w:w="0" w:type="dxa"/>
            <w:left w:w="0" w:type="dxa"/>
            <w:bottom w:w="0" w:type="dxa"/>
            <w:right w:w="0" w:type="dxa"/>
          </w:tblCellMar>
        </w:tblPrEx>
        <w:trPr>
          <w:trHeight w:val="300" w:hRule="atLeast"/>
        </w:trPr>
        <w:tc>
          <w:tcPr>
            <w:tcW w:w="501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90"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90"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16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1"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31"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7"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12" w:type="dxa"/>
            <w:gridSpan w:val="3"/>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shd w:val="clear" w:color="auto" w:fill="auto"/>
          <w:tblCellMar>
            <w:top w:w="0" w:type="dxa"/>
            <w:left w:w="0" w:type="dxa"/>
            <w:bottom w:w="0" w:type="dxa"/>
            <w:right w:w="0" w:type="dxa"/>
          </w:tblCellMar>
        </w:tblPrEx>
        <w:trPr>
          <w:trHeight w:val="400" w:hRule="atLeast"/>
        </w:trPr>
        <w:tc>
          <w:tcPr>
            <w:tcW w:w="7357" w:type="dxa"/>
            <w:gridSpan w:val="5"/>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1231"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231"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057"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112" w:type="dxa"/>
            <w:gridSpan w:val="3"/>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00" w:hRule="atLeast"/>
        </w:trPr>
        <w:tc>
          <w:tcPr>
            <w:tcW w:w="735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2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123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317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9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shd w:val="clear" w:color="auto" w:fill="auto"/>
          <w:tblCellMar>
            <w:top w:w="0" w:type="dxa"/>
            <w:left w:w="0" w:type="dxa"/>
            <w:bottom w:w="0" w:type="dxa"/>
            <w:right w:w="0" w:type="dxa"/>
          </w:tblCellMar>
        </w:tblPrEx>
        <w:trPr>
          <w:trHeight w:val="300" w:hRule="atLeast"/>
        </w:trPr>
        <w:tc>
          <w:tcPr>
            <w:tcW w:w="5075"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2282"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05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05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507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8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5075"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282"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23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05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7357"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20" w:hRule="atLeast"/>
        </w:trPr>
        <w:tc>
          <w:tcPr>
            <w:tcW w:w="5075"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282"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23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0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9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备注：本表反映部门本年度政府性基金预算财政拨款收入支出及结转和结余情况。</w:t>
            </w:r>
          </w:p>
        </w:tc>
      </w:tr>
      <w:tr>
        <w:tblPrEx>
          <w:shd w:val="clear" w:color="auto" w:fill="auto"/>
          <w:tblCellMar>
            <w:top w:w="0" w:type="dxa"/>
            <w:left w:w="0" w:type="dxa"/>
            <w:bottom w:w="0" w:type="dxa"/>
            <w:right w:w="0" w:type="dxa"/>
          </w:tblCellMar>
        </w:tblPrEx>
        <w:trPr>
          <w:trHeight w:val="300" w:hRule="atLeast"/>
        </w:trPr>
        <w:tc>
          <w:tcPr>
            <w:tcW w:w="13988" w:type="dxa"/>
            <w:gridSpan w:val="11"/>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本表为空的部门应将空表公开，并注明：本单位无政府性基金收入，也没有使用政府性基金安排的支出，故本表无数据。</w:t>
            </w:r>
          </w:p>
        </w:tc>
      </w:tr>
    </w:tbl>
    <w:p>
      <w:pPr>
        <w:pStyle w:val="2"/>
      </w:pPr>
    </w:p>
    <w:p>
      <w:pPr>
        <w:widowControl/>
        <w:jc w:val="left"/>
      </w:pPr>
      <w:r>
        <w:br w:type="page"/>
      </w:r>
    </w:p>
    <w:p>
      <w:pPr>
        <w:spacing w:line="600" w:lineRule="exact"/>
      </w:pPr>
    </w:p>
    <w:tbl>
      <w:tblPr>
        <w:tblStyle w:val="4"/>
        <w:tblW w:w="13982" w:type="dxa"/>
        <w:tblInd w:w="0" w:type="dxa"/>
        <w:shd w:val="clear" w:color="auto" w:fill="auto"/>
        <w:tblLayout w:type="fixed"/>
        <w:tblCellMar>
          <w:top w:w="0" w:type="dxa"/>
          <w:left w:w="0" w:type="dxa"/>
          <w:bottom w:w="0" w:type="dxa"/>
          <w:right w:w="0" w:type="dxa"/>
        </w:tblCellMar>
      </w:tblPr>
      <w:tblGrid>
        <w:gridCol w:w="6582"/>
        <w:gridCol w:w="85"/>
        <w:gridCol w:w="4"/>
        <w:gridCol w:w="89"/>
        <w:gridCol w:w="2542"/>
        <w:gridCol w:w="1586"/>
        <w:gridCol w:w="1586"/>
        <w:gridCol w:w="1508"/>
      </w:tblGrid>
      <w:tr>
        <w:tblPrEx>
          <w:shd w:val="clear" w:color="auto" w:fill="auto"/>
          <w:tblCellMar>
            <w:top w:w="0" w:type="dxa"/>
            <w:left w:w="0" w:type="dxa"/>
            <w:bottom w:w="0" w:type="dxa"/>
            <w:right w:w="0" w:type="dxa"/>
          </w:tblCellMar>
        </w:tblPrEx>
        <w:trPr>
          <w:trHeight w:val="555" w:hRule="atLeast"/>
        </w:trPr>
        <w:tc>
          <w:tcPr>
            <w:tcW w:w="1398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国有资本经营预算财政拨款支出决算表</w:t>
            </w:r>
          </w:p>
        </w:tc>
      </w:tr>
      <w:tr>
        <w:tblPrEx>
          <w:shd w:val="clear" w:color="auto" w:fill="auto"/>
          <w:tblCellMar>
            <w:top w:w="0" w:type="dxa"/>
            <w:left w:w="0" w:type="dxa"/>
            <w:bottom w:w="0" w:type="dxa"/>
            <w:right w:w="0" w:type="dxa"/>
          </w:tblCellMar>
        </w:tblPrEx>
        <w:trPr>
          <w:trHeight w:val="300" w:hRule="atLeast"/>
        </w:trPr>
        <w:tc>
          <w:tcPr>
            <w:tcW w:w="658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89" w:type="dxa"/>
            <w:gridSpan w:val="2"/>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4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8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86"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08"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shd w:val="clear" w:color="auto" w:fill="auto"/>
          <w:tblCellMar>
            <w:top w:w="0" w:type="dxa"/>
            <w:left w:w="0" w:type="dxa"/>
            <w:bottom w:w="0" w:type="dxa"/>
            <w:right w:w="0" w:type="dxa"/>
          </w:tblCellMar>
        </w:tblPrEx>
        <w:trPr>
          <w:trHeight w:val="300" w:hRule="atLeast"/>
        </w:trPr>
        <w:tc>
          <w:tcPr>
            <w:tcW w:w="6582"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公开部门：重庆市潼南区文化市场综合行政执法支队</w:t>
            </w:r>
          </w:p>
        </w:tc>
        <w:tc>
          <w:tcPr>
            <w:tcW w:w="89"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89"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2542"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586"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86"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508"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单位：万元</w:t>
            </w:r>
          </w:p>
        </w:tc>
      </w:tr>
      <w:tr>
        <w:tblPrEx>
          <w:shd w:val="clear" w:color="auto" w:fill="auto"/>
          <w:tblCellMar>
            <w:top w:w="0" w:type="dxa"/>
            <w:left w:w="0" w:type="dxa"/>
            <w:bottom w:w="0" w:type="dxa"/>
            <w:right w:w="0" w:type="dxa"/>
          </w:tblCellMar>
        </w:tblPrEx>
        <w:trPr>
          <w:trHeight w:val="300" w:hRule="atLeast"/>
        </w:trPr>
        <w:tc>
          <w:tcPr>
            <w:tcW w:w="930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680"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shd w:val="clear" w:color="auto" w:fill="auto"/>
          <w:tblCellMar>
            <w:top w:w="0" w:type="dxa"/>
            <w:left w:w="0" w:type="dxa"/>
            <w:bottom w:w="0" w:type="dxa"/>
            <w:right w:w="0" w:type="dxa"/>
          </w:tblCellMar>
        </w:tblPrEx>
        <w:trPr>
          <w:trHeight w:val="300" w:hRule="atLeast"/>
        </w:trPr>
        <w:tc>
          <w:tcPr>
            <w:tcW w:w="6667"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2635" w:type="dxa"/>
            <w:gridSpan w:val="3"/>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15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58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150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shd w:val="clear" w:color="auto" w:fill="auto"/>
          <w:tblCellMar>
            <w:top w:w="0" w:type="dxa"/>
            <w:left w:w="0" w:type="dxa"/>
            <w:bottom w:w="0" w:type="dxa"/>
            <w:right w:w="0" w:type="dxa"/>
          </w:tblCellMar>
        </w:tblPrEx>
        <w:trPr>
          <w:trHeight w:val="270" w:hRule="atLeast"/>
        </w:trPr>
        <w:tc>
          <w:tcPr>
            <w:tcW w:w="666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600" w:hRule="atLeast"/>
        </w:trPr>
        <w:tc>
          <w:tcPr>
            <w:tcW w:w="6667"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5" w:type="dxa"/>
            <w:gridSpan w:val="3"/>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8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9302" w:type="dxa"/>
            <w:gridSpan w:val="5"/>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15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6667"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35" w:type="dxa"/>
            <w:gridSpan w:val="3"/>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5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8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5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300" w:hRule="atLeast"/>
        </w:trPr>
        <w:tc>
          <w:tcPr>
            <w:tcW w:w="1398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备注：本表反映部门本年度国有资本经营预算财政拨款支出情况。</w:t>
            </w:r>
          </w:p>
        </w:tc>
      </w:tr>
      <w:tr>
        <w:tblPrEx>
          <w:shd w:val="clear" w:color="auto" w:fill="auto"/>
          <w:tblCellMar>
            <w:top w:w="0" w:type="dxa"/>
            <w:left w:w="0" w:type="dxa"/>
            <w:bottom w:w="0" w:type="dxa"/>
            <w:right w:w="0" w:type="dxa"/>
          </w:tblCellMar>
        </w:tblPrEx>
        <w:trPr>
          <w:trHeight w:val="300" w:hRule="atLeast"/>
        </w:trPr>
        <w:tc>
          <w:tcPr>
            <w:tcW w:w="13982" w:type="dxa"/>
            <w:gridSpan w:val="8"/>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本表为空的部门应将空表公开，并注明：本单位无国有资本经营预算财政拨款支出，故本表无数据。</w:t>
            </w:r>
          </w:p>
        </w:tc>
      </w:tr>
    </w:tbl>
    <w:p>
      <w:pPr>
        <w:widowControl/>
        <w:jc w:val="left"/>
      </w:pPr>
      <w:r>
        <w:br w:type="page"/>
      </w:r>
    </w:p>
    <w:p>
      <w:pPr>
        <w:pStyle w:val="2"/>
      </w:pPr>
    </w:p>
    <w:tbl>
      <w:tblPr>
        <w:tblStyle w:val="4"/>
        <w:tblW w:w="13988" w:type="dxa"/>
        <w:tblInd w:w="0" w:type="dxa"/>
        <w:shd w:val="clear" w:color="auto" w:fill="auto"/>
        <w:tblLayout w:type="fixed"/>
        <w:tblCellMar>
          <w:top w:w="0" w:type="dxa"/>
          <w:left w:w="0" w:type="dxa"/>
          <w:bottom w:w="0" w:type="dxa"/>
          <w:right w:w="0" w:type="dxa"/>
        </w:tblCellMar>
      </w:tblPr>
      <w:tblGrid>
        <w:gridCol w:w="4594"/>
        <w:gridCol w:w="1505"/>
        <w:gridCol w:w="1392"/>
        <w:gridCol w:w="703"/>
        <w:gridCol w:w="4683"/>
        <w:gridCol w:w="1111"/>
      </w:tblGrid>
      <w:tr>
        <w:tblPrEx>
          <w:tblCellMar>
            <w:top w:w="0" w:type="dxa"/>
            <w:left w:w="0" w:type="dxa"/>
            <w:bottom w:w="0" w:type="dxa"/>
            <w:right w:w="0" w:type="dxa"/>
          </w:tblCellMar>
        </w:tblPrEx>
        <w:trPr>
          <w:trHeight w:val="661" w:hRule="exact"/>
        </w:trPr>
        <w:tc>
          <w:tcPr>
            <w:tcW w:w="1398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44"/>
                <w:szCs w:val="44"/>
                <w:u w:val="none"/>
              </w:rPr>
            </w:pPr>
            <w:r>
              <w:rPr>
                <w:rFonts w:hint="eastAsia" w:ascii="黑体" w:hAnsi="宋体" w:eastAsia="黑体" w:cs="黑体"/>
                <w:i w:val="0"/>
                <w:color w:val="000000"/>
                <w:kern w:val="0"/>
                <w:sz w:val="44"/>
                <w:szCs w:val="44"/>
                <w:u w:val="none"/>
                <w:lang w:val="en-US" w:eastAsia="zh-CN" w:bidi="ar"/>
              </w:rPr>
              <w:t>机构运行信息表</w:t>
            </w:r>
          </w:p>
        </w:tc>
      </w:tr>
      <w:tr>
        <w:tblPrEx>
          <w:tblCellMar>
            <w:top w:w="0" w:type="dxa"/>
            <w:left w:w="0" w:type="dxa"/>
            <w:bottom w:w="0" w:type="dxa"/>
            <w:right w:w="0" w:type="dxa"/>
          </w:tblCellMar>
        </w:tblPrEx>
        <w:trPr>
          <w:trHeight w:val="454" w:hRule="exact"/>
        </w:trPr>
        <w:tc>
          <w:tcPr>
            <w:tcW w:w="459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Tahoma" w:hAnsi="Tahoma" w:eastAsia="Tahoma" w:cs="Tahoma"/>
                <w:i w:val="0"/>
                <w:color w:val="000000"/>
                <w:sz w:val="16"/>
                <w:szCs w:val="16"/>
                <w:u w:val="none"/>
              </w:rPr>
            </w:pPr>
          </w:p>
        </w:tc>
        <w:tc>
          <w:tcPr>
            <w:tcW w:w="150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392"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70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83"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1"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公开09表</w:t>
            </w:r>
          </w:p>
        </w:tc>
      </w:tr>
      <w:tr>
        <w:tblPrEx>
          <w:shd w:val="clear" w:color="auto" w:fill="auto"/>
          <w:tblCellMar>
            <w:top w:w="0" w:type="dxa"/>
            <w:left w:w="0" w:type="dxa"/>
            <w:bottom w:w="0" w:type="dxa"/>
            <w:right w:w="0" w:type="dxa"/>
          </w:tblCellMar>
        </w:tblPrEx>
        <w:trPr>
          <w:trHeight w:val="454" w:hRule="exact"/>
        </w:trPr>
        <w:tc>
          <w:tcPr>
            <w:tcW w:w="6099" w:type="dxa"/>
            <w:gridSpan w:val="2"/>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22"/>
                <w:szCs w:val="22"/>
                <w:u w:val="none"/>
                <w:lang w:val="en-US" w:eastAsia="zh-CN" w:bidi="ar"/>
              </w:rPr>
              <w:t>公开部门：重庆市潼南区文化市场综合行政执法支队</w:t>
            </w:r>
          </w:p>
        </w:tc>
        <w:tc>
          <w:tcPr>
            <w:tcW w:w="1392" w:type="dxa"/>
            <w:tcBorders>
              <w:top w:val="nil"/>
              <w:left w:val="nil"/>
              <w:bottom w:val="single" w:color="80808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703"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683" w:type="dxa"/>
            <w:tcBorders>
              <w:top w:val="nil"/>
              <w:left w:val="nil"/>
              <w:bottom w:val="single" w:color="80808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111" w:type="dxa"/>
            <w:tcBorders>
              <w:top w:val="nil"/>
              <w:left w:val="nil"/>
              <w:bottom w:val="single" w:color="80808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单位：万元</w:t>
            </w: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全年预算数</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53.97</w:t>
            </w: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6.86</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53.97</w:t>
            </w: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32"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6.39</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0.48</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15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111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nil"/>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1505"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111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51</w:t>
            </w: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54" w:hRule="exact"/>
        </w:trPr>
        <w:tc>
          <w:tcPr>
            <w:tcW w:w="459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150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2"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70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0.39</w:t>
            </w:r>
          </w:p>
        </w:tc>
        <w:tc>
          <w:tcPr>
            <w:tcW w:w="468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11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bl>
    <w:p>
      <w:pPr>
        <w:pStyle w:val="2"/>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p>
      <w:pPr>
        <w:widowControl/>
        <w:jc w:val="lef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F5233"/>
    <w:multiLevelType w:val="singleLevel"/>
    <w:tmpl w:val="B80F5233"/>
    <w:lvl w:ilvl="0" w:tentative="0">
      <w:start w:val="1"/>
      <w:numFmt w:val="chineseCounting"/>
      <w:suff w:val="nothing"/>
      <w:lvlText w:val="（%1）"/>
      <w:lvlJc w:val="left"/>
      <w:rPr>
        <w:rFonts w:hint="eastAsia"/>
      </w:rPr>
    </w:lvl>
  </w:abstractNum>
  <w:abstractNum w:abstractNumId="1">
    <w:nsid w:val="38F5E253"/>
    <w:multiLevelType w:val="singleLevel"/>
    <w:tmpl w:val="38F5E25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OWQzOTM3MzllYjBiZGU2NmM4Yjk4NzBlNDM5MWQifQ=="/>
  </w:docVars>
  <w:rsids>
    <w:rsidRoot w:val="3A5D332D"/>
    <w:rsid w:val="00363C02"/>
    <w:rsid w:val="004C5BB4"/>
    <w:rsid w:val="00620BE6"/>
    <w:rsid w:val="00657875"/>
    <w:rsid w:val="0075795E"/>
    <w:rsid w:val="007B1053"/>
    <w:rsid w:val="00894714"/>
    <w:rsid w:val="00A26D6F"/>
    <w:rsid w:val="00B1491F"/>
    <w:rsid w:val="00E91CE5"/>
    <w:rsid w:val="00EB2BED"/>
    <w:rsid w:val="00F23EA2"/>
    <w:rsid w:val="013645D6"/>
    <w:rsid w:val="03115485"/>
    <w:rsid w:val="04675AA9"/>
    <w:rsid w:val="04FD44EA"/>
    <w:rsid w:val="052449E3"/>
    <w:rsid w:val="06872574"/>
    <w:rsid w:val="06925F34"/>
    <w:rsid w:val="06C66F55"/>
    <w:rsid w:val="0B553011"/>
    <w:rsid w:val="0C470827"/>
    <w:rsid w:val="0CE76854"/>
    <w:rsid w:val="0DBB5CCB"/>
    <w:rsid w:val="0F1C0732"/>
    <w:rsid w:val="110B386E"/>
    <w:rsid w:val="11604435"/>
    <w:rsid w:val="123A2E0E"/>
    <w:rsid w:val="133B3A99"/>
    <w:rsid w:val="1344139B"/>
    <w:rsid w:val="15432D70"/>
    <w:rsid w:val="17394D5E"/>
    <w:rsid w:val="1740548B"/>
    <w:rsid w:val="189E402C"/>
    <w:rsid w:val="18BE1686"/>
    <w:rsid w:val="18CB5F0A"/>
    <w:rsid w:val="18EA356E"/>
    <w:rsid w:val="18EA7E1D"/>
    <w:rsid w:val="1CB34445"/>
    <w:rsid w:val="1DEE0567"/>
    <w:rsid w:val="1FF203A2"/>
    <w:rsid w:val="218214C1"/>
    <w:rsid w:val="2287221F"/>
    <w:rsid w:val="23885AC8"/>
    <w:rsid w:val="23A75C71"/>
    <w:rsid w:val="24241E7F"/>
    <w:rsid w:val="249C1116"/>
    <w:rsid w:val="24F8522E"/>
    <w:rsid w:val="25B72F75"/>
    <w:rsid w:val="25D837E5"/>
    <w:rsid w:val="27363FDC"/>
    <w:rsid w:val="28FB34B3"/>
    <w:rsid w:val="2AF9507D"/>
    <w:rsid w:val="2B3C4231"/>
    <w:rsid w:val="2BFC64A9"/>
    <w:rsid w:val="2FE03BA4"/>
    <w:rsid w:val="33625EB0"/>
    <w:rsid w:val="34A12595"/>
    <w:rsid w:val="35C90419"/>
    <w:rsid w:val="36953778"/>
    <w:rsid w:val="380F6A1B"/>
    <w:rsid w:val="3A5D332D"/>
    <w:rsid w:val="3A887F28"/>
    <w:rsid w:val="3AAF5296"/>
    <w:rsid w:val="3AF43718"/>
    <w:rsid w:val="3C383144"/>
    <w:rsid w:val="3D2D17B4"/>
    <w:rsid w:val="3D5C6151"/>
    <w:rsid w:val="3DA81647"/>
    <w:rsid w:val="3DFA7630"/>
    <w:rsid w:val="405C5D66"/>
    <w:rsid w:val="40F87596"/>
    <w:rsid w:val="416A61C0"/>
    <w:rsid w:val="42210927"/>
    <w:rsid w:val="43C773A7"/>
    <w:rsid w:val="43EF3CD1"/>
    <w:rsid w:val="4464259D"/>
    <w:rsid w:val="44B619B1"/>
    <w:rsid w:val="46E83CD3"/>
    <w:rsid w:val="47FD505B"/>
    <w:rsid w:val="481E3C21"/>
    <w:rsid w:val="48E2310B"/>
    <w:rsid w:val="49545F51"/>
    <w:rsid w:val="4B3C6D87"/>
    <w:rsid w:val="4BDC543C"/>
    <w:rsid w:val="4BE556C6"/>
    <w:rsid w:val="4E221605"/>
    <w:rsid w:val="4E96368C"/>
    <w:rsid w:val="4F93597F"/>
    <w:rsid w:val="502F3D77"/>
    <w:rsid w:val="50471F8C"/>
    <w:rsid w:val="504C67E9"/>
    <w:rsid w:val="50AE2F21"/>
    <w:rsid w:val="51216C4F"/>
    <w:rsid w:val="51E217C4"/>
    <w:rsid w:val="53273394"/>
    <w:rsid w:val="54076053"/>
    <w:rsid w:val="55076BCF"/>
    <w:rsid w:val="572A478A"/>
    <w:rsid w:val="575D6537"/>
    <w:rsid w:val="581F5D69"/>
    <w:rsid w:val="59F93D9E"/>
    <w:rsid w:val="5D6545DA"/>
    <w:rsid w:val="5E420746"/>
    <w:rsid w:val="5E510485"/>
    <w:rsid w:val="5F744938"/>
    <w:rsid w:val="5F871A16"/>
    <w:rsid w:val="5F8A42A2"/>
    <w:rsid w:val="5F8F0E9E"/>
    <w:rsid w:val="5FA63BE5"/>
    <w:rsid w:val="5FE3263B"/>
    <w:rsid w:val="614175D7"/>
    <w:rsid w:val="6150545C"/>
    <w:rsid w:val="6187740A"/>
    <w:rsid w:val="622B4985"/>
    <w:rsid w:val="64231ED5"/>
    <w:rsid w:val="642B6C72"/>
    <w:rsid w:val="64A561DD"/>
    <w:rsid w:val="666C7BBF"/>
    <w:rsid w:val="6A74586A"/>
    <w:rsid w:val="6D217DB8"/>
    <w:rsid w:val="6E5B3D17"/>
    <w:rsid w:val="6E891ADF"/>
    <w:rsid w:val="6FC74645"/>
    <w:rsid w:val="70FB2DD3"/>
    <w:rsid w:val="71AA7AD7"/>
    <w:rsid w:val="73DE2F20"/>
    <w:rsid w:val="75096149"/>
    <w:rsid w:val="77300D37"/>
    <w:rsid w:val="77D52B99"/>
    <w:rsid w:val="78A85E5A"/>
    <w:rsid w:val="78ED37F4"/>
    <w:rsid w:val="79144FD1"/>
    <w:rsid w:val="792467D5"/>
    <w:rsid w:val="7B161993"/>
    <w:rsid w:val="7C1150C1"/>
    <w:rsid w:val="7CEE06DE"/>
    <w:rsid w:val="7DB126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next w:val="1"/>
    <w:qFormat/>
    <w:uiPriority w:val="0"/>
    <w:pPr>
      <w:keepNext w:val="0"/>
      <w:keepLines w:val="0"/>
      <w:widowControl w:val="0"/>
      <w:suppressLineNumbers w:val="0"/>
      <w:autoSpaceDE w:val="0"/>
      <w:autoSpaceDN w:val="0"/>
      <w:adjustRightInd w:val="0"/>
      <w:spacing w:before="0" w:beforeAutospacing="0" w:after="0" w:afterAutospacing="0"/>
      <w:ind w:left="0" w:right="0"/>
      <w:jc w:val="left"/>
    </w:pPr>
    <w:rPr>
      <w:rFonts w:hint="eastAsia" w:ascii="仿宋" w:hAnsi="仿宋" w:eastAsia="宋体" w:cs="仿宋"/>
      <w:color w:val="000000"/>
      <w:kern w:val="0"/>
      <w:sz w:val="24"/>
      <w:szCs w:val="24"/>
      <w:lang w:val="en-US" w:eastAsia="zh-CN" w:bidi="ar"/>
    </w:rPr>
  </w:style>
  <w:style w:type="paragraph" w:styleId="3">
    <w:name w:val="Normal (Web)"/>
    <w:basedOn w:val="1"/>
    <w:qFormat/>
    <w:uiPriority w:val="0"/>
    <w:pPr>
      <w:spacing w:before="0" w:beforeAutospacing="1" w:after="0" w:afterAutospacing="1"/>
      <w:ind w:left="0" w:right="0"/>
      <w:jc w:val="left"/>
    </w:pPr>
    <w:rPr>
      <w:rFonts w:hint="default" w:ascii="宋体" w:hAnsi="宋体" w:eastAsia="宋体" w:cs="宋体"/>
      <w:kern w:val="0"/>
      <w:sz w:val="24"/>
      <w:lang w:val="en-US" w:eastAsia="zh-CN" w:bidi="ar"/>
    </w:rPr>
  </w:style>
  <w:style w:type="character" w:styleId="6">
    <w:name w:val="Strong"/>
    <w:basedOn w:val="5"/>
    <w:qFormat/>
    <w:uiPriority w:val="0"/>
    <w:rPr>
      <w:b/>
      <w:bCs/>
    </w:rPr>
  </w:style>
  <w:style w:type="paragraph" w:styleId="7">
    <w:name w:val="List Paragraph"/>
    <w:basedOn w:val="1"/>
    <w:qFormat/>
    <w:uiPriority w:val="34"/>
    <w:pPr>
      <w:spacing w:line="360" w:lineRule="auto"/>
      <w:ind w:firstLine="420" w:firstLineChars="200"/>
    </w:pPr>
    <w:rPr>
      <w:sz w:val="24"/>
      <w:szCs w:val="22"/>
    </w:rPr>
  </w:style>
  <w:style w:type="paragraph" w:customStyle="1" w:styleId="8">
    <w:name w:val="普通(网站) Char"/>
    <w:basedOn w:val="1"/>
    <w:qFormat/>
    <w:uiPriority w:val="0"/>
    <w:pPr>
      <w:spacing w:beforeAutospacing="1" w:afterAutospacing="1"/>
      <w:jc w:val="left"/>
    </w:pPr>
    <w:rPr>
      <w:rFonts w:hint="eastAsia" w:ascii="宋体" w:hAnsi="宋体"/>
      <w:kern w:val="0"/>
      <w:sz w:val="24"/>
    </w:rPr>
  </w:style>
  <w:style w:type="character" w:customStyle="1" w:styleId="9">
    <w:name w:val="23"/>
    <w:basedOn w:val="5"/>
    <w:qFormat/>
    <w:uiPriority w:val="0"/>
    <w:rPr>
      <w:rFonts w:hint="default" w:ascii="Times New Roman" w:hAnsi="Times New Roman" w:cs="Times New Roman"/>
      <w:b/>
      <w:bCs/>
    </w:rPr>
  </w:style>
  <w:style w:type="character" w:customStyle="1" w:styleId="10">
    <w:name w:val="21"/>
    <w:basedOn w:val="5"/>
    <w:qFormat/>
    <w:uiPriority w:val="0"/>
    <w:rPr>
      <w:rFonts w:hint="default" w:ascii="Times New Roman" w:hAnsi="Times New Roman" w:cs="Times New Roman"/>
      <w:b/>
      <w:bCs/>
    </w:rPr>
  </w:style>
  <w:style w:type="character" w:customStyle="1" w:styleId="11">
    <w:name w:val="16"/>
    <w:basedOn w:val="5"/>
    <w:qFormat/>
    <w:uiPriority w:val="0"/>
    <w:rPr>
      <w:rFonts w:hint="default" w:ascii="Times New Roman" w:hAnsi="Times New Roman" w:cs="Times New Roman"/>
      <w:b/>
    </w:rPr>
  </w:style>
  <w:style w:type="character" w:customStyle="1" w:styleId="12">
    <w:name w:val="font61"/>
    <w:basedOn w:val="5"/>
    <w:qFormat/>
    <w:uiPriority w:val="0"/>
    <w:rPr>
      <w:rFonts w:ascii="仿宋_GB2312" w:eastAsia="仿宋_GB2312" w:cs="仿宋_GB2312"/>
      <w:color w:val="000000"/>
      <w:sz w:val="21"/>
      <w:szCs w:val="21"/>
      <w:u w:val="none"/>
    </w:rPr>
  </w:style>
  <w:style w:type="character" w:customStyle="1" w:styleId="13">
    <w:name w:val="15"/>
    <w:basedOn w:val="5"/>
    <w:qFormat/>
    <w:uiPriority w:val="0"/>
    <w:rPr>
      <w:rFonts w:hint="default" w:ascii="Times New Roman" w:hAnsi="Times New Roman" w:cs="Times New Roman"/>
      <w:b/>
    </w:rPr>
  </w:style>
  <w:style w:type="character" w:customStyle="1" w:styleId="14">
    <w:name w:val="17"/>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30</Pages>
  <Words>8883</Words>
  <Characters>10793</Characters>
  <Lines>123</Lines>
  <Paragraphs>34</Paragraphs>
  <TotalTime>84</TotalTime>
  <ScaleCrop>false</ScaleCrop>
  <LinksUpToDate>false</LinksUpToDate>
  <CharactersWithSpaces>11232</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2022-08-31T00:53:00Z</dcterms:created>
  <dc:creator>♂随☆缘♀</dc:creator>
  <cp:lastModifiedBy>Administrator</cp:lastModifiedBy>
  <dcterms:modified xsi:type="dcterms:W3CDTF">2023-09-05T01:57:00Z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55B26EFB12BB48338E2C3C042A499664</vt:lpwstr>
  </property>
</Properties>
</file>