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重庆市潼南区文化旅游质量服务中心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2022年度部门决算情况说明</w:t>
      </w:r>
    </w:p>
    <w:p>
      <w:pPr>
        <w:pStyle w:val="2"/>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（1）负责全区文化、旅游、体育市场和行业服务质量的投诉处理。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（2）承办文化和旅游、广播电视、文物和博物馆、体育科技与大数据创新发展的具体事务。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（3）承办科研工作及成果应用转化推广，协调推进科技创新和重大科技工程项目，组织实施装备技术提升、信息化、标准化等建设工作。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（4）开展全区文化市场和旅游经济的收集、汇总和分析，对文化旅游质量等相关信息进行统计与发布。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（5）承办文化和旅游行业信用体系建设的具体事务，指导服务质量提升。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（6）承担全区星级宾馆（饭店）、星级农家乐和内河旅游船、网吧、歌厅、书店、印刷厂等文化娱乐市场服务质量等级的检测、指导工作。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（7）承担全区文化旅游项目包装策划和对外推广，文化旅游市场开发、市场营销和客源组织工作，全区文化旅游产品、商品、线路推广以及营销工作，文化旅游跨区域合作、区域间旅游营销合作工作。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（8）承担文化旅游质量监控中心（含网吧、文物和A级景区等应急监控平台）和广电监测中心（含全区广播电视播出传输机构的有线、无线、卫星广播电视节目）的日常监测。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（9）承担全区文化旅游人才统计和人才库建设；承担全区文化旅游行业从业人员的教育、培训；承担全区旅游导服人员和解说员管理。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重庆市潼南区文化旅游质量服务中心事业编制为21名。重庆市潼南区文化旅游质量服务中心设主任1名，副主任2名。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本单位无下级预算单位，本单位为重庆市潼南区文化旅游委2022年度决算编制的二级预算单位。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二、单位决算情况说明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1.总体情况。</w:t>
      </w:r>
      <w:r>
        <w:rPr>
          <w:rFonts w:hint="eastAsia" w:ascii="Times New Roman" w:hAnsi="Times New Roman" w:eastAsia="方正仿宋_GBK" w:cs="方正仿宋_GBK"/>
          <w:sz w:val="32"/>
          <w:szCs w:val="32"/>
          <w:lang w:val="en-US" w:eastAsia="zh-CN"/>
        </w:rPr>
        <w:t>2022年度收入总计387.99万元，支出总计387.99万元。收支较上年决算数增加387.99万元,增长100%，主要原因是本单位2021年年初预算及年终决算合并在区文化旅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2.收入情况。</w:t>
      </w:r>
      <w:r>
        <w:rPr>
          <w:rFonts w:hint="eastAsia" w:ascii="Times New Roman" w:hAnsi="Times New Roman" w:eastAsia="方正仿宋_GBK" w:cs="方正仿宋_GBK"/>
          <w:sz w:val="32"/>
          <w:szCs w:val="32"/>
          <w:lang w:val="en-US" w:eastAsia="zh-CN"/>
        </w:rPr>
        <w:t>2022年度收入合计387.99万元，较上年决算数增加387.99万元，增长100%，主要原因是本单位2021年年初预算及年终决算合并在区文化旅委统一核算，2022年年初预算及年终决算为独立核算，所以无上年对比数。。其中：财政拨款收入387.99万元，占100%。</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3.支出情况。</w:t>
      </w:r>
      <w:r>
        <w:rPr>
          <w:rFonts w:hint="eastAsia" w:ascii="Times New Roman" w:hAnsi="Times New Roman" w:eastAsia="方正仿宋_GBK" w:cs="方正仿宋_GBK"/>
          <w:sz w:val="32"/>
          <w:szCs w:val="32"/>
          <w:lang w:val="en-US" w:eastAsia="zh-CN"/>
        </w:rPr>
        <w:t>2022年度支出合计387.99万元，较上年决算增加387.99万元，增长100%，主要原因是本单位2021年年初预算及年终决算合并在区文化旅委统一核算，2022年年初预算及年终决算为独立核算，所以无上年对比数。其中：基本支出387.99万元，占100%。</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4.结转结余情况。</w:t>
      </w:r>
      <w:r>
        <w:rPr>
          <w:rFonts w:hint="eastAsia" w:ascii="Times New Roman" w:hAnsi="Times New Roman" w:eastAsia="方正仿宋_GBK" w:cs="方正仿宋_GBK"/>
          <w:sz w:val="32"/>
          <w:szCs w:val="32"/>
          <w:lang w:val="en-US" w:eastAsia="zh-CN"/>
        </w:rPr>
        <w:t>2022年度年末结转和结余0.00万元，较上年决算数增加0.00万元，增长100%，主要原因是本单位2021年年初预算及年终决算合并在区文化旅游委统一核算，2022年年初预算及年终决算为独立核算，所以无上年对比数。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财政拨款收、支总计387.99万元。与2021年相比，财政拨款收、支总计各增加387.99万元，增长100%。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1.收入情况。</w:t>
      </w:r>
      <w:r>
        <w:rPr>
          <w:rFonts w:hint="eastAsia" w:ascii="Times New Roman" w:hAnsi="Times New Roman" w:eastAsia="方正仿宋_GBK" w:cs="方正仿宋_GBK"/>
          <w:sz w:val="32"/>
          <w:szCs w:val="32"/>
          <w:lang w:val="en-US" w:eastAsia="zh-CN"/>
        </w:rPr>
        <w:t>2022年度一般公共预算财政拨款收入387.99万元，较上年决算数增加387.99万元，增长100%。主要原因是本单位2021年年初预算及年终决算合并在区文化旅游委统一核算，2022年年初预算及年终决算为独立核算，所以无上年对比数。较年初预算数减少7.67万元，下降1.9%。主要原因是压减人员经费。此外，年初财政拨款结转和结余0.00万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2.支出情况。</w:t>
      </w:r>
      <w:r>
        <w:rPr>
          <w:rFonts w:hint="eastAsia" w:ascii="Times New Roman" w:hAnsi="Times New Roman" w:eastAsia="方正仿宋_GBK" w:cs="方正仿宋_GBK"/>
          <w:sz w:val="32"/>
          <w:szCs w:val="32"/>
          <w:lang w:val="en-US" w:eastAsia="zh-CN"/>
        </w:rPr>
        <w:t>2022年度一般公共预算财政拨款支出387.99万元，较上年决算数增加387.99万元，增长100%。主要原因是本单位2021年年初预算及年终决算合并在区文化旅游委统一核算，2022年年初预算及年终决算为独立核算，所以无上年对比数。较年初预算数减少7.67万元，下降1.9%。主要原因是压减人员经费。</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3.结转结余情况。</w:t>
      </w:r>
      <w:r>
        <w:rPr>
          <w:rFonts w:hint="eastAsia" w:ascii="Times New Roman" w:hAnsi="Times New Roman" w:eastAsia="方正仿宋_GBK" w:cs="方正仿宋_GBK"/>
          <w:sz w:val="32"/>
          <w:szCs w:val="32"/>
          <w:lang w:val="en-US" w:eastAsia="zh-CN"/>
        </w:rPr>
        <w:t>2022年度年末一般公共预算财政拨款结转和结余0.00万元，较上年决算数增加0.00万元，增长100%，主要原因是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4.比较情况。</w:t>
      </w:r>
      <w:r>
        <w:rPr>
          <w:rFonts w:hint="eastAsia" w:ascii="Times New Roman" w:hAnsi="Times New Roman" w:eastAsia="方正仿宋_GBK" w:cs="方正仿宋_GBK"/>
          <w:sz w:val="32"/>
          <w:szCs w:val="32"/>
          <w:lang w:val="en-US" w:eastAsia="zh-CN"/>
        </w:rPr>
        <w:t>本部门2022年度一般公共预算财政拨款支出主要用于以下几个方面：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（1）文化旅游体育与传媒支出295.90万元，占76.3%，较年初预算数减少17.14万元，下降5.5%，主要原因是压减人员经费。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（2）社会保障与就业支出55.60万元，占14.3%，较年初预算数增加9.51万元，增长20.6%，主要原因是主要原因是人员增加。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（3）卫生健康支出19.01万元，占4.9%，较年初预算数减少1.48万元，下降7.2%，主要原因是年中对年初预算的二次医疗进行了追减。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（4）住房保障支出17.48万元，占4.5%，较年初预算数增加1.43万元，增长8.9%，主要原因是人员增加。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一般公共预算财政拨款基本支出387.99万元。其中：人员经费336.40万元，较上年决算数增加336.40万元，增长100%，主要原因是主要原因是本单位2021年年初预算及年终决算合并在区文化旅游委统一核算，2022年年初预算及年终决算为独立核算，所以无上年对比数。人员经费用途主要包括人员经费用途主要包括基本工资、津贴补贴、奖金、社会保障缴费。公用经费51.59万元，较上年决算数增加51.59万元，增长100%，主要原因是本单位2021年年初预算及年终决算合并在区文化旅游委统一核算，2022年年初预算及年终决算为独立核算，所以无上年对比数。公用经费用途主要包括办公及印刷费、邮电费、差旅费、会议费、福利费、日常维护费、公务用车运行维护费以及其他费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本单位2022年度无政府性基金预算财政拨款收支。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本单位2022年度无国有资本经营预算财政拨款支出。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三、“三公”经费情况说明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（一）“三公”经费支出总体情况说明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三公”经费支出共计1.87万元，较年初预算数减少1.13万元，下降37.7%，主要原因是本单位2022年度未发生“三公”经费支出。较上年支出数增加1.87万元，增长100%，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（二）“三公”经费分项支出情况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2022年度本部门因公出国（境）费用0.00万元，费用支出较年初预算数增加0.00万元，增长 0%，增长0%，主要原因是2022年度本部门未发生因公出国（境）费用。较上年支出数增加0.00万元，增长0%，主要原因是2022年度本部门未发生因公出国（境）费用。</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车购置费0.00万元，主要原因是本单位2022年未发生公务车购置费支出。费用支出较年初预算数增加0.00万元，增长0%，主要原因是本单位2022年未发生公务车购置费支出。较上年支出数增加0.00万元，增长%，主要原因是本单位2022年未发生公务车购置费支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车运行维护费0.00万元，主要原因是本单位2022年未发生公务车运行维护费费支出。费用支出较年初预算数增加0.00万元，增长0%，主要原因是本单位2022年未发生公务车运行维护费费支出。较上年支出数增加0.00万元，增长%，主要原因是本单位2022年未发生公务车运行维护费费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接待费1.87万元，主要用于接待市级以上部门或其他区县到我单位学习调研接待支出，接受相关部门检查指导工作发生的接待支出、招商引资接待支出。费用支出较年初预算数减少1.13万元，下降37.7%，主要原因是主要原因是强化公务接待支出管理，严格遵守公务接待开支范围和开支标准，严格控制陪餐人数。较上年支出数增加1.87万元，增长100%，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（三）“三公”经费实物量情况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部门因公出国（境）共计0个团组，0人；公务用车购置0辆，公务车保有量为0辆；国内公务接待25批次190人，其中：国内外事接待0批次，0人；国（境）外公务接待0批次，0人。2022年本部门人均接待费98.67元，车均购置费0.00万元，车均维护费0.00万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四、其他需要说明的事项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年度会议费支出0.00万元，较上年决算数增加0.00万元，增长%，主要原因是本单位2022年未发生会议费。本年度培训费支出0.02万元，较上年决算数增加0.02万元，增长100%，主要原因是本单位2021年年初预算及年终决算合并在区文化旅游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（二）机关运行经费支出情况说明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部门机关运行经费支出0.00万元，机关运行经费较上年决算数增加0.00万元，增长%，主要原因是本单位2021年年初预算及年终决算合并在区文化旅游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（三）国有资产占用情况说明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（四）政府采购支出说明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五、预算绩效管理情况说明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（一）预算绩效管理工作开展情况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根据预算绩效管理要求，我委对部门整体项目开展了绩效自评。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（二）绩效自评结果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1.绩效目标自评表</w:t>
      </w:r>
    </w:p>
    <w:p>
      <w:pPr>
        <w:rPr>
          <w:rFonts w:hint="eastAsia"/>
          <w:lang w:val="en-US" w:eastAsia="zh-CN"/>
        </w:rPr>
      </w:pPr>
      <w:r>
        <w:rPr>
          <w:rFonts w:hint="eastAsia"/>
          <w:lang w:val="en-US" w:eastAsia="zh-CN"/>
        </w:rPr>
        <w:br w:type="page"/>
      </w:r>
    </w:p>
    <w:p>
      <w:pPr>
        <w:rPr>
          <w:rFonts w:hint="eastAsia"/>
          <w:lang w:val="en-US" w:eastAsia="zh-CN"/>
        </w:rPr>
      </w:pPr>
    </w:p>
    <w:tbl>
      <w:tblPr>
        <w:tblStyle w:val="12"/>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2"/>
        <w:gridCol w:w="1481"/>
        <w:gridCol w:w="1600"/>
        <w:gridCol w:w="1465"/>
        <w:gridCol w:w="1062"/>
        <w:gridCol w:w="923"/>
        <w:gridCol w:w="1015"/>
        <w:gridCol w:w="682"/>
        <w:gridCol w:w="721"/>
        <w:gridCol w:w="1312"/>
        <w:gridCol w:w="1009"/>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174" w:type="dxa"/>
            <w:gridSpan w:val="1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微软雅黑" w:cs="微软雅黑"/>
                <w:b/>
                <w:bCs/>
                <w:i w:val="0"/>
                <w:iCs w:val="0"/>
                <w:color w:val="000000"/>
                <w:kern w:val="0"/>
                <w:sz w:val="40"/>
                <w:szCs w:val="40"/>
              </w:rPr>
            </w:pPr>
            <w:r>
              <w:rPr>
                <w:rFonts w:hint="eastAsia" w:ascii="方正小标宋_GBK" w:hAnsi="方正小标宋_GBK" w:eastAsia="方正小标宋_GBK" w:cs="方正小标宋_GBK"/>
                <w:b w:val="0"/>
                <w:bCs w:val="0"/>
                <w:i w:val="0"/>
                <w:iCs w:val="0"/>
                <w:color w:val="000000"/>
                <w:kern w:val="0"/>
                <w:sz w:val="44"/>
                <w:szCs w:val="44"/>
              </w:rPr>
              <w:t>2022年度单位整体绩效自评表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项目名称：</w:t>
            </w:r>
          </w:p>
        </w:tc>
        <w:tc>
          <w:tcPr>
            <w:tcW w:w="3081" w:type="dxa"/>
            <w:gridSpan w:val="2"/>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widowControl/>
              <w:suppressLineNumbers w:val="0"/>
              <w:shd w:val="clear" w:fill="FFFFFF"/>
              <w:jc w:val="center"/>
              <w:rPr>
                <w:rFonts w:hint="eastAsia" w:ascii="Times New Roman" w:hAnsi="Times New Roman" w:eastAsia="宋体" w:cs="宋体"/>
                <w:i w:val="0"/>
                <w:iCs w:val="0"/>
                <w:color w:val="000000"/>
                <w:kern w:val="0"/>
                <w:sz w:val="22"/>
                <w:szCs w:val="22"/>
                <w:shd w:val="clear" w:fill="FFFFFF"/>
              </w:rPr>
            </w:pPr>
            <w:r>
              <w:rPr>
                <w:rFonts w:hint="eastAsia" w:ascii="Times New Roman" w:hAnsi="Times New Roman" w:eastAsia="宋体" w:cs="宋体"/>
                <w:i w:val="0"/>
                <w:iCs w:val="0"/>
                <w:color w:val="000000"/>
                <w:kern w:val="0"/>
                <w:sz w:val="22"/>
                <w:szCs w:val="22"/>
                <w:shd w:val="clear" w:fill="FFFFFF"/>
              </w:rPr>
              <w:t>区文化旅游质量服务中心整体自评</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项目编码：</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50015200022P000070</w:t>
            </w:r>
          </w:p>
        </w:tc>
        <w:tc>
          <w:tcPr>
            <w:tcW w:w="10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自评总分：</w:t>
            </w:r>
          </w:p>
        </w:tc>
        <w:tc>
          <w:tcPr>
            <w:tcW w:w="140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9.50</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b/>
                <w:bCs/>
                <w:i w:val="0"/>
                <w:iCs w:val="0"/>
                <w:color w:val="000000"/>
                <w:kern w:val="0"/>
                <w:sz w:val="22"/>
                <w:szCs w:val="22"/>
              </w:rPr>
            </w:pPr>
          </w:p>
        </w:tc>
        <w:tc>
          <w:tcPr>
            <w:tcW w:w="20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项目主管单位：</w:t>
            </w:r>
          </w:p>
        </w:tc>
        <w:tc>
          <w:tcPr>
            <w:tcW w:w="308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区文化旅游质量服务中心</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财政归口处室：</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017-教科文科</w:t>
            </w:r>
          </w:p>
        </w:tc>
        <w:tc>
          <w:tcPr>
            <w:tcW w:w="10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单位联系人：</w:t>
            </w:r>
          </w:p>
        </w:tc>
        <w:tc>
          <w:tcPr>
            <w:tcW w:w="140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秦洪梅</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联系电话：</w:t>
            </w:r>
          </w:p>
        </w:tc>
        <w:tc>
          <w:tcPr>
            <w:tcW w:w="20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44597013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174" w:type="dxa"/>
            <w:gridSpan w:val="1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微软雅黑" w:cs="微软雅黑"/>
                <w:b/>
                <w:bCs/>
                <w:i w:val="0"/>
                <w:iCs w:val="0"/>
                <w:color w:val="808080"/>
                <w:kern w:val="0"/>
                <w:sz w:val="28"/>
                <w:szCs w:val="28"/>
              </w:rPr>
            </w:pPr>
            <w:r>
              <w:rPr>
                <w:rFonts w:hint="eastAsia" w:ascii="Times New Roman" w:hAnsi="Times New Roman" w:eastAsia="微软雅黑" w:cs="微软雅黑"/>
                <w:b/>
                <w:bCs/>
                <w:i w:val="0"/>
                <w:iCs w:val="0"/>
                <w:color w:val="808080"/>
                <w:kern w:val="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imes New Roman" w:hAnsi="Times New Roman" w:eastAsia="宋体" w:cs="宋体"/>
                <w:i w:val="0"/>
                <w:iCs w:val="0"/>
                <w:color w:val="000000"/>
                <w:kern w:val="0"/>
                <w:sz w:val="22"/>
                <w:szCs w:val="22"/>
              </w:rPr>
            </w:pPr>
          </w:p>
        </w:tc>
        <w:tc>
          <w:tcPr>
            <w:tcW w:w="306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年初预算数</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全年（调整）预算数</w:t>
            </w:r>
          </w:p>
        </w:tc>
        <w:tc>
          <w:tcPr>
            <w:tcW w:w="169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全年执行数</w:t>
            </w:r>
          </w:p>
        </w:tc>
        <w:tc>
          <w:tcPr>
            <w:tcW w:w="203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执行率</w:t>
            </w:r>
          </w:p>
        </w:tc>
        <w:tc>
          <w:tcPr>
            <w:tcW w:w="1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执行率权重</w:t>
            </w:r>
          </w:p>
        </w:tc>
        <w:tc>
          <w:tcPr>
            <w:tcW w:w="10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年度总金额（万元）</w:t>
            </w:r>
          </w:p>
        </w:tc>
        <w:tc>
          <w:tcPr>
            <w:tcW w:w="306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kern w:val="0"/>
                <w:sz w:val="24"/>
                <w:szCs w:val="24"/>
              </w:rPr>
              <w:t>395.66</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color w:val="000000"/>
                <w:kern w:val="0"/>
                <w:sz w:val="22"/>
                <w:szCs w:val="22"/>
              </w:rPr>
              <w:t>387.99</w:t>
            </w:r>
          </w:p>
        </w:tc>
        <w:tc>
          <w:tcPr>
            <w:tcW w:w="169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color w:val="000000"/>
                <w:kern w:val="0"/>
                <w:sz w:val="22"/>
                <w:szCs w:val="22"/>
              </w:rPr>
              <w:t>387.99</w:t>
            </w:r>
          </w:p>
        </w:tc>
        <w:tc>
          <w:tcPr>
            <w:tcW w:w="203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0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其中：财政拨款</w:t>
            </w:r>
          </w:p>
        </w:tc>
        <w:tc>
          <w:tcPr>
            <w:tcW w:w="306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kern w:val="0"/>
                <w:sz w:val="24"/>
                <w:szCs w:val="24"/>
              </w:rPr>
              <w:t>395.66</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color w:val="000000"/>
                <w:kern w:val="0"/>
                <w:sz w:val="22"/>
                <w:szCs w:val="22"/>
              </w:rPr>
              <w:t>387.99</w:t>
            </w:r>
          </w:p>
        </w:tc>
        <w:tc>
          <w:tcPr>
            <w:tcW w:w="169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color w:val="000000"/>
                <w:kern w:val="0"/>
                <w:sz w:val="22"/>
                <w:szCs w:val="22"/>
              </w:rPr>
              <w:t>387.99</w:t>
            </w:r>
          </w:p>
        </w:tc>
        <w:tc>
          <w:tcPr>
            <w:tcW w:w="203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95</w:t>
            </w:r>
          </w:p>
        </w:tc>
        <w:tc>
          <w:tcPr>
            <w:tcW w:w="1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10.00</w:t>
            </w:r>
          </w:p>
        </w:tc>
        <w:tc>
          <w:tcPr>
            <w:tcW w:w="10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17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微软雅黑" w:cs="微软雅黑"/>
                <w:b/>
                <w:bCs/>
                <w:i w:val="0"/>
                <w:iCs w:val="0"/>
                <w:color w:val="808080"/>
                <w:kern w:val="0"/>
                <w:sz w:val="28"/>
                <w:szCs w:val="28"/>
              </w:rPr>
            </w:pPr>
            <w:r>
              <w:rPr>
                <w:rFonts w:hint="eastAsia" w:ascii="Times New Roman" w:hAnsi="Times New Roman" w:eastAsia="微软雅黑" w:cs="微软雅黑"/>
                <w:b/>
                <w:bCs/>
                <w:i w:val="0"/>
                <w:iCs w:val="0"/>
                <w:color w:val="808080"/>
                <w:kern w:val="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年初绩效目标</w:t>
            </w:r>
          </w:p>
        </w:tc>
        <w:tc>
          <w:tcPr>
            <w:tcW w:w="368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全年（调整）绩效目标</w:t>
            </w:r>
          </w:p>
        </w:tc>
        <w:tc>
          <w:tcPr>
            <w:tcW w:w="4074"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4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保运转</w:t>
            </w:r>
          </w:p>
        </w:tc>
        <w:tc>
          <w:tcPr>
            <w:tcW w:w="3682"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c>
          <w:tcPr>
            <w:tcW w:w="4074"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17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微软雅黑" w:cs="微软雅黑"/>
                <w:b/>
                <w:bCs/>
                <w:i w:val="0"/>
                <w:iCs w:val="0"/>
                <w:color w:val="808080"/>
                <w:kern w:val="0"/>
                <w:sz w:val="28"/>
                <w:szCs w:val="28"/>
              </w:rPr>
            </w:pPr>
            <w:r>
              <w:rPr>
                <w:rFonts w:hint="eastAsia" w:ascii="Times New Roman" w:hAnsi="Times New Roman" w:eastAsia="微软雅黑" w:cs="微软雅黑"/>
                <w:b/>
                <w:bCs/>
                <w:i w:val="0"/>
                <w:iCs w:val="0"/>
                <w:color w:val="808080"/>
                <w:kern w:val="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指标名称</w:t>
            </w:r>
          </w:p>
        </w:tc>
        <w:tc>
          <w:tcPr>
            <w:tcW w:w="14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计量单位</w:t>
            </w:r>
          </w:p>
        </w:tc>
        <w:tc>
          <w:tcPr>
            <w:tcW w:w="16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指标性质</w:t>
            </w:r>
          </w:p>
        </w:tc>
        <w:tc>
          <w:tcPr>
            <w:tcW w:w="14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指标值</w:t>
            </w:r>
          </w:p>
        </w:tc>
        <w:tc>
          <w:tcPr>
            <w:tcW w:w="10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全年完成值</w:t>
            </w:r>
          </w:p>
        </w:tc>
        <w:tc>
          <w:tcPr>
            <w:tcW w:w="9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偏离度（%）</w:t>
            </w:r>
          </w:p>
        </w:tc>
        <w:tc>
          <w:tcPr>
            <w:tcW w:w="1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得分系数（%）</w:t>
            </w:r>
          </w:p>
        </w:tc>
        <w:tc>
          <w:tcPr>
            <w:tcW w:w="6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指标权重</w:t>
            </w:r>
          </w:p>
        </w:tc>
        <w:tc>
          <w:tcPr>
            <w:tcW w:w="7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指标得分</w:t>
            </w:r>
          </w:p>
        </w:tc>
        <w:tc>
          <w:tcPr>
            <w:tcW w:w="13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是否核心指标</w:t>
            </w:r>
          </w:p>
        </w:tc>
        <w:tc>
          <w:tcPr>
            <w:tcW w:w="1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说明</w:t>
            </w:r>
          </w:p>
        </w:tc>
        <w:tc>
          <w:tcPr>
            <w:tcW w:w="10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Times New Roman" w:hAnsi="Times New Roman" w:eastAsia="宋体" w:cs="宋体"/>
                <w:b/>
                <w:bCs/>
                <w:i w:val="0"/>
                <w:iCs w:val="0"/>
                <w:color w:val="000000"/>
                <w:kern w:val="0"/>
                <w:sz w:val="22"/>
                <w:szCs w:val="22"/>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基本支出</w:t>
            </w:r>
          </w:p>
        </w:tc>
        <w:tc>
          <w:tcPr>
            <w:tcW w:w="14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万元</w:t>
            </w:r>
          </w:p>
        </w:tc>
        <w:tc>
          <w:tcPr>
            <w:tcW w:w="16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w:t>
            </w:r>
          </w:p>
        </w:tc>
        <w:tc>
          <w:tcPr>
            <w:tcW w:w="14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color w:val="000000"/>
                <w:kern w:val="0"/>
                <w:sz w:val="22"/>
                <w:szCs w:val="22"/>
              </w:rPr>
              <w:t>323.74</w:t>
            </w:r>
          </w:p>
        </w:tc>
        <w:tc>
          <w:tcPr>
            <w:tcW w:w="10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9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6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10</w:t>
            </w:r>
          </w:p>
        </w:tc>
        <w:tc>
          <w:tcPr>
            <w:tcW w:w="7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3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c>
          <w:tcPr>
            <w:tcW w:w="1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22"/>
                <w:szCs w:val="22"/>
              </w:rPr>
            </w:pPr>
            <w:r>
              <w:rPr>
                <w:rFonts w:hint="eastAsia" w:ascii="Times New Roman" w:hAnsi="Times New Roman" w:eastAsia="宋体" w:cs="宋体"/>
                <w:i w:val="0"/>
                <w:iCs w:val="0"/>
                <w:color w:val="000000"/>
                <w:kern w:val="0"/>
                <w:sz w:val="22"/>
                <w:szCs w:val="22"/>
              </w:rPr>
              <w:t>已完成</w:t>
            </w:r>
          </w:p>
        </w:tc>
        <w:tc>
          <w:tcPr>
            <w:tcW w:w="10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2.</w:t>
      </w:r>
      <w:r>
        <w:rPr>
          <w:rFonts w:hint="eastAsia" w:ascii="Times New Roman" w:hAnsi="Times New Roman" w:eastAsia="方正仿宋_GBK" w:cs="方正仿宋_GBK"/>
          <w:b/>
          <w:bCs/>
          <w:sz w:val="32"/>
          <w:szCs w:val="32"/>
          <w:lang w:val="en-US" w:eastAsia="zh-CN"/>
        </w:rPr>
        <w:t>绩效自评报告或案例。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3.</w:t>
      </w:r>
      <w:r>
        <w:rPr>
          <w:rFonts w:hint="eastAsia" w:ascii="Times New Roman" w:hAnsi="Times New Roman" w:eastAsia="方正仿宋_GBK" w:cs="方正仿宋_GBK"/>
          <w:b/>
          <w:bCs/>
          <w:sz w:val="32"/>
          <w:szCs w:val="32"/>
          <w:lang w:val="en-US" w:eastAsia="zh-CN"/>
        </w:rPr>
        <w:t>关于绩效自评结果的说明。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本部门对整体绩效和项目以填报目标自评表形式开展了自评，从评价情况来看，均是按照绩效目标开展，并完成了年度绩效目标，自评结果均属优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六、专业名词解释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（一）财政拨款收入：</w:t>
      </w:r>
      <w:r>
        <w:rPr>
          <w:rFonts w:hint="eastAsia" w:ascii="Times New Roman" w:hAnsi="Times New Roman" w:eastAsia="方正仿宋_GBK" w:cs="方正仿宋_GBK"/>
          <w:sz w:val="32"/>
          <w:szCs w:val="32"/>
          <w:lang w:val="en-US" w:eastAsia="zh-CN"/>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（二）事业收入：</w:t>
      </w:r>
      <w:r>
        <w:rPr>
          <w:rFonts w:hint="eastAsia" w:ascii="Times New Roman" w:hAnsi="Times New Roman" w:eastAsia="方正仿宋_GBK" w:cs="方正仿宋_GBK"/>
          <w:sz w:val="32"/>
          <w:szCs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（三）经营收入：</w:t>
      </w:r>
      <w:r>
        <w:rPr>
          <w:rFonts w:hint="eastAsia" w:ascii="Times New Roman" w:hAnsi="Times New Roman" w:eastAsia="方正仿宋_GBK" w:cs="方正仿宋_GBK"/>
          <w:sz w:val="32"/>
          <w:szCs w:val="32"/>
          <w:lang w:val="en-US" w:eastAsia="zh-CN"/>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（四）其他收入：</w:t>
      </w:r>
      <w:r>
        <w:rPr>
          <w:rFonts w:hint="eastAsia" w:ascii="Times New Roman" w:hAnsi="Times New Roman" w:eastAsia="方正仿宋_GBK" w:cs="方正仿宋_GBK"/>
          <w:sz w:val="32"/>
          <w:szCs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（五）使用非财政拨款结余：</w:t>
      </w:r>
      <w:r>
        <w:rPr>
          <w:rFonts w:hint="eastAsia" w:ascii="Times New Roman" w:hAnsi="Times New Roman" w:eastAsia="方正仿宋_GBK" w:cs="方正仿宋_GBK"/>
          <w:sz w:val="32"/>
          <w:szCs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（六）年初结转和结余：</w:t>
      </w:r>
      <w:r>
        <w:rPr>
          <w:rFonts w:hint="eastAsia" w:ascii="Times New Roman" w:hAnsi="Times New Roman" w:eastAsia="方正仿宋_GBK" w:cs="方正仿宋_GBK"/>
          <w:sz w:val="32"/>
          <w:szCs w:val="32"/>
          <w:lang w:val="en-US" w:eastAsia="zh-CN"/>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（七）结余分配：</w:t>
      </w:r>
      <w:r>
        <w:rPr>
          <w:rFonts w:hint="eastAsia" w:ascii="Times New Roman" w:hAnsi="Times New Roman" w:eastAsia="方正仿宋_GBK" w:cs="方正仿宋_GBK"/>
          <w:sz w:val="32"/>
          <w:szCs w:val="32"/>
          <w:lang w:val="en-US" w:eastAsia="zh-CN"/>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（八）年末结转和结余：</w:t>
      </w:r>
      <w:r>
        <w:rPr>
          <w:rFonts w:hint="eastAsia" w:ascii="Times New Roman" w:hAnsi="Times New Roman" w:eastAsia="方正仿宋_GBK" w:cs="方正仿宋_GBK"/>
          <w:sz w:val="32"/>
          <w:szCs w:val="32"/>
          <w:lang w:val="en-US" w:eastAsia="zh-CN"/>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（九）基本支出：</w:t>
      </w:r>
      <w:r>
        <w:rPr>
          <w:rFonts w:hint="eastAsia" w:ascii="Times New Roman" w:hAnsi="Times New Roman" w:eastAsia="方正仿宋_GBK" w:cs="方正仿宋_GBK"/>
          <w:sz w:val="32"/>
          <w:szCs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（十）项目支出：</w:t>
      </w:r>
      <w:r>
        <w:rPr>
          <w:rFonts w:hint="eastAsia" w:ascii="Times New Roman" w:hAnsi="Times New Roman" w:eastAsia="方正仿宋_GBK" w:cs="方正仿宋_GBK"/>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（十一）经营支出：</w:t>
      </w:r>
      <w:r>
        <w:rPr>
          <w:rFonts w:hint="eastAsia" w:ascii="Times New Roman" w:hAnsi="Times New Roman" w:eastAsia="方正仿宋_GBK" w:cs="方正仿宋_GBK"/>
          <w:sz w:val="32"/>
          <w:szCs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（十二）“三公”经费：</w:t>
      </w:r>
      <w:r>
        <w:rPr>
          <w:rFonts w:hint="eastAsia" w:ascii="Times New Roman" w:hAnsi="Times New Roman" w:eastAsia="方正仿宋_GBK" w:cs="方正仿宋_GBK"/>
          <w:sz w:val="32"/>
          <w:szCs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（十三）机关运行经费：</w:t>
      </w:r>
      <w:r>
        <w:rPr>
          <w:rFonts w:hint="eastAsia" w:ascii="Times New Roman" w:hAnsi="Times New Roman" w:eastAsia="方正仿宋_GBK" w:cs="方正仿宋_GBK"/>
          <w:sz w:val="32"/>
          <w:szCs w:val="32"/>
          <w:lang w:val="en-US" w:eastAsia="zh-CN"/>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（十四）工资福利支出（支出经济分类科目类级）：</w:t>
      </w:r>
      <w:r>
        <w:rPr>
          <w:rFonts w:hint="eastAsia" w:ascii="Times New Roman" w:hAnsi="Times New Roman" w:eastAsia="方正仿宋_GBK" w:cs="方正仿宋_GBK"/>
          <w:sz w:val="32"/>
          <w:szCs w:val="32"/>
          <w:lang w:val="en-US" w:eastAsia="zh-CN"/>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（十五）商品和服务支出（支出经济分类科目类级）：</w:t>
      </w:r>
      <w:r>
        <w:rPr>
          <w:rFonts w:hint="eastAsia" w:ascii="Times New Roman" w:hAnsi="Times New Roman" w:eastAsia="方正仿宋_GBK" w:cs="方正仿宋_GBK"/>
          <w:sz w:val="32"/>
          <w:szCs w:val="32"/>
          <w:lang w:val="en-US" w:eastAsia="zh-CN"/>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（十六）对个人和家庭的补助（支出经济分类科目类级）：</w:t>
      </w:r>
      <w:r>
        <w:rPr>
          <w:rFonts w:hint="eastAsia" w:ascii="Times New Roman" w:hAnsi="Times New Roman" w:eastAsia="方正仿宋_GBK" w:cs="方正仿宋_GBK"/>
          <w:sz w:val="32"/>
          <w:szCs w:val="32"/>
          <w:lang w:val="en-US" w:eastAsia="zh-CN"/>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（十七）其他资本性支出（支出经济分类科目类级）：</w:t>
      </w:r>
      <w:r>
        <w:rPr>
          <w:rFonts w:hint="eastAsia" w:ascii="Times New Roman" w:hAnsi="Times New Roman" w:eastAsia="方正仿宋_GBK" w:cs="方正仿宋_GBK"/>
          <w:sz w:val="32"/>
          <w:szCs w:val="32"/>
          <w:lang w:val="en-US" w:eastAsia="zh-CN"/>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本单位决算公开信息反馈和联系方式： 邓胜兰            电话：</w:t>
      </w:r>
      <w:r>
        <w:rPr>
          <w:rFonts w:hint="default" w:ascii="Times New Roman" w:hAnsi="Times New Roman" w:eastAsia="方正仿宋_GBK" w:cs="方正仿宋_GBK"/>
          <w:sz w:val="32"/>
          <w:szCs w:val="32"/>
          <w:lang w:val="en-US" w:eastAsia="zh-CN"/>
        </w:rPr>
        <w:t>02344497013</w:t>
      </w:r>
      <w:r>
        <w:rPr>
          <w:rFonts w:hint="eastAsia" w:ascii="Times New Roman" w:hAnsi="Times New Roman" w:eastAsia="方正仿宋_GBK" w:cs="方正仿宋_GBK"/>
          <w:sz w:val="32"/>
          <w:szCs w:val="32"/>
          <w:lang w:val="en-US" w:eastAsia="zh-CN"/>
        </w:rPr>
        <w:t>。</w:t>
      </w:r>
    </w:p>
    <w:p>
      <w:pPr>
        <w:pStyle w:val="2"/>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w:t>
      </w:r>
    </w:p>
    <w:p>
      <w:pPr>
        <w:pStyle w:val="17"/>
        <w:keepNext w:val="0"/>
        <w:keepLines w:val="0"/>
        <w:widowControl/>
        <w:suppressLineNumbers w:val="0"/>
        <w:spacing w:before="0" w:beforeAutospacing="0"/>
        <w:ind w:left="0"/>
        <w:jc w:val="lef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 xml:space="preserve"> </w:t>
      </w:r>
    </w:p>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br w:type="page"/>
      </w:r>
    </w:p>
    <w:tbl>
      <w:tblPr>
        <w:tblStyle w:val="12"/>
        <w:tblW w:w="13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98"/>
        <w:gridCol w:w="414"/>
        <w:gridCol w:w="414"/>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265" w:type="dxa"/>
            <w:gridSpan w:val="4"/>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FFFFFF"/>
            <w:noWrap/>
            <w:vAlign w:val="center"/>
          </w:tcPr>
          <w:p>
            <w:pPr>
              <w:jc w:val="left"/>
              <w:rPr>
                <w:rFonts w:hint="eastAsia" w:ascii="Tahoma" w:hAnsi="Tahoma" w:eastAsia="Tahoma" w:cs="Tahom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pPr>
              <w:jc w:val="left"/>
              <w:rPr>
                <w:rFonts w:hint="default" w:ascii="Tahoma" w:hAnsi="Tahoma" w:eastAsia="Tahoma" w:cs="Tahoma"/>
                <w:i w:val="0"/>
                <w:iCs w:val="0"/>
                <w:color w:val="000000"/>
                <w:sz w:val="16"/>
                <w:szCs w:val="16"/>
                <w:u w:val="none"/>
              </w:rPr>
            </w:pPr>
          </w:p>
        </w:tc>
        <w:tc>
          <w:tcPr>
            <w:tcW w:w="0" w:type="auto"/>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公开部门：重庆市潼南区文化旅游质量服务中心</w:t>
            </w:r>
          </w:p>
        </w:tc>
        <w:tc>
          <w:tcPr>
            <w:tcW w:w="0" w:type="auto"/>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2"/>
        <w:tblW w:w="1326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500"/>
        <w:gridCol w:w="1294"/>
        <w:gridCol w:w="517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0" w:type="auto"/>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0" w:type="auto"/>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0" w:type="auto"/>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gridSpan w:val="4"/>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备注：本表反映部门本年度的总收支和年末结转结余等情况。</w:t>
            </w:r>
          </w:p>
        </w:tc>
      </w:tr>
    </w:tbl>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br w:type="page"/>
      </w:r>
    </w:p>
    <w:tbl>
      <w:tblPr>
        <w:tblStyle w:val="12"/>
        <w:tblW w:w="5062" w:type="pct"/>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4052"/>
        <w:gridCol w:w="1158"/>
        <w:gridCol w:w="1136"/>
        <w:gridCol w:w="1264"/>
        <w:gridCol w:w="750"/>
        <w:gridCol w:w="1500"/>
        <w:gridCol w:w="836"/>
        <w:gridCol w:w="1307"/>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10"/>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1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0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9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61"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22"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67"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58" w:type="pct"/>
            <w:gridSpan w:val="5"/>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公开部门：重庆市潼南区文化旅游质量服务中心</w:t>
            </w:r>
          </w:p>
        </w:tc>
        <w:tc>
          <w:tcPr>
            <w:tcW w:w="261"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22"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91"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67" w:type="pct"/>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1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3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4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7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4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41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4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2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1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14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14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141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文化和旅游管理事务</w:t>
            </w:r>
          </w:p>
        </w:tc>
        <w:tc>
          <w:tcPr>
            <w:tcW w:w="403"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295.90</w:t>
            </w:r>
          </w:p>
        </w:tc>
        <w:tc>
          <w:tcPr>
            <w:tcW w:w="39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295.90</w:t>
            </w:r>
          </w:p>
        </w:tc>
        <w:tc>
          <w:tcPr>
            <w:tcW w:w="439"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1"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55.61</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55.61</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48.96</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48.96</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6.65</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6.65</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备注：本表反映部门本年度取得的各项收入情况。</w:t>
            </w:r>
          </w:p>
        </w:tc>
      </w:tr>
    </w:tbl>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br w:type="page"/>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8"/>
        <w:gridCol w:w="4058"/>
        <w:gridCol w:w="1789"/>
        <w:gridCol w:w="1548"/>
        <w:gridCol w:w="1209"/>
        <w:gridCol w:w="1683"/>
        <w:gridCol w:w="1178"/>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8"/>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31"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4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543" w:type="pct"/>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2" w:type="pct"/>
            <w:gridSpan w:val="2"/>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公开部门：重庆市潼南区文化旅游质量服务中心</w:t>
            </w:r>
          </w:p>
        </w:tc>
        <w:tc>
          <w:tcPr>
            <w:tcW w:w="631" w:type="pct"/>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6"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543" w:type="pct"/>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4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5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6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文化和旅游管理事务</w:t>
            </w:r>
          </w:p>
        </w:tc>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295.90</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295.90</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55.61</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55.61</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48.96</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48.96</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43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631"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54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5"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6.65</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6.65</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备注：本表反映部门本年度各项支出情况。</w:t>
            </w:r>
          </w:p>
        </w:tc>
      </w:tr>
    </w:tbl>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br w:type="page"/>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7"/>
        <w:gridCol w:w="1062"/>
        <w:gridCol w:w="4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3"/>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7"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374"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57"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7" w:type="pct"/>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公开部门：重庆市潼南区文化旅游质量服务中心</w:t>
            </w:r>
          </w:p>
        </w:tc>
        <w:tc>
          <w:tcPr>
            <w:tcW w:w="374" w:type="pct"/>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7"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16"/>
        <w:gridCol w:w="1157"/>
        <w:gridCol w:w="3664"/>
        <w:gridCol w:w="1062"/>
        <w:gridCol w:w="1864"/>
        <w:gridCol w:w="1666"/>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15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342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11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213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1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12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07"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74"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295.90</w:t>
            </w: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w:t>
            </w: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w:t>
            </w: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3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5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备注：本表反映部门本年度一般公共预算财政拨款、政府性基金预算财政拨款及国有资本经营预算财政拨款的总收支和年末结转结余情况。</w:t>
            </w:r>
          </w:p>
        </w:tc>
      </w:tr>
    </w:tbl>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br w:type="page"/>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0"/>
        <w:gridCol w:w="4767"/>
        <w:gridCol w:w="2480"/>
        <w:gridCol w:w="2114"/>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5"/>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80"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74"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4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0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80" w:type="pct"/>
            <w:gridSpan w:val="2"/>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公开部门：重庆市潼南区文化旅游质量服务中心</w:t>
            </w:r>
          </w:p>
        </w:tc>
        <w:tc>
          <w:tcPr>
            <w:tcW w:w="874"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45" w:type="pct"/>
            <w:tcBorders>
              <w:top w:val="nil"/>
              <w:left w:val="nil"/>
              <w:bottom w:val="single" w:color="auto"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00" w:type="pct"/>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51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387.99</w:t>
            </w:r>
          </w:p>
        </w:tc>
        <w:tc>
          <w:tcPr>
            <w:tcW w:w="9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16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8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9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16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8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295.90</w:t>
            </w:r>
          </w:p>
        </w:tc>
        <w:tc>
          <w:tcPr>
            <w:tcW w:w="9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16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文化和旅游管理事务</w:t>
            </w:r>
          </w:p>
        </w:tc>
        <w:tc>
          <w:tcPr>
            <w:tcW w:w="8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295.90</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295.90</w:t>
            </w:r>
          </w:p>
        </w:tc>
        <w:tc>
          <w:tcPr>
            <w:tcW w:w="9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168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社会保障和就业支出</w:t>
            </w:r>
          </w:p>
        </w:tc>
        <w:tc>
          <w:tcPr>
            <w:tcW w:w="874"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55.61</w:t>
            </w:r>
          </w:p>
        </w:tc>
        <w:tc>
          <w:tcPr>
            <w:tcW w:w="74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55.61</w:t>
            </w:r>
          </w:p>
        </w:tc>
        <w:tc>
          <w:tcPr>
            <w:tcW w:w="900"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行政事业单位养老支出</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48.96</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48.96</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6.65</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6.65</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19.01</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7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备注：本表反映部门本年度一般公共预算财政拨款支出情况。</w:t>
            </w:r>
          </w:p>
        </w:tc>
      </w:tr>
    </w:tbl>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br w:type="page"/>
      </w:r>
    </w:p>
    <w:tbl>
      <w:tblPr>
        <w:tblStyle w:val="12"/>
        <w:tblW w:w="514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6"/>
        <w:gridCol w:w="765"/>
        <w:gridCol w:w="765"/>
        <w:gridCol w:w="4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5000"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81"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62"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62"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9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81"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公开部门：重庆市潼南区文化旅游质量服务中心</w:t>
            </w:r>
          </w:p>
        </w:tc>
        <w:tc>
          <w:tcPr>
            <w:tcW w:w="262"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62"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9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2"/>
        <w:tblW w:w="514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296"/>
        <w:gridCol w:w="876"/>
        <w:gridCol w:w="766"/>
        <w:gridCol w:w="2416"/>
        <w:gridCol w:w="766"/>
        <w:gridCol w:w="766"/>
        <w:gridCol w:w="4176"/>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6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330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3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8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14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312.67</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51.59</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74.15</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12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00"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82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62"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43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2"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162.55</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机关事业单位基本养老保险费</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23.74</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20.65</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其他个人和家庭的补助支出</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经常性赠与</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资本性赠与</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8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1"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336.40</w:t>
            </w:r>
          </w:p>
        </w:tc>
        <w:tc>
          <w:tcPr>
            <w:tcW w:w="3045"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br w:type="page"/>
      </w:r>
    </w:p>
    <w:tbl>
      <w:tblPr>
        <w:tblStyle w:val="12"/>
        <w:tblW w:w="50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6"/>
        <w:gridCol w:w="1321"/>
        <w:gridCol w:w="1321"/>
        <w:gridCol w:w="879"/>
        <w:gridCol w:w="5276"/>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000" w:type="pct"/>
            <w:gridSpan w:val="6"/>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387" w:type="pct"/>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307" w:type="pct"/>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305" w:type="pct"/>
            <w:gridSpan w:val="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387" w:type="pct"/>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公开部门：重庆市潼南区文化旅游质量服务中心</w:t>
            </w:r>
          </w:p>
        </w:tc>
        <w:tc>
          <w:tcPr>
            <w:tcW w:w="307" w:type="pct"/>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305" w:type="pct"/>
            <w:gridSpan w:val="2"/>
            <w:tcBorders>
              <w:top w:val="nil"/>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bookmarkStart w:id="0" w:name="_GoBack" w:colFirst="0" w:colLast="5"/>
            <w:r>
              <w:rPr>
                <w:rFonts w:hint="eastAsia" w:ascii="宋体" w:hAnsi="宋体" w:eastAsia="宋体" w:cs="宋体"/>
                <w:b/>
                <w:bCs/>
                <w:i w:val="0"/>
                <w:iCs w:val="0"/>
                <w:color w:val="000000"/>
                <w:kern w:val="0"/>
                <w:sz w:val="22"/>
                <w:szCs w:val="22"/>
                <w:u w:val="none"/>
                <w:lang w:val="en-US" w:eastAsia="zh-CN" w:bidi="ar"/>
              </w:rPr>
              <w:t>项  目</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一、“三公”经费支出</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四、机关运行经费</w:t>
            </w:r>
          </w:p>
        </w:tc>
        <w:tc>
          <w:tcPr>
            <w:tcW w:w="4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（一）支出合计</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（一）行政单位</w:t>
            </w:r>
          </w:p>
        </w:tc>
        <w:tc>
          <w:tcPr>
            <w:tcW w:w="4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（二）参照公务员法管理事业单位</w:t>
            </w:r>
          </w:p>
        </w:tc>
        <w:tc>
          <w:tcPr>
            <w:tcW w:w="4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2．公务用车购置及运行维护费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五、资产信息</w:t>
            </w:r>
          </w:p>
        </w:tc>
        <w:tc>
          <w:tcPr>
            <w:tcW w:w="4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（1）公务用车购置费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（一）车辆数合计（辆）</w:t>
            </w:r>
          </w:p>
        </w:tc>
        <w:tc>
          <w:tcPr>
            <w:tcW w:w="4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（2）公务用车运行维护费</w:t>
            </w:r>
          </w:p>
        </w:tc>
        <w:tc>
          <w:tcPr>
            <w:tcW w:w="46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46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30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1．副部（省）级及以上领导用车</w:t>
            </w:r>
          </w:p>
        </w:tc>
        <w:tc>
          <w:tcPr>
            <w:tcW w:w="45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3．公务接待费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2．主要领导干部用车</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（1）国内接待费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3．机要通信用车</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4．应急保障用车</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（2）国（境）外接待费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5．执法执勤用车</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（二）相关统计数</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6．特种专业技术用车</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1．因公出国（境）团组数（个）</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7．离退休干部用车</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2．因公出国（境）人次数（人）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8．其他用车</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3．公务用车购置数（辆）</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（二）单价100万元（含）以上设备（不含车辆）</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4．公务用车保有量（辆）</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六、政府采购支出信息</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5．国内公务接待批次（个）</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（一）政府采购支出合计</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其中：外事接待批次（个）</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1．政府采购货物支出</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6．国内公务接待人次（人）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2．政府采购工程支出</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其中：外事接待人次（人）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3．政府采购服务支出</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7．国（境）外公务接待批次（个）</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（二）政府采购授予中小企业合同金额</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8．国（境）外公务接待人次（人）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其中：授予小微企业合同金额</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二、会议费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三、培训费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84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000" w:type="pct"/>
            <w:gridSpan w:val="6"/>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000" w:type="pct"/>
            <w:gridSpan w:val="6"/>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本表为空的单位应将空表公开，并注明：本单位无相关数据，故本表为空。    </w:t>
            </w:r>
          </w:p>
        </w:tc>
      </w:tr>
    </w:tbl>
    <w:p>
      <w:pPr>
        <w:pStyle w:val="17"/>
        <w:keepNext w:val="0"/>
        <w:keepLines w:val="0"/>
        <w:widowControl/>
        <w:suppressLineNumbers w:val="0"/>
        <w:spacing w:before="0" w:beforeAutospacing="0"/>
        <w:ind w:left="0"/>
        <w:jc w:val="left"/>
        <w:rPr>
          <w:rFonts w:hint="eastAsia" w:ascii="Times New Roman" w:hAnsi="Times New Roman" w:eastAsia="宋体" w:cs="宋体"/>
          <w:kern w:val="0"/>
          <w:sz w:val="24"/>
          <w:szCs w:val="24"/>
        </w:rPr>
      </w:pPr>
    </w:p>
    <w:sectPr>
      <w:pgSz w:w="16851" w:h="11915" w:orient="landscape"/>
      <w:pgMar w:top="1984" w:right="1440" w:bottom="1644" w:left="1440" w:header="851" w:footer="992" w:gutter="0"/>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YTNmYWYxZjc3YTc4OTM0MjUwZTQ5ZGQwMjI2YmUifQ=="/>
  </w:docVars>
  <w:rsids>
    <w:rsidRoot w:val="00000000"/>
    <w:rsid w:val="05290E6D"/>
    <w:rsid w:val="072C03D9"/>
    <w:rsid w:val="0B007978"/>
    <w:rsid w:val="0DBD0219"/>
    <w:rsid w:val="10EF0386"/>
    <w:rsid w:val="11166833"/>
    <w:rsid w:val="175F5AF7"/>
    <w:rsid w:val="17DC2443"/>
    <w:rsid w:val="1C043B0D"/>
    <w:rsid w:val="23D42CAA"/>
    <w:rsid w:val="283B19EF"/>
    <w:rsid w:val="2FC33BD3"/>
    <w:rsid w:val="3B163750"/>
    <w:rsid w:val="3BF102C5"/>
    <w:rsid w:val="55F75928"/>
    <w:rsid w:val="5B7C71A8"/>
    <w:rsid w:val="6B162075"/>
    <w:rsid w:val="6FF72F4D"/>
    <w:rsid w:val="71ED251E"/>
    <w:rsid w:val="72F3749D"/>
    <w:rsid w:val="73996ADB"/>
    <w:rsid w:val="756476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basedOn w:val="1"/>
    <w:next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 w:hAnsi="仿宋" w:eastAsia="宋体" w:cs="仿宋"/>
      <w:color w:val="000000"/>
      <w:kern w:val="0"/>
      <w:sz w:val="24"/>
      <w:szCs w:val="24"/>
      <w:lang w:val="en-US" w:eastAsia="zh-CN" w:bidi="ar"/>
    </w:rPr>
  </w:style>
  <w:style w:type="paragraph" w:styleId="9">
    <w:name w:val="Plain Text"/>
    <w:basedOn w:val="1"/>
    <w:qFormat/>
    <w:uiPriority w:val="0"/>
    <w:pPr>
      <w:keepNext w:val="0"/>
      <w:keepLines w:val="0"/>
      <w:widowControl w:val="0"/>
      <w:suppressLineNumbers w:val="0"/>
      <w:spacing w:before="0" w:beforeAutospacing="0" w:after="0" w:afterAutospacing="0"/>
      <w:ind w:left="0" w:right="0" w:firstLine="0"/>
      <w:jc w:val="left"/>
    </w:pPr>
    <w:rPr>
      <w:rFonts w:hint="eastAsia" w:ascii="宋体" w:hAnsi="Courier New" w:eastAsia="宋体" w:cs="Courier New"/>
      <w:kern w:val="2"/>
      <w:sz w:val="24"/>
      <w:szCs w:val="24"/>
      <w:lang w:val="en-US" w:eastAsia="zh-CN" w:bidi="ar"/>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7"/>
    <w:basedOn w:val="13"/>
    <w:uiPriority w:val="0"/>
    <w:rPr>
      <w:rFonts w:hint="default" w:ascii="Times New Roman" w:hAnsi="Times New Roman" w:cs="Times New Roman"/>
      <w:b/>
    </w:rPr>
  </w:style>
  <w:style w:type="paragraph" w:customStyle="1" w:styleId="15">
    <w:name w:val="p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18"/>
    <w:basedOn w:val="13"/>
    <w:uiPriority w:val="0"/>
    <w:rPr>
      <w:rFonts w:hint="default" w:ascii="Times New Roman" w:hAnsi="Times New Roman" w:cs="Times New Roman"/>
      <w:b/>
    </w:rPr>
  </w:style>
  <w:style w:type="paragraph" w:customStyle="1" w:styleId="1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10"/>
    <w:basedOn w:val="13"/>
    <w:uiPriority w:val="0"/>
    <w:rPr>
      <w:rFonts w:hint="default" w:ascii="Times New Roman" w:hAnsi="Times New Roman" w:cs="Times New Roman"/>
    </w:rPr>
  </w:style>
  <w:style w:type="character" w:customStyle="1" w:styleId="19">
    <w:name w:val="15"/>
    <w:basedOn w:val="13"/>
    <w:qFormat/>
    <w:uiPriority w:val="0"/>
    <w:rPr>
      <w:rFonts w:hint="default" w:ascii="Times New Roman" w:hAnsi="Times New Roman" w:cs="Times New Roman"/>
    </w:rPr>
  </w:style>
  <w:style w:type="character" w:customStyle="1" w:styleId="20">
    <w:name w:val="16"/>
    <w:basedOn w:val="13"/>
    <w:uiPriority w:val="0"/>
    <w:rPr>
      <w:rFonts w:hint="default" w:ascii="Times New Roman" w:hAnsi="Times New Roman" w:cs="Times New Roman"/>
      <w:b/>
    </w:rPr>
  </w:style>
  <w:style w:type="character" w:customStyle="1" w:styleId="21">
    <w:name w:val="19"/>
    <w:basedOn w:val="13"/>
    <w:uiPriority w:val="0"/>
    <w:rPr>
      <w:rFonts w:hint="default" w:ascii="Times New Roman" w:hAnsi="Times New Roman" w:cs="Times New Roman"/>
      <w:b/>
      <w:bCs/>
    </w:rPr>
  </w:style>
  <w:style w:type="paragraph" w:customStyle="1" w:styleId="22">
    <w:name w:val="List Paragraph"/>
    <w:basedOn w:val="1"/>
    <w:qFormat/>
    <w:uiPriority w:val="34"/>
    <w:pPr>
      <w:spacing w:before="0" w:beforeAutospacing="0" w:after="0" w:afterAutospacing="0" w:line="360" w:lineRule="auto"/>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3">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4">
    <w:name w:val="pre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Characters>8817</Characters>
  <Lines>1</Lines>
  <Paragraphs>1</Paragraphs>
  <TotalTime>0</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2023-08-30T06:25:00Z</dcterms:created>
  <dc:creator>Administrator</dc:creator>
  <cp:lastModifiedBy>我很怪i</cp:lastModifiedBy>
  <dcterms:modified xsi:type="dcterms:W3CDTF">2023-08-30T10:18:52Z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CC0DB3A2C3CF4A17AE9E98DD3DF12733_13</vt:lpwstr>
  </property>
</Properties>
</file>