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重庆市潼南区文化和旅游发展委员会（本级）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2022年度部门决算情况说明</w:t>
      </w:r>
    </w:p>
    <w:bookmarkEnd w:id="0"/>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一、部门基本情况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（一）职能职责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val="en-US" w:eastAsia="zh-CN"/>
        </w:rPr>
        <w:t>、贯彻执行党和国家宣传、文化和旅游、广播电视、文物和博物馆、体育工作的法律法规和方针政策，拟订全区文化和旅游、广播电视、文物和博物馆、体育事业政策措施并组织实施。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val="en-US" w:eastAsia="zh-CN"/>
        </w:rPr>
        <w:t>、统筹规划全区文体事业、文化产业和旅游业发展，拟订全区文化和旅游、广播电视、文物和博物馆、体育事业发展规划并组织实施，推进文化和旅游融合发展，推进体制机制改革。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val="en-US" w:eastAsia="zh-CN"/>
        </w:rPr>
        <w:t>、指导全区性重大文体活动和旅游节会，管理区级重点文体、旅游设施建设，负责全区文化旅游整体形象宣传和推广，促进文化产业和旅游产业对外合作和市场推广，拟订旅游市场开发战略并组织实施，指导、推进全域旅游。指导、协调、推动广播电视领域产业发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val="en-US" w:eastAsia="zh-CN"/>
        </w:rPr>
        <w:t>、负责管理全区文艺事业，指导艺术创作生产，扶持体现社会主义核心价值观、具有导向性代表性示范性的文艺作品，推动各门类艺术、各艺术品种发展。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val="en-US" w:eastAsia="zh-CN"/>
        </w:rPr>
        <w:t>、负责全区公共文体事业发展，推进全区公共文体服务体系建设和旅游公共服务建设，深入实施文化、旅游和体育惠民工程，统筹推进基本公共文体服务标准化、均等化。组织实施全区广播电视领域公共服务重大公益工程和公益活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lang w:val="en-US" w:eastAsia="zh-CN"/>
        </w:rPr>
        <w:t>、推进全区文化和旅游、广播电视、文物和博物馆、体育行业科技创新发展，推进文化和旅游行业信息化、标准化建设。</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val="en-US" w:eastAsia="zh-CN"/>
        </w:rPr>
        <w:t>、负责全区非物质文化遗产保护，推动非物质文化遗产的保护、传承、普及、弘扬和振兴。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lang w:val="en-US" w:eastAsia="zh-CN"/>
        </w:rPr>
        <w:t>、统筹规划全区文化、旅游和体育产业，组织实施文化和旅游资源普查、挖掘、保护和利用工作，承担文体市场和旅游经济运行监测体系建设工作，促进文化、旅游和体育产业发展。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lang w:val="en-US" w:eastAsia="zh-CN"/>
        </w:rPr>
        <w:t>、指导全区文化、旅游和体育市场发展，对文化、旅游和体育市场经营进行行业监管，推进文化、旅游和体育行业信用体系建设，依法规范文化、旅游和体育市场。负责文化、旅游和体育市场安全的综合协调和监督管理，指导应急救援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10</w:t>
      </w:r>
      <w:r>
        <w:rPr>
          <w:rFonts w:hint="eastAsia" w:ascii="Times New Roman" w:hAnsi="Times New Roman" w:eastAsia="方正仿宋_GBK" w:cs="方正仿宋_GBK"/>
          <w:sz w:val="32"/>
          <w:szCs w:val="32"/>
          <w:lang w:val="en-US" w:eastAsia="zh-CN"/>
        </w:rPr>
        <w:t>、组织查处全区文化、文物、出版、广播电视、电影、旅游、体育等市场的违法行为，维护市场秩序。具体执法由区文化市场综合行政执法队伍承担。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lang w:val="en-US" w:eastAsia="zh-CN"/>
        </w:rPr>
        <w:t>、实施全区广播电视重点基础设施和应急广播体系建设。负责推进全区广播电视与新媒体新技术新业态融合发展，推进广电网与电信网、互联网三网融合。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lang w:val="en-US" w:eastAsia="zh-CN"/>
        </w:rPr>
        <w:t>、负责对全区各类广播电视机构进行业务指导和行业监管，监督管理、审查广播电视节目、网络视听节目的内容和质量。负责对广播电视节目传输覆盖、监测和安全播出进行监管，指导全区广播电视系统的安全工作。指导、监管广播电视广告播放，会同有关部门对网络视听节目服务机构进行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13</w:t>
      </w:r>
      <w:r>
        <w:rPr>
          <w:rFonts w:hint="eastAsia" w:ascii="Times New Roman" w:hAnsi="Times New Roman" w:eastAsia="方正仿宋_GBK" w:cs="方正仿宋_GBK"/>
          <w:sz w:val="32"/>
          <w:szCs w:val="32"/>
          <w:lang w:val="en-US" w:eastAsia="zh-CN"/>
        </w:rPr>
        <w:t>、负责全区文物和博物馆业务工作。组织开展文物资源调查，履行文物、博物馆安全督察职责。指导协调博物馆建设及博物馆间的交流与协作。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14</w:t>
      </w:r>
      <w:r>
        <w:rPr>
          <w:rFonts w:hint="eastAsia" w:ascii="Times New Roman" w:hAnsi="Times New Roman" w:eastAsia="方正仿宋_GBK" w:cs="方正仿宋_GBK"/>
          <w:sz w:val="32"/>
          <w:szCs w:val="32"/>
          <w:lang w:val="en-US" w:eastAsia="zh-CN"/>
        </w:rPr>
        <w:t>、负责全区世界文化遗产（含世界文化和自然双重遗产中文化遗产部分）保护和管理监督工作，协同规划和自然资源、住房和城乡建设等部门加强历史文化名城（镇、村）保护和监督管理工作。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15</w:t>
      </w:r>
      <w:r>
        <w:rPr>
          <w:rFonts w:hint="eastAsia" w:ascii="Times New Roman" w:hAnsi="Times New Roman" w:eastAsia="方正仿宋_GBK" w:cs="方正仿宋_GBK"/>
          <w:sz w:val="32"/>
          <w:szCs w:val="32"/>
          <w:lang w:val="en-US" w:eastAsia="zh-CN"/>
        </w:rPr>
        <w:t>、指导、管理文化和旅游、广播电视、文物和博物馆、体育对外交流、合作和宣传、推广工作，组织全区大型文化、旅游和体育等对外交流活动。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16</w:t>
      </w:r>
      <w:r>
        <w:rPr>
          <w:rFonts w:hint="eastAsia" w:ascii="Times New Roman" w:hAnsi="Times New Roman" w:eastAsia="方正仿宋_GBK" w:cs="方正仿宋_GBK"/>
          <w:sz w:val="32"/>
          <w:szCs w:val="32"/>
          <w:lang w:val="en-US" w:eastAsia="zh-CN"/>
        </w:rPr>
        <w:t>、拟订全区文化、旅游和体育行业人才队伍建设规划并组织实施，协助从业人员职业资格管理。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17</w:t>
      </w:r>
      <w:r>
        <w:rPr>
          <w:rFonts w:hint="eastAsia" w:ascii="Times New Roman" w:hAnsi="Times New Roman" w:eastAsia="方正仿宋_GBK" w:cs="方正仿宋_GBK"/>
          <w:sz w:val="32"/>
          <w:szCs w:val="32"/>
          <w:lang w:val="en-US" w:eastAsia="zh-CN"/>
        </w:rPr>
        <w:t>、负责机关、直属单位和所主管的社会组织党建工作。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18</w:t>
      </w:r>
      <w:r>
        <w:rPr>
          <w:rFonts w:hint="eastAsia" w:ascii="Times New Roman" w:hAnsi="Times New Roman" w:eastAsia="方正仿宋_GBK" w:cs="方正仿宋_GBK"/>
          <w:sz w:val="32"/>
          <w:szCs w:val="32"/>
          <w:lang w:val="en-US" w:eastAsia="zh-CN"/>
        </w:rPr>
        <w:t>、完成区委和区政府交办的其他任务。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潼南区文化和旅游发展委员会现内设</w:t>
      </w:r>
      <w:r>
        <w:rPr>
          <w:rFonts w:hint="default"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lang w:val="en-US" w:eastAsia="zh-CN"/>
        </w:rPr>
        <w:t>个机构：综合科、产业发展科（行政审批科）、公共服务科、宣传推广科、文化遗产科、广电传媒科、体育科、安全法制审计科。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（三）单位构成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从预算单位构成看，纳入本单位</w:t>
      </w:r>
      <w:r>
        <w:rPr>
          <w:rFonts w:hint="default" w:ascii="Times New Roman" w:hAnsi="Times New Roman" w:eastAsia="方正仿宋_GBK" w:cs="方正仿宋_GBK"/>
          <w:sz w:val="32"/>
          <w:szCs w:val="32"/>
          <w:lang w:val="en-US" w:eastAsia="zh-CN"/>
        </w:rPr>
        <w:t>2020</w:t>
      </w:r>
      <w:r>
        <w:rPr>
          <w:rFonts w:hint="eastAsia" w:ascii="Times New Roman" w:hAnsi="Times New Roman" w:eastAsia="方正仿宋_GBK" w:cs="方正仿宋_GBK"/>
          <w:sz w:val="32"/>
          <w:szCs w:val="32"/>
          <w:lang w:val="en-US" w:eastAsia="zh-CN"/>
        </w:rPr>
        <w:t>年度决算编制的二级预算单位主要包括区图书馆、区文化馆、区质量服务中心、区文化综合执法支队、区青少年业余体校、区文管所、区非遗中心等。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二、单位决算情况说明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（一）收入支出决算总体情况说明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1.总体情况。</w:t>
      </w:r>
      <w:r>
        <w:rPr>
          <w:rFonts w:hint="eastAsia" w:ascii="Times New Roman" w:hAnsi="Times New Roman" w:eastAsia="方正仿宋_GBK" w:cs="方正仿宋_GBK"/>
          <w:sz w:val="32"/>
          <w:szCs w:val="32"/>
          <w:lang w:val="en-US" w:eastAsia="zh-CN"/>
        </w:rPr>
        <w:t>2022年度收入总计2,981.27万元，支出总计2,981.27万元。收支较上年决算数减少652.89万元,下降18%，主要原因是2021年是把图书馆、文化馆、文管所、执法支队、质量服务中心、青少年业余体校、非遗中心都纳入在一起编报预决算，按照新的相关规定2022年各委属单位分别编报了预决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2.收入情况。</w:t>
      </w:r>
      <w:r>
        <w:rPr>
          <w:rFonts w:hint="eastAsia" w:ascii="Times New Roman" w:hAnsi="Times New Roman" w:eastAsia="方正仿宋_GBK" w:cs="方正仿宋_GBK"/>
          <w:sz w:val="32"/>
          <w:szCs w:val="32"/>
          <w:lang w:val="en-US" w:eastAsia="zh-CN"/>
        </w:rPr>
        <w:t>2022年度收入合计2,981.27万元，较上年决算数减少612.89万元，下降17.1%，主要原因是2021年是把图书馆、文化馆、文管所、执法支队、质量服务中心、青少年业余体校、非遗中心都纳入在一起编报预决算，按照新的相关规定2022年各委属单位分别编报了预决算。其中：财政拨款收入2,981.27万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3.支出情况。</w:t>
      </w:r>
      <w:r>
        <w:rPr>
          <w:rFonts w:hint="eastAsia" w:ascii="Times New Roman" w:hAnsi="Times New Roman" w:eastAsia="方正仿宋_GBK" w:cs="方正仿宋_GBK"/>
          <w:sz w:val="32"/>
          <w:szCs w:val="32"/>
          <w:lang w:val="en-US" w:eastAsia="zh-CN"/>
        </w:rPr>
        <w:t>2022年度支出合计2,981.27万元，较上年决算减少652.89万元，下降18%，主要原因是2021年是把图书馆、文化馆、文管所、执法支队、质量服务中心、青少年业余体校、非遗中心都纳入在一起编报预决算，按照新的相关规定2022年各委属单位分别编报了预决算。其中：基本支出622.92万元，占20.9%；项目支出2,358.35万元，占79.1%。</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4.结转结余情况。</w:t>
      </w:r>
      <w:r>
        <w:rPr>
          <w:rFonts w:hint="eastAsia" w:ascii="Times New Roman" w:hAnsi="Times New Roman" w:eastAsia="方正仿宋_GBK" w:cs="方正仿宋_GBK"/>
          <w:sz w:val="32"/>
          <w:szCs w:val="32"/>
          <w:lang w:val="en-US" w:eastAsia="zh-CN"/>
        </w:rPr>
        <w:t>2022年度年末结转和结余0.00万元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财政拨款收、支总计2,981.27万元。与2021年相比，财政拨款收、支总计各减少652.89万元，下降18%。主要原因是2021年是把图书馆、文化馆、文管所、执法支队、质量服务中心、青少年业余体校、非遗中心都纳入在一起编报预决算，按照新的相关规定2022年各委属单位分别编报了预决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1.收入情况。</w:t>
      </w:r>
      <w:r>
        <w:rPr>
          <w:rFonts w:hint="eastAsia" w:ascii="Times New Roman" w:hAnsi="Times New Roman" w:eastAsia="方正仿宋_GBK" w:cs="方正仿宋_GBK"/>
          <w:sz w:val="32"/>
          <w:szCs w:val="32"/>
          <w:lang w:val="en-US" w:eastAsia="zh-CN"/>
        </w:rPr>
        <w:t>2022年度一般公共预算财政拨款收入2,866.96万元，较上年决算数减少616.99万元，下降17.7%。主要原因是2021年是把图书馆、文化馆、文管所、执法支队、质量服务中心、青少年业余体校、非遗中心都纳入在一起编报预决算，按照新的相关规定2022年各委属单位分别编报了预决算。较年初预算数减少1,465.39万元，下降33.8%。主要原因是2021年是把图书馆、文化馆、文管所、执法支队、质量服务中心、青少年业余体校、非遗中心都纳入在一起编报预决算，按照新的相关规定2022年各委属单位分别编报了预决算。此外，年初财政拨款结转和结余0.00万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2.支出情况。</w:t>
      </w:r>
      <w:r>
        <w:rPr>
          <w:rFonts w:hint="eastAsia" w:ascii="Times New Roman" w:hAnsi="Times New Roman" w:eastAsia="方正仿宋_GBK" w:cs="方正仿宋_GBK"/>
          <w:sz w:val="32"/>
          <w:szCs w:val="32"/>
          <w:lang w:val="en-US" w:eastAsia="zh-CN"/>
        </w:rPr>
        <w:t>2022年度一般公共预算财政拨款支出2,866.96万元，较上年决算数减少656.99万元，下降18.6%。主要原因是2021年是把图书馆、文化馆、文管所、执法支队、质量服务中心、青少年业余体校、非遗中心都纳入在一起编报预决算，按照新的相关规定2022年各委属单位分别编报了预决算。较年初预算数减少1,465.39万元，下降33.8%。主要原因是2021年是把图书馆、文化馆、文管所、执法支队、质量服务中心、青少年业余体校、非遗中心都纳入在一起编报预决算，按照新的相关规定2022年各委属单位分别编报了预决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3.结转结余情况。</w:t>
      </w:r>
      <w:r>
        <w:rPr>
          <w:rFonts w:hint="eastAsia" w:ascii="Times New Roman" w:hAnsi="Times New Roman" w:eastAsia="方正仿宋_GBK" w:cs="方正仿宋_GBK"/>
          <w:sz w:val="32"/>
          <w:szCs w:val="32"/>
          <w:lang w:val="en-US" w:eastAsia="zh-CN"/>
        </w:rPr>
        <w:t>2022年度年末一般公共预算财政拨款结转和结余0.00万元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4.比较情况。</w:t>
      </w:r>
      <w:r>
        <w:rPr>
          <w:rFonts w:hint="eastAsia" w:ascii="Times New Roman" w:hAnsi="Times New Roman" w:eastAsia="方正仿宋_GBK" w:cs="方正仿宋_GBK"/>
          <w:sz w:val="32"/>
          <w:szCs w:val="32"/>
          <w:lang w:val="en-US" w:eastAsia="zh-CN"/>
        </w:rPr>
        <w:t>本单位2022年度一般公共预算财政拨款支出主要用于以下几个方面：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文化旅游体育与传媒支出2,327.39万元，占81.2%，较年初预算数减少1,879.79万元，下降44.7%，主要原因是2021年是把图书馆、文化馆、文管所、执法支队、质量服务中心、青少年业余体校、非遗中心都纳入在一起编报预决算，按照新的相关规定2022年各委属单位分别编报了预决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（2）社会保障与就业支出172.30万元，占6%，较年初预算数增加91.36万元，增长112.9%，主要原因是人员增加、工资调整标准。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（3）卫生健康支出23.50万元，占0.8%，较年初预算数减少2.25万元，下降8.7%，主要原因是年中对年初预算的二次医疗进行了追减。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（4）住房保障支出43.76万元，占1.5%，较年初预算数增加25.29万元，增长136.9%，主要原因是人员增加、工资调整标准。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一般公共预算财政拨款基本支出622.92万元。其中：人员经费520.86万元，较上年决算数减少1,990.87万元，下降79.3%，主要原因是2021年是把图书馆、文化馆、文管所、执法支队、质量服务中心、青少年业余体校、非遗中心都纳入在一起编报预决算，按照新的相关规定2022年各委属单位分别编报了预决算。人员经费用途主要包括人员经费用途主要包括基本工资、津贴补贴、奖金、社会保障缴费。公用经费102.07万元，较上年决算数减少337.55万元，下降76.8%，主要原因是2021年是把图书馆、文化馆、文管所、执法支队、质量服务中心、青少年业余体校、非遗中心都纳入在一起编报预决算，按照新的相关规定2022年各委属单位分别编报了预决算。公用经费用途主要包括办公及印刷费、邮电费、差旅费、会议费、福利费、日常维护费、公务用车运行维护费以及其他费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（五）政府性基金预算收支决算情况说明。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2022年度政府性基金预算财政拨款年初结转结余0.00万元，年末结转结余0.00万元。本年收入114.32万元，较上年决算数增加4.11万元，增长3.7%，主要原因是体彩公益金分成资金增加。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2022年度本单位无国有资本经营支出决算情况说明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三、“三公”经费情况说明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（一）“三公”经费支出总体情况说明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三公”经费支出共计6.01万元，较年初预算数增加1.01万元，增长20.2%，主要原因是市级调研活动增加。较上年支出数减少13.29万元，下降68.9%，主要原因是2021年是把图书馆、文化馆、文管所、执法支队、质量服务中心、青少年业余体校、非遗中心都纳入在一起编报预决算，按照新的相关规定2022年各委属单位分别编报了预决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（二）“三公”经费分项支出情况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2022年度本单位因公出国（境）费用0.00万元，费用支出较年初预算数增加0.00万元，增长 0%，增长0%，主要原因是2022年度本单位未发生因公出国（境）费用。较上年支出数增加0.00万元，增长0%，主要原因是2022年度本单位未发生因公出国（境）费用。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务车购置费0.00万元，主要原因是本单位2022年未发生公务车购置费支出。费用支出较年初预算数增加0.00万元，增长0%，主要原因是本单位2022年未发生公务车购置费支出。较上年支出数增加0.00万元，增长%，主要原因是本单位2022年未发生公务车购置费支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务车运行维护费3.89万元，主要用于公务车维修维护费、邮费、过路费等。费用支出较年初预算数减少0.11万元，下降2.8%，根据相关规定节约经费支出较上年支出数减少8.17万元，下降67.7%，主要原因是2021年是把图书馆、文化馆、文管所、执法支队、质量服务中心、青少年业余体校、非遗中心都纳入在一起编报预决算，按照新的相关规定2022年各委属单位分别编报了预决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务接待费2.12万元，主要用于接待市级以上部门或其他区县到我单位学习调研接待支出，接受相关部门检查指导工作发生的接待支出、招商引资接待支出。费用支出较年初预算数增加1.12万元，增长112%，主要原因是市级调研活动增加，较上年支出数减少5.13万元，下降70.8%，主要原因是2021年是把图书馆、文化馆、文管所、执法支队、质量服务中心、青少年业余体校、非遗中心都纳入在一起编报预决算，按照新的相关规定2022年各委属单位分别编报了预决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（三）“三公”经费实物量情况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本单位因公出国（境）共计0个团组，0人；公务用车购置0辆，公务车保有量为1辆；国内公务接待22批次218人，其中：国内外事接待0批次，0人；国（境）外公务接待0批次，0人。2022年本单位人均接待费97.06元，车均购置费0.00万元，车均维护费3.89万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四、其他需要说明的事项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（一）财政拨款会议费和培训费情况说明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年度会议费支出5.45万元，较上年决算数增加5.45万元，增长100%，主要原因是2021年度未发生会议费。本年度培训费支出0.50万元，较上年决算数减少9.18万元，下降94.8%，主要原因是2021年是把图书馆、文化馆、文管所、执法支队、质量服务中心、青少年业余体校、非遗中心都纳入在一起编报预决算，按照新的相关规定2022年各委属单位分别编报了预决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（二）机关运行经费支出情况说明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本单位机关运行经费支出102.07万元，主要用于开支办公费、邮电费、公务车运行维护费、差旅费、公务车燃油费、工会经费等支出。机关运行经费较上年决算数减少337.55万元，下降76.8%，主要原因是主要原因是2021年是把图书馆、文化馆、文管所、执法支队、质量服务中心、青少年业余体校、非遗中心都纳入在一起编报预决算，按照新的相关规定2022年各委属单位分别编报了预决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（三）国有资产占用情况说明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截至2022年12月31日，本单位共有车辆1辆，其中，副部（省）级及以上领导用车0辆、主要领导干部用车0辆、机要通信用车0辆、应急保障用车0辆、执法执勤用车0辆，特种专业技术用车1辆，离退休干部用车0辆，其他用车0辆，单价100万元（含）以上设备（不含车辆）0台（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（四）政府采购支出说明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本单位政府采购支出总额58.26万元，其中：政府采购货物支出58.26万元、政府采购工程支出0.00万元、政府采购服务支出0.00万元。授予中小企业合同金额16.36万元，占政府采购支出总额的28.1%，其中：授予小微企业合同金额16.36万元，占政府采购支出总额的28.1%。主要用于采购办公设备、办公耗材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五、预算绩效管理情况说明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（一）预算绩效管理工作开展情况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（二）绩效自评结果。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right="0" w:firstLine="643" w:firstLineChars="200"/>
        <w:jc w:val="left"/>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1.绩效目标自评表。</w:t>
      </w:r>
    </w:p>
    <w:tbl>
      <w:tblPr>
        <w:tblStyle w:val="11"/>
        <w:tblW w:w="50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89"/>
        <w:gridCol w:w="951"/>
        <w:gridCol w:w="914"/>
        <w:gridCol w:w="1345"/>
        <w:gridCol w:w="1017"/>
        <w:gridCol w:w="1102"/>
        <w:gridCol w:w="1260"/>
        <w:gridCol w:w="1352"/>
        <w:gridCol w:w="361"/>
        <w:gridCol w:w="1180"/>
        <w:gridCol w:w="1018"/>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198"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40"/>
                <w:szCs w:val="40"/>
              </w:rPr>
            </w:pPr>
            <w:r>
              <w:rPr>
                <w:rFonts w:hint="eastAsia" w:ascii="方正小标宋_GBK" w:hAnsi="方正小标宋_GBK" w:eastAsia="方正小标宋_GBK" w:cs="方正小标宋_GBK"/>
                <w:b w:val="0"/>
                <w:bCs w:val="0"/>
                <w:i w:val="0"/>
                <w:iCs w:val="0"/>
                <w:color w:val="000000"/>
                <w:kern w:val="0"/>
                <w:sz w:val="44"/>
                <w:szCs w:val="44"/>
              </w:rPr>
              <w:t>2022年度部门整体绩效自评表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198"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项目名称：</w:t>
            </w:r>
          </w:p>
        </w:tc>
        <w:tc>
          <w:tcPr>
            <w:tcW w:w="186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文化旅游委员会整体自评</w:t>
            </w:r>
          </w:p>
        </w:tc>
        <w:tc>
          <w:tcPr>
            <w:tcW w:w="1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项目编码：</w:t>
            </w:r>
          </w:p>
        </w:tc>
        <w:tc>
          <w:tcPr>
            <w:tcW w:w="211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50015200022P000070</w:t>
            </w:r>
          </w:p>
        </w:tc>
        <w:tc>
          <w:tcPr>
            <w:tcW w:w="12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自评总分：</w:t>
            </w:r>
          </w:p>
        </w:tc>
        <w:tc>
          <w:tcPr>
            <w:tcW w:w="1713"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9.50</w:t>
            </w:r>
          </w:p>
        </w:tc>
        <w:tc>
          <w:tcPr>
            <w:tcW w:w="11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242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项目主管部门：</w:t>
            </w:r>
          </w:p>
        </w:tc>
        <w:tc>
          <w:tcPr>
            <w:tcW w:w="1865"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339-文化旅游委员会</w:t>
            </w:r>
          </w:p>
        </w:tc>
        <w:tc>
          <w:tcPr>
            <w:tcW w:w="1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财政归口处室：</w:t>
            </w:r>
          </w:p>
        </w:tc>
        <w:tc>
          <w:tcPr>
            <w:tcW w:w="211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017-教科文科</w:t>
            </w:r>
          </w:p>
        </w:tc>
        <w:tc>
          <w:tcPr>
            <w:tcW w:w="12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部门联系人：</w:t>
            </w:r>
          </w:p>
        </w:tc>
        <w:tc>
          <w:tcPr>
            <w:tcW w:w="1713"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秦洪梅</w:t>
            </w:r>
          </w:p>
        </w:tc>
        <w:tc>
          <w:tcPr>
            <w:tcW w:w="11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联系电话：</w:t>
            </w:r>
          </w:p>
        </w:tc>
        <w:tc>
          <w:tcPr>
            <w:tcW w:w="242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44597013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198"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kern w:val="0"/>
                <w:sz w:val="28"/>
                <w:szCs w:val="28"/>
              </w:rPr>
            </w:pPr>
            <w:r>
              <w:rPr>
                <w:rFonts w:hint="eastAsia" w:ascii="微软雅黑" w:hAnsi="微软雅黑" w:eastAsia="微软雅黑" w:cs="微软雅黑"/>
                <w:b/>
                <w:bCs/>
                <w:i w:val="0"/>
                <w:iCs w:val="0"/>
                <w:color w:val="808080"/>
                <w:kern w:val="0"/>
                <w:sz w:val="28"/>
                <w:szCs w:val="2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rPr>
            </w:pPr>
          </w:p>
        </w:tc>
        <w:tc>
          <w:tcPr>
            <w:tcW w:w="225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年初预算数（万元）</w:t>
            </w:r>
          </w:p>
        </w:tc>
        <w:tc>
          <w:tcPr>
            <w:tcW w:w="211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全年（调整）预算数（万元）</w:t>
            </w:r>
          </w:p>
        </w:tc>
        <w:tc>
          <w:tcPr>
            <w:tcW w:w="261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全年执行数（万元）</w:t>
            </w:r>
          </w:p>
        </w:tc>
        <w:tc>
          <w:tcPr>
            <w:tcW w:w="1541"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执行率</w:t>
            </w:r>
          </w:p>
        </w:tc>
        <w:tc>
          <w:tcPr>
            <w:tcW w:w="10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执行率权重</w:t>
            </w:r>
          </w:p>
        </w:tc>
        <w:tc>
          <w:tcPr>
            <w:tcW w:w="14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年度总金额</w:t>
            </w:r>
          </w:p>
        </w:tc>
        <w:tc>
          <w:tcPr>
            <w:tcW w:w="225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4332.35 </w:t>
            </w:r>
          </w:p>
        </w:tc>
        <w:tc>
          <w:tcPr>
            <w:tcW w:w="211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2981.27 </w:t>
            </w:r>
          </w:p>
        </w:tc>
        <w:tc>
          <w:tcPr>
            <w:tcW w:w="261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2981.27 </w:t>
            </w:r>
          </w:p>
        </w:tc>
        <w:tc>
          <w:tcPr>
            <w:tcW w:w="1541"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0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4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其中：财政拨款</w:t>
            </w:r>
          </w:p>
        </w:tc>
        <w:tc>
          <w:tcPr>
            <w:tcW w:w="225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4332.35 </w:t>
            </w:r>
          </w:p>
        </w:tc>
        <w:tc>
          <w:tcPr>
            <w:tcW w:w="211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2981.27 </w:t>
            </w:r>
          </w:p>
        </w:tc>
        <w:tc>
          <w:tcPr>
            <w:tcW w:w="261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2981.27 </w:t>
            </w:r>
          </w:p>
        </w:tc>
        <w:tc>
          <w:tcPr>
            <w:tcW w:w="1541"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95</w:t>
            </w:r>
          </w:p>
        </w:tc>
        <w:tc>
          <w:tcPr>
            <w:tcW w:w="10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10.00</w:t>
            </w:r>
          </w:p>
        </w:tc>
        <w:tc>
          <w:tcPr>
            <w:tcW w:w="14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198"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kern w:val="0"/>
                <w:sz w:val="28"/>
                <w:szCs w:val="28"/>
              </w:rPr>
            </w:pPr>
            <w:r>
              <w:rPr>
                <w:rFonts w:hint="eastAsia" w:ascii="微软雅黑" w:hAnsi="微软雅黑" w:eastAsia="微软雅黑" w:cs="微软雅黑"/>
                <w:b/>
                <w:bCs/>
                <w:i w:val="0"/>
                <w:iCs w:val="0"/>
                <w:color w:val="808080"/>
                <w:kern w:val="0"/>
                <w:sz w:val="28"/>
                <w:szCs w:val="2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4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年初绩效目标</w:t>
            </w:r>
          </w:p>
        </w:tc>
        <w:tc>
          <w:tcPr>
            <w:tcW w:w="4731"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全年（调整）绩效目标</w:t>
            </w:r>
          </w:p>
        </w:tc>
        <w:tc>
          <w:tcPr>
            <w:tcW w:w="3968"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49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一、全区对外开放旅游景区32处。创建“国家AAAA级旅游景区”1个、“国家AAA级旅游景区”1个，目前共有国家AAAA级旅游景区4处（杨闇公故里、大佛寺景区、双江古镇、陈抟故里）。创建“全国乡村旅游重点村”1个（崇龛镇明月社区）、“市级旅游度假区”1个（太安罐坝）、“市级智慧旅游示范景区”4个、“市级乡村旅游重点村”1个（花岩镇花岩社区）、“市级乡村文化乐园”1个、文创基地1个、新增5个乡村旅游示范点，建成区级休闲农业与乡村旅游点116处  二、全区拥有国家级重点文物保护单位3处4点（大佛寺摩崖造像和崇龛千佛寺、杨氏民宅、独柏寺）、市级重点文物保护单位15处、登记不可移动文物678处、可移动文物358件（套）、馆藏文物256件（其中：4件文物藏品入选重庆市“镇馆之宝”）；市级非遗项目3类9项10个、 区级非遗8类32项35个；全国历史文化名镇1处（双江古镇）、市级历史文化名镇1处（上和镇），国家级传统村落3处（双江镇金龙村、花岩镇花岩村花岩场、古溪镇禄沟村）   建成国家一级馆2处（文化馆、图书馆），国家二级博物馆1处（杨闇公杨尚昆旧居陈列馆）；三、建成镇街文化服务中心22个、文化中心户131个、农家书屋281个。潼南全民健身中心、潼南体育场、体育馆、体育公园、6条登山步道和14个镇健身广场、20个社区健身点、225个行政村“农体工程”、22个基层体育服务站点。四、发展文化旅游体育企业5378家，其中规上企业28家，娱乐场所38家、影院4家、网吧29家；可达四星级标准酒店7家，特色乡村农家乐200余家，其中5星级农家乐1家（泰安农庄）。推出柠檬、玫瑰、桑葚、盆景蔬果等特色旅游商品300余种。 </w:t>
            </w:r>
          </w:p>
        </w:tc>
        <w:tc>
          <w:tcPr>
            <w:tcW w:w="4731" w:type="dxa"/>
            <w:gridSpan w:val="4"/>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一、全区对外开放旅游景区32处。创建“国家AAAA级旅游景区”1个、“国家AAA级旅游景区”1个，目前共有国家AAAA级旅游景区4处（杨闇公故里、大佛寺景区、双江古镇、陈抟故里）。创建“全国乡村旅游重点村”1个（崇龛镇明月社区）、“市级旅游度假区”1个（太安罐坝）、“市级智慧旅游示范景区”4个、“市级乡村旅游重点村”1个（花岩镇花岩社区）、“市级乡村文化乐园”1个、文创基地1个、新增5个乡村旅游示范点，建成区级休闲农业与乡村旅游点116处  二、全区拥有国家级重点文物保护单位3处4点（大佛寺摩崖造像和崇龛千佛寺、杨氏民宅、独柏寺）、市级重点文物保护单位15处、区级文物保护单位71处，登记不可移动文物678处、可移动文物358件（套）、馆藏文物256件（其中：4件文物藏品入选重庆市“镇馆之宝”）；市级非遗项目3类9项10个、 全国历史文化名镇1处（双江古镇）、市级历史文化名镇1处（上和镇），国家级传统村落3处（双江镇金龙村、花岩镇花岩村花岩场、古溪镇禄沟村）   建成国家一级馆2处（文化馆、图书馆），国家二级博物馆1处（杨闇公杨尚昆旧居陈列馆）；三、建成镇街文化服务中心22个、文化中心户131个、农家书屋281个。潼南全民健身中心、潼南体育场、体育馆、体育公园、6条登山步道和14个镇健身广场、20个社区健身点、225个行政村“农体工程”、22个基层体育服务站点。四、发展文化旅游体育企业5378家，其中规上企业28家，娱乐场所38家、影院4家、网吧29家；可达四星级标准酒店7家，特色乡村农家乐200余家，其中5星级农家乐1家（泰安农庄）。推出柠檬、玫瑰、桑葚、盆景蔬果等特色旅游商品300余种。 </w:t>
            </w:r>
          </w:p>
        </w:tc>
        <w:tc>
          <w:tcPr>
            <w:tcW w:w="3968" w:type="dxa"/>
            <w:gridSpan w:val="4"/>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198"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kern w:val="0"/>
                <w:sz w:val="28"/>
                <w:szCs w:val="28"/>
              </w:rPr>
            </w:pPr>
            <w:r>
              <w:rPr>
                <w:rFonts w:hint="eastAsia" w:ascii="微软雅黑" w:hAnsi="微软雅黑" w:eastAsia="微软雅黑" w:cs="微软雅黑"/>
                <w:b/>
                <w:bCs/>
                <w:i w:val="0"/>
                <w:iCs w:val="0"/>
                <w:color w:val="808080"/>
                <w:kern w:val="0"/>
                <w:sz w:val="28"/>
                <w:szCs w:val="2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指标名称</w:t>
            </w:r>
          </w:p>
        </w:tc>
        <w:tc>
          <w:tcPr>
            <w:tcW w:w="9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计量单位</w:t>
            </w:r>
          </w:p>
        </w:tc>
        <w:tc>
          <w:tcPr>
            <w:tcW w:w="9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指标性质</w:t>
            </w:r>
          </w:p>
        </w:tc>
        <w:tc>
          <w:tcPr>
            <w:tcW w:w="1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指标值</w:t>
            </w:r>
          </w:p>
        </w:tc>
        <w:tc>
          <w:tcPr>
            <w:tcW w:w="10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全年完成值</w:t>
            </w:r>
          </w:p>
        </w:tc>
        <w:tc>
          <w:tcPr>
            <w:tcW w:w="11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偏离度（%）</w:t>
            </w:r>
          </w:p>
        </w:tc>
        <w:tc>
          <w:tcPr>
            <w:tcW w:w="12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得分系数（%）</w:t>
            </w:r>
          </w:p>
        </w:tc>
        <w:tc>
          <w:tcPr>
            <w:tcW w:w="135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指标权重</w:t>
            </w:r>
          </w:p>
        </w:tc>
        <w:tc>
          <w:tcPr>
            <w:tcW w:w="3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指标得分</w:t>
            </w:r>
          </w:p>
        </w:tc>
        <w:tc>
          <w:tcPr>
            <w:tcW w:w="11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是否核心指标</w:t>
            </w:r>
          </w:p>
        </w:tc>
        <w:tc>
          <w:tcPr>
            <w:tcW w:w="10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说明</w:t>
            </w:r>
          </w:p>
        </w:tc>
        <w:tc>
          <w:tcPr>
            <w:tcW w:w="14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发展文化旅游体育企业</w:t>
            </w:r>
          </w:p>
        </w:tc>
        <w:tc>
          <w:tcPr>
            <w:tcW w:w="9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个</w:t>
            </w:r>
          </w:p>
        </w:tc>
        <w:tc>
          <w:tcPr>
            <w:tcW w:w="9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7358</w:t>
            </w:r>
          </w:p>
        </w:tc>
        <w:tc>
          <w:tcPr>
            <w:tcW w:w="10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35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5</w:t>
            </w:r>
          </w:p>
        </w:tc>
        <w:tc>
          <w:tcPr>
            <w:tcW w:w="3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0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4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国家、市级、区级文物保护</w:t>
            </w:r>
          </w:p>
        </w:tc>
        <w:tc>
          <w:tcPr>
            <w:tcW w:w="9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个</w:t>
            </w:r>
          </w:p>
        </w:tc>
        <w:tc>
          <w:tcPr>
            <w:tcW w:w="9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100</w:t>
            </w:r>
          </w:p>
        </w:tc>
        <w:tc>
          <w:tcPr>
            <w:tcW w:w="10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35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5</w:t>
            </w:r>
          </w:p>
        </w:tc>
        <w:tc>
          <w:tcPr>
            <w:tcW w:w="3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0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4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建成国家一级馆</w:t>
            </w:r>
          </w:p>
        </w:tc>
        <w:tc>
          <w:tcPr>
            <w:tcW w:w="9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个</w:t>
            </w:r>
          </w:p>
        </w:tc>
        <w:tc>
          <w:tcPr>
            <w:tcW w:w="9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w:t>
            </w:r>
          </w:p>
        </w:tc>
        <w:tc>
          <w:tcPr>
            <w:tcW w:w="10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35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5</w:t>
            </w:r>
          </w:p>
        </w:tc>
        <w:tc>
          <w:tcPr>
            <w:tcW w:w="3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0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4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建成农家书屋</w:t>
            </w:r>
          </w:p>
        </w:tc>
        <w:tc>
          <w:tcPr>
            <w:tcW w:w="9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个</w:t>
            </w:r>
          </w:p>
        </w:tc>
        <w:tc>
          <w:tcPr>
            <w:tcW w:w="9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281</w:t>
            </w:r>
          </w:p>
        </w:tc>
        <w:tc>
          <w:tcPr>
            <w:tcW w:w="10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35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5</w:t>
            </w:r>
          </w:p>
        </w:tc>
        <w:tc>
          <w:tcPr>
            <w:tcW w:w="3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0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4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实现旅游综合收入</w:t>
            </w:r>
          </w:p>
        </w:tc>
        <w:tc>
          <w:tcPr>
            <w:tcW w:w="9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亿元</w:t>
            </w:r>
          </w:p>
        </w:tc>
        <w:tc>
          <w:tcPr>
            <w:tcW w:w="9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11</w:t>
            </w:r>
          </w:p>
        </w:tc>
        <w:tc>
          <w:tcPr>
            <w:tcW w:w="10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35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5</w:t>
            </w:r>
          </w:p>
        </w:tc>
        <w:tc>
          <w:tcPr>
            <w:tcW w:w="3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0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4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潼南全民健身中心</w:t>
            </w:r>
          </w:p>
        </w:tc>
        <w:tc>
          <w:tcPr>
            <w:tcW w:w="9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个</w:t>
            </w:r>
          </w:p>
        </w:tc>
        <w:tc>
          <w:tcPr>
            <w:tcW w:w="9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34</w:t>
            </w:r>
          </w:p>
        </w:tc>
        <w:tc>
          <w:tcPr>
            <w:tcW w:w="10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35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5</w:t>
            </w:r>
          </w:p>
        </w:tc>
        <w:tc>
          <w:tcPr>
            <w:tcW w:w="3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0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4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项目支出</w:t>
            </w:r>
          </w:p>
        </w:tc>
        <w:tc>
          <w:tcPr>
            <w:tcW w:w="9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万元</w:t>
            </w:r>
          </w:p>
        </w:tc>
        <w:tc>
          <w:tcPr>
            <w:tcW w:w="9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3067</w:t>
            </w:r>
          </w:p>
        </w:tc>
        <w:tc>
          <w:tcPr>
            <w:tcW w:w="10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35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37</w:t>
            </w:r>
          </w:p>
        </w:tc>
        <w:tc>
          <w:tcPr>
            <w:tcW w:w="3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0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4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基本支出</w:t>
            </w:r>
          </w:p>
        </w:tc>
        <w:tc>
          <w:tcPr>
            <w:tcW w:w="9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万元</w:t>
            </w:r>
          </w:p>
        </w:tc>
        <w:tc>
          <w:tcPr>
            <w:tcW w:w="9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2886.44</w:t>
            </w:r>
          </w:p>
        </w:tc>
        <w:tc>
          <w:tcPr>
            <w:tcW w:w="101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35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33</w:t>
            </w:r>
          </w:p>
        </w:tc>
        <w:tc>
          <w:tcPr>
            <w:tcW w:w="3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0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4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r>
    </w:tbl>
    <w:p>
      <w:pPr>
        <w:keepNext w:val="0"/>
        <w:keepLines w:val="0"/>
        <w:widowControl/>
        <w:suppressLineNumbers w:val="0"/>
        <w:jc w:val="center"/>
        <w:textAlignment w:val="center"/>
        <w:rPr>
          <w:rFonts w:hint="eastAsia" w:ascii="方正小标宋_GBK" w:hAnsi="方正小标宋_GBK" w:eastAsia="方正小标宋_GBK" w:cs="方正小标宋_GBK"/>
          <w:b w:val="0"/>
          <w:bCs w:val="0"/>
          <w:i w:val="0"/>
          <w:iCs w:val="0"/>
          <w:color w:val="000000"/>
          <w:kern w:val="0"/>
          <w:sz w:val="44"/>
          <w:szCs w:val="44"/>
        </w:rPr>
      </w:pPr>
      <w:r>
        <w:rPr>
          <w:rFonts w:hint="eastAsia" w:ascii="方正小标宋_GBK" w:hAnsi="方正小标宋_GBK" w:eastAsia="方正小标宋_GBK" w:cs="方正小标宋_GBK"/>
          <w:b w:val="0"/>
          <w:bCs w:val="0"/>
          <w:i w:val="0"/>
          <w:iCs w:val="0"/>
          <w:color w:val="000000"/>
          <w:kern w:val="0"/>
          <w:sz w:val="44"/>
          <w:szCs w:val="44"/>
        </w:rPr>
        <w:br w:type="page"/>
      </w:r>
    </w:p>
    <w:tbl>
      <w:tblPr>
        <w:tblStyle w:val="11"/>
        <w:tblW w:w="51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30"/>
        <w:gridCol w:w="2586"/>
        <w:gridCol w:w="133"/>
        <w:gridCol w:w="487"/>
        <w:gridCol w:w="1163"/>
        <w:gridCol w:w="55"/>
        <w:gridCol w:w="936"/>
        <w:gridCol w:w="713"/>
        <w:gridCol w:w="55"/>
        <w:gridCol w:w="831"/>
        <w:gridCol w:w="55"/>
        <w:gridCol w:w="684"/>
        <w:gridCol w:w="56"/>
        <w:gridCol w:w="634"/>
        <w:gridCol w:w="55"/>
        <w:gridCol w:w="902"/>
        <w:gridCol w:w="55"/>
        <w:gridCol w:w="881"/>
        <w:gridCol w:w="55"/>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717"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40"/>
                <w:szCs w:val="40"/>
              </w:rPr>
            </w:pPr>
            <w:r>
              <w:rPr>
                <w:rFonts w:hint="eastAsia" w:ascii="方正小标宋_GBK" w:hAnsi="方正小标宋_GBK" w:eastAsia="方正小标宋_GBK" w:cs="方正小标宋_GBK"/>
                <w:b w:val="0"/>
                <w:bCs w:val="0"/>
                <w:i w:val="0"/>
                <w:iCs w:val="0"/>
                <w:color w:val="000000"/>
                <w:kern w:val="0"/>
                <w:sz w:val="44"/>
                <w:szCs w:val="44"/>
              </w:rPr>
              <w:t>2022年度二级项目绩效自评表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4717"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b/>
                <w:bCs/>
                <w:i w:val="0"/>
                <w:iCs w:val="0"/>
                <w:color w:val="DA3232"/>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项目名称：</w:t>
            </w:r>
          </w:p>
        </w:tc>
        <w:tc>
          <w:tcPr>
            <w:tcW w:w="25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国家文物保护资金</w:t>
            </w:r>
          </w:p>
        </w:tc>
        <w:tc>
          <w:tcPr>
            <w:tcW w:w="1783"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项目编码：</w:t>
            </w:r>
          </w:p>
        </w:tc>
        <w:tc>
          <w:tcPr>
            <w:tcW w:w="1704"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50015222T000002059636</w:t>
            </w:r>
          </w:p>
        </w:tc>
        <w:tc>
          <w:tcPr>
            <w:tcW w:w="88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自评总分：</w:t>
            </w:r>
          </w:p>
        </w:tc>
        <w:tc>
          <w:tcPr>
            <w:tcW w:w="1429"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10.00</w:t>
            </w:r>
          </w:p>
        </w:tc>
        <w:tc>
          <w:tcPr>
            <w:tcW w:w="95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b/>
                <w:bCs/>
                <w:i w:val="0"/>
                <w:iCs w:val="0"/>
                <w:color w:val="000000"/>
                <w:kern w:val="0"/>
                <w:sz w:val="22"/>
                <w:szCs w:val="22"/>
              </w:rPr>
            </w:pPr>
          </w:p>
        </w:tc>
        <w:tc>
          <w:tcPr>
            <w:tcW w:w="2142"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项目主管部门：</w:t>
            </w:r>
          </w:p>
        </w:tc>
        <w:tc>
          <w:tcPr>
            <w:tcW w:w="25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339-文化旅游委员会</w:t>
            </w:r>
          </w:p>
        </w:tc>
        <w:tc>
          <w:tcPr>
            <w:tcW w:w="1783"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财政归口处室：</w:t>
            </w:r>
          </w:p>
        </w:tc>
        <w:tc>
          <w:tcPr>
            <w:tcW w:w="1704"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017-教科文科</w:t>
            </w:r>
          </w:p>
        </w:tc>
        <w:tc>
          <w:tcPr>
            <w:tcW w:w="88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部门联系人：</w:t>
            </w:r>
          </w:p>
        </w:tc>
        <w:tc>
          <w:tcPr>
            <w:tcW w:w="1429"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丁军</w:t>
            </w:r>
          </w:p>
        </w:tc>
        <w:tc>
          <w:tcPr>
            <w:tcW w:w="95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联系电话：</w:t>
            </w:r>
          </w:p>
        </w:tc>
        <w:tc>
          <w:tcPr>
            <w:tcW w:w="2142"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13983267713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717"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微软雅黑" w:hAnsi="微软雅黑" w:eastAsia="微软雅黑" w:cs="微软雅黑"/>
                <w:b/>
                <w:bCs/>
                <w:i w:val="0"/>
                <w:iCs w:val="0"/>
                <w:color w:val="808080"/>
                <w:kern w:val="0"/>
                <w:sz w:val="28"/>
                <w:szCs w:val="28"/>
              </w:rPr>
            </w:pPr>
            <w:r>
              <w:rPr>
                <w:rFonts w:hint="eastAsia" w:ascii="微软雅黑" w:hAnsi="微软雅黑" w:eastAsia="微软雅黑" w:cs="微软雅黑"/>
                <w:b/>
                <w:bCs/>
                <w:i w:val="0"/>
                <w:iCs w:val="0"/>
                <w:color w:val="808080"/>
                <w:kern w:val="0"/>
                <w:sz w:val="28"/>
                <w:szCs w:val="2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9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rPr>
                <w:rFonts w:hint="eastAsia" w:ascii="宋体" w:hAnsi="宋体" w:eastAsia="宋体" w:cs="宋体"/>
                <w:i w:val="0"/>
                <w:iCs w:val="0"/>
                <w:color w:val="000000"/>
                <w:kern w:val="0"/>
                <w:sz w:val="22"/>
                <w:szCs w:val="22"/>
              </w:rPr>
            </w:pPr>
          </w:p>
        </w:tc>
        <w:tc>
          <w:tcPr>
            <w:tcW w:w="165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年初预算数</w:t>
            </w:r>
          </w:p>
        </w:tc>
        <w:tc>
          <w:tcPr>
            <w:tcW w:w="1704"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全年（调整）预算数</w:t>
            </w:r>
          </w:p>
        </w:tc>
        <w:tc>
          <w:tcPr>
            <w:tcW w:w="1625"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全年执行数</w:t>
            </w:r>
          </w:p>
        </w:tc>
        <w:tc>
          <w:tcPr>
            <w:tcW w:w="1647"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执行率</w:t>
            </w:r>
          </w:p>
        </w:tc>
        <w:tc>
          <w:tcPr>
            <w:tcW w:w="93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执行率权重</w:t>
            </w:r>
          </w:p>
        </w:tc>
        <w:tc>
          <w:tcPr>
            <w:tcW w:w="120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9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年度总金额</w:t>
            </w:r>
          </w:p>
        </w:tc>
        <w:tc>
          <w:tcPr>
            <w:tcW w:w="165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366 </w:t>
            </w:r>
          </w:p>
        </w:tc>
        <w:tc>
          <w:tcPr>
            <w:tcW w:w="1704"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107.44 </w:t>
            </w:r>
          </w:p>
        </w:tc>
        <w:tc>
          <w:tcPr>
            <w:tcW w:w="1625"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107.44</w:t>
            </w:r>
          </w:p>
        </w:tc>
        <w:tc>
          <w:tcPr>
            <w:tcW w:w="1647"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93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120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9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其中：财政拨款</w:t>
            </w:r>
          </w:p>
        </w:tc>
        <w:tc>
          <w:tcPr>
            <w:tcW w:w="165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366 </w:t>
            </w:r>
          </w:p>
        </w:tc>
        <w:tc>
          <w:tcPr>
            <w:tcW w:w="1704"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107.44 </w:t>
            </w:r>
          </w:p>
        </w:tc>
        <w:tc>
          <w:tcPr>
            <w:tcW w:w="1625"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107.44</w:t>
            </w:r>
          </w:p>
        </w:tc>
        <w:tc>
          <w:tcPr>
            <w:tcW w:w="1647"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100</w:t>
            </w:r>
          </w:p>
        </w:tc>
        <w:tc>
          <w:tcPr>
            <w:tcW w:w="93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w:t>
            </w:r>
          </w:p>
        </w:tc>
        <w:tc>
          <w:tcPr>
            <w:tcW w:w="120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717"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微软雅黑" w:hAnsi="微软雅黑" w:eastAsia="微软雅黑" w:cs="微软雅黑"/>
                <w:b/>
                <w:bCs/>
                <w:i w:val="0"/>
                <w:iCs w:val="0"/>
                <w:color w:val="808080"/>
                <w:kern w:val="0"/>
                <w:sz w:val="28"/>
                <w:szCs w:val="28"/>
              </w:rPr>
            </w:pPr>
            <w:r>
              <w:rPr>
                <w:rFonts w:hint="eastAsia" w:ascii="微软雅黑" w:hAnsi="微软雅黑" w:eastAsia="微软雅黑" w:cs="微软雅黑"/>
                <w:b/>
                <w:bCs/>
                <w:i w:val="0"/>
                <w:iCs w:val="0"/>
                <w:color w:val="808080"/>
                <w:kern w:val="0"/>
                <w:sz w:val="28"/>
                <w:szCs w:val="2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59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年初绩效目标</w:t>
            </w:r>
          </w:p>
        </w:tc>
        <w:tc>
          <w:tcPr>
            <w:tcW w:w="3329" w:type="dxa"/>
            <w:gridSpan w:val="7"/>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全年（调整）绩效目标</w:t>
            </w:r>
          </w:p>
        </w:tc>
        <w:tc>
          <w:tcPr>
            <w:tcW w:w="3789" w:type="dxa"/>
            <w:gridSpan w:val="8"/>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59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utoSpaceDE w:val="0"/>
              <w:autoSpaceDN/>
              <w:spacing w:line="300" w:lineRule="exact"/>
              <w:jc w:val="left"/>
              <w:textAlignment w:val="top"/>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1.千佛寺摩崖造像安防工程、南龛寺摩崖造像安防工程、五侗岩摩崖造像安防工程:在完善物防的基础上，构建以入侵报警子系统为系统核心，视频监控子系统等多个可独立运行的子系统为辅助功能的安全防范系统，并对这些子系统进行集成化设计，建立一个由各个子系统构成的构成的具备一级风险防范能力的安全防范系统，以便有效地预防、制止非法入侵、盗窃、抢劫、破坏等违法犯罪活动及其他破坏行为。 </w:t>
            </w:r>
          </w:p>
          <w:p>
            <w:pPr>
              <w:keepNext w:val="0"/>
              <w:keepLines w:val="0"/>
              <w:widowControl w:val="0"/>
              <w:suppressLineNumbers w:val="0"/>
              <w:autoSpaceDE w:val="0"/>
              <w:autoSpaceDN/>
              <w:spacing w:line="300" w:lineRule="exact"/>
              <w:jc w:val="left"/>
              <w:textAlignment w:val="top"/>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2.潼南大佛寺摩崖造像东西岩壁保护修复工程:将其文物保护利用，提升文物安全水平，延续石刻文物赋存寿命，传承中华优秀传统文化，促进文物事业与经济社会和和谐发展。"   </w:t>
            </w:r>
          </w:p>
        </w:tc>
        <w:tc>
          <w:tcPr>
            <w:tcW w:w="3329" w:type="dxa"/>
            <w:gridSpan w:val="7"/>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autoSpaceDE w:val="0"/>
              <w:autoSpaceDN/>
              <w:spacing w:line="300" w:lineRule="exact"/>
              <w:jc w:val="left"/>
              <w:rPr>
                <w:rFonts w:hint="eastAsia" w:ascii="宋体" w:hAnsi="宋体" w:eastAsia="宋体" w:cs="宋体"/>
                <w:i w:val="0"/>
                <w:iCs w:val="0"/>
                <w:color w:val="000000"/>
                <w:kern w:val="0"/>
                <w:sz w:val="22"/>
                <w:szCs w:val="22"/>
              </w:rPr>
            </w:pPr>
          </w:p>
        </w:tc>
        <w:tc>
          <w:tcPr>
            <w:tcW w:w="3789" w:type="dxa"/>
            <w:gridSpan w:val="8"/>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autoSpaceDE w:val="0"/>
              <w:autoSpaceDN/>
              <w:spacing w:line="300" w:lineRule="exact"/>
              <w:jc w:val="left"/>
              <w:textAlignment w:val="top"/>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4717"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微软雅黑" w:hAnsi="微软雅黑" w:eastAsia="微软雅黑" w:cs="微软雅黑"/>
                <w:b/>
                <w:bCs/>
                <w:i w:val="0"/>
                <w:iCs w:val="0"/>
                <w:color w:val="808080"/>
                <w:kern w:val="0"/>
                <w:sz w:val="28"/>
                <w:szCs w:val="28"/>
              </w:rPr>
            </w:pPr>
            <w:r>
              <w:rPr>
                <w:rFonts w:hint="eastAsia" w:ascii="微软雅黑" w:hAnsi="微软雅黑" w:eastAsia="微软雅黑" w:cs="微软雅黑"/>
                <w:b/>
                <w:bCs/>
                <w:i w:val="0"/>
                <w:iCs w:val="0"/>
                <w:color w:val="808080"/>
                <w:kern w:val="0"/>
                <w:sz w:val="28"/>
                <w:szCs w:val="2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指标名称</w:t>
            </w:r>
          </w:p>
        </w:tc>
        <w:tc>
          <w:tcPr>
            <w:tcW w:w="271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计量单位</w:t>
            </w:r>
          </w:p>
        </w:tc>
        <w:tc>
          <w:tcPr>
            <w:tcW w:w="48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指标性质</w:t>
            </w:r>
          </w:p>
        </w:tc>
        <w:tc>
          <w:tcPr>
            <w:tcW w:w="1218"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指标值</w:t>
            </w:r>
          </w:p>
        </w:tc>
        <w:tc>
          <w:tcPr>
            <w:tcW w:w="93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全年完成值</w:t>
            </w:r>
          </w:p>
        </w:tc>
        <w:tc>
          <w:tcPr>
            <w:tcW w:w="768"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偏离度（%）</w:t>
            </w:r>
          </w:p>
        </w:tc>
        <w:tc>
          <w:tcPr>
            <w:tcW w:w="88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得分系数（%）</w:t>
            </w:r>
          </w:p>
        </w:tc>
        <w:tc>
          <w:tcPr>
            <w:tcW w:w="74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指标权重</w:t>
            </w:r>
          </w:p>
        </w:tc>
        <w:tc>
          <w:tcPr>
            <w:tcW w:w="68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指标得分</w:t>
            </w:r>
          </w:p>
        </w:tc>
        <w:tc>
          <w:tcPr>
            <w:tcW w:w="95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是否核心指标</w:t>
            </w:r>
          </w:p>
        </w:tc>
        <w:tc>
          <w:tcPr>
            <w:tcW w:w="93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说明</w:t>
            </w:r>
          </w:p>
        </w:tc>
        <w:tc>
          <w:tcPr>
            <w:tcW w:w="11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"1.完成千佛寺摩崖造像、南龛寺摩崖造像、五侗岩摩崖造像这3处文保单位的建控地带的监控。 2.完成潼南大佛寺东、西岩摩崖保护前期勘察研究，查明大佛寺崖体的地质结构，岩性参数和水文特征编制出科学治理东西岩长1000米范围内及东岩造像25龛160尊、西岩100龛746尊及题刻、仙女洞和读书台的保护方案。</w:t>
            </w:r>
          </w:p>
        </w:tc>
        <w:tc>
          <w:tcPr>
            <w:tcW w:w="271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座</w:t>
            </w:r>
          </w:p>
        </w:tc>
        <w:tc>
          <w:tcPr>
            <w:tcW w:w="48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218"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90</w:t>
            </w:r>
          </w:p>
        </w:tc>
        <w:tc>
          <w:tcPr>
            <w:tcW w:w="93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768"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88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74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w:t>
            </w:r>
          </w:p>
        </w:tc>
        <w:tc>
          <w:tcPr>
            <w:tcW w:w="68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95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rPr>
                <w:rFonts w:hint="eastAsia" w:ascii="宋体" w:hAnsi="宋体" w:eastAsia="宋体" w:cs="宋体"/>
                <w:i w:val="0"/>
                <w:iCs w:val="0"/>
                <w:color w:val="000000"/>
                <w:kern w:val="0"/>
                <w:sz w:val="22"/>
                <w:szCs w:val="22"/>
              </w:rPr>
            </w:pPr>
          </w:p>
        </w:tc>
        <w:tc>
          <w:tcPr>
            <w:tcW w:w="93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1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"1.实现防盗、防抢、防破坏、电视监控、录像、自动求助等多种功能。 2.排除安全隐患，起到有效治理石质文物水害的效果，达到文物保护工程质量要求。"</w:t>
            </w:r>
          </w:p>
        </w:tc>
        <w:tc>
          <w:tcPr>
            <w:tcW w:w="271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座</w:t>
            </w:r>
          </w:p>
        </w:tc>
        <w:tc>
          <w:tcPr>
            <w:tcW w:w="48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218"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90</w:t>
            </w:r>
          </w:p>
        </w:tc>
        <w:tc>
          <w:tcPr>
            <w:tcW w:w="93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768"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88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74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w:t>
            </w:r>
          </w:p>
        </w:tc>
        <w:tc>
          <w:tcPr>
            <w:tcW w:w="68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95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rPr>
                <w:rFonts w:hint="eastAsia" w:ascii="宋体" w:hAnsi="宋体" w:eastAsia="宋体" w:cs="宋体"/>
                <w:i w:val="0"/>
                <w:iCs w:val="0"/>
                <w:color w:val="000000"/>
                <w:kern w:val="0"/>
                <w:sz w:val="22"/>
                <w:szCs w:val="22"/>
              </w:rPr>
            </w:pPr>
          </w:p>
        </w:tc>
        <w:tc>
          <w:tcPr>
            <w:tcW w:w="93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1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项目按预定进度完成，按时完工</w:t>
            </w:r>
          </w:p>
        </w:tc>
        <w:tc>
          <w:tcPr>
            <w:tcW w:w="271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座</w:t>
            </w:r>
          </w:p>
        </w:tc>
        <w:tc>
          <w:tcPr>
            <w:tcW w:w="48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218"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90</w:t>
            </w:r>
          </w:p>
        </w:tc>
        <w:tc>
          <w:tcPr>
            <w:tcW w:w="93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768"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88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74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w:t>
            </w:r>
          </w:p>
        </w:tc>
        <w:tc>
          <w:tcPr>
            <w:tcW w:w="68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95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rPr>
                <w:rFonts w:hint="eastAsia" w:ascii="宋体" w:hAnsi="宋体" w:eastAsia="宋体" w:cs="宋体"/>
                <w:i w:val="0"/>
                <w:iCs w:val="0"/>
                <w:color w:val="000000"/>
                <w:kern w:val="0"/>
                <w:sz w:val="22"/>
                <w:szCs w:val="22"/>
              </w:rPr>
            </w:pPr>
          </w:p>
        </w:tc>
        <w:tc>
          <w:tcPr>
            <w:tcW w:w="93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1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在保证工程质量的基础上，本着科学、合理、节俭的原则使用经费，将工程造价控制在预算内</w:t>
            </w:r>
          </w:p>
        </w:tc>
        <w:tc>
          <w:tcPr>
            <w:tcW w:w="271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座</w:t>
            </w:r>
          </w:p>
        </w:tc>
        <w:tc>
          <w:tcPr>
            <w:tcW w:w="48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218"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90</w:t>
            </w:r>
          </w:p>
        </w:tc>
        <w:tc>
          <w:tcPr>
            <w:tcW w:w="93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768"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88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74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w:t>
            </w:r>
          </w:p>
        </w:tc>
        <w:tc>
          <w:tcPr>
            <w:tcW w:w="68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95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rPr>
                <w:rFonts w:hint="eastAsia" w:ascii="宋体" w:hAnsi="宋体" w:eastAsia="宋体" w:cs="宋体"/>
                <w:i w:val="0"/>
                <w:iCs w:val="0"/>
                <w:color w:val="000000"/>
                <w:kern w:val="0"/>
                <w:sz w:val="22"/>
                <w:szCs w:val="22"/>
              </w:rPr>
            </w:pPr>
          </w:p>
        </w:tc>
        <w:tc>
          <w:tcPr>
            <w:tcW w:w="93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1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"1.保障安全防范系统正常运行，提高千佛寺、南龛寺、五侗岩摩崖造像的安全性，以便更好地对外开放，全面提升这三处摩崖造像的公共服务能力。 2.提升文物保护利用建设水平，发挥文物保护的社会教育功能，达到经济效应。提升文化遗产保护知名度。改善周边环境。"</w:t>
            </w:r>
          </w:p>
        </w:tc>
        <w:tc>
          <w:tcPr>
            <w:tcW w:w="271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座</w:t>
            </w:r>
          </w:p>
        </w:tc>
        <w:tc>
          <w:tcPr>
            <w:tcW w:w="48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218"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90</w:t>
            </w:r>
          </w:p>
        </w:tc>
        <w:tc>
          <w:tcPr>
            <w:tcW w:w="93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768"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88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74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w:t>
            </w:r>
          </w:p>
        </w:tc>
        <w:tc>
          <w:tcPr>
            <w:tcW w:w="68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95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rPr>
                <w:rFonts w:hint="eastAsia" w:ascii="宋体" w:hAnsi="宋体" w:eastAsia="宋体" w:cs="宋体"/>
                <w:i w:val="0"/>
                <w:iCs w:val="0"/>
                <w:color w:val="000000"/>
                <w:kern w:val="0"/>
                <w:sz w:val="22"/>
                <w:szCs w:val="22"/>
              </w:rPr>
            </w:pPr>
          </w:p>
        </w:tc>
        <w:tc>
          <w:tcPr>
            <w:tcW w:w="93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1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保障大佛寺、千佛寺、南龛寺、五侗岩摩崖造像的安全，改善参观环境，满足观众的参观需求。</w:t>
            </w:r>
          </w:p>
        </w:tc>
        <w:tc>
          <w:tcPr>
            <w:tcW w:w="271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人/户</w:t>
            </w:r>
          </w:p>
        </w:tc>
        <w:tc>
          <w:tcPr>
            <w:tcW w:w="48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218"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90</w:t>
            </w:r>
          </w:p>
        </w:tc>
        <w:tc>
          <w:tcPr>
            <w:tcW w:w="93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768"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88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74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w:t>
            </w:r>
          </w:p>
        </w:tc>
        <w:tc>
          <w:tcPr>
            <w:tcW w:w="68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right"/>
              <w:rPr>
                <w:rFonts w:hint="eastAsia" w:ascii="宋体" w:hAnsi="宋体" w:eastAsia="宋体" w:cs="宋体"/>
                <w:i w:val="0"/>
                <w:iCs w:val="0"/>
                <w:color w:val="000000"/>
                <w:kern w:val="0"/>
                <w:sz w:val="22"/>
                <w:szCs w:val="22"/>
              </w:rPr>
            </w:pPr>
          </w:p>
        </w:tc>
        <w:tc>
          <w:tcPr>
            <w:tcW w:w="95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rPr>
                <w:rFonts w:hint="eastAsia" w:ascii="宋体" w:hAnsi="宋体" w:eastAsia="宋体" w:cs="宋体"/>
                <w:i w:val="0"/>
                <w:iCs w:val="0"/>
                <w:color w:val="000000"/>
                <w:kern w:val="0"/>
                <w:sz w:val="22"/>
                <w:szCs w:val="22"/>
              </w:rPr>
            </w:pPr>
          </w:p>
        </w:tc>
        <w:tc>
          <w:tcPr>
            <w:tcW w:w="93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1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utoSpaceDE w:val="0"/>
              <w:autoSpaceDN/>
              <w:spacing w:line="300" w:lineRule="exact"/>
              <w:jc w:val="left"/>
              <w:rPr>
                <w:rFonts w:hint="eastAsia" w:ascii="宋体" w:hAnsi="宋体" w:eastAsia="宋体" w:cs="宋体"/>
                <w:i w:val="0"/>
                <w:iCs w:val="0"/>
                <w:color w:val="000000"/>
                <w:kern w:val="0"/>
                <w:sz w:val="22"/>
                <w:szCs w:val="22"/>
              </w:rPr>
            </w:pPr>
          </w:p>
        </w:tc>
      </w:tr>
    </w:tbl>
    <w:p>
      <w:pPr>
        <w:keepNext w:val="0"/>
        <w:keepLines w:val="0"/>
        <w:widowControl/>
        <w:suppressLineNumbers w:val="0"/>
        <w:jc w:val="center"/>
        <w:textAlignment w:val="center"/>
        <w:rPr>
          <w:rFonts w:hint="eastAsia" w:ascii="方正小标宋_GBK" w:hAnsi="方正小标宋_GBK" w:eastAsia="方正小标宋_GBK" w:cs="方正小标宋_GBK"/>
          <w:b w:val="0"/>
          <w:bCs w:val="0"/>
          <w:i w:val="0"/>
          <w:iCs w:val="0"/>
          <w:color w:val="000000"/>
          <w:kern w:val="0"/>
          <w:sz w:val="44"/>
          <w:szCs w:val="44"/>
        </w:rPr>
      </w:pPr>
      <w:r>
        <w:rPr>
          <w:rFonts w:hint="eastAsia" w:ascii="方正小标宋_GBK" w:hAnsi="方正小标宋_GBK" w:eastAsia="方正小标宋_GBK" w:cs="方正小标宋_GBK"/>
          <w:b w:val="0"/>
          <w:bCs w:val="0"/>
          <w:i w:val="0"/>
          <w:iCs w:val="0"/>
          <w:color w:val="000000"/>
          <w:kern w:val="0"/>
          <w:sz w:val="44"/>
          <w:szCs w:val="44"/>
        </w:rPr>
        <w:br w:type="page"/>
      </w:r>
    </w:p>
    <w:tbl>
      <w:tblPr>
        <w:tblStyle w:val="11"/>
        <w:tblW w:w="492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41"/>
        <w:gridCol w:w="838"/>
        <w:gridCol w:w="834"/>
        <w:gridCol w:w="1189"/>
        <w:gridCol w:w="910"/>
        <w:gridCol w:w="980"/>
        <w:gridCol w:w="1121"/>
        <w:gridCol w:w="770"/>
        <w:gridCol w:w="771"/>
        <w:gridCol w:w="1051"/>
        <w:gridCol w:w="910"/>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396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40"/>
                <w:szCs w:val="40"/>
              </w:rPr>
            </w:pPr>
            <w:r>
              <w:rPr>
                <w:rFonts w:hint="eastAsia" w:ascii="方正小标宋_GBK" w:hAnsi="方正小标宋_GBK" w:eastAsia="方正小标宋_GBK" w:cs="方正小标宋_GBK"/>
                <w:b w:val="0"/>
                <w:bCs w:val="0"/>
                <w:i w:val="0"/>
                <w:iCs w:val="0"/>
                <w:color w:val="000000"/>
                <w:kern w:val="0"/>
                <w:sz w:val="44"/>
                <w:szCs w:val="44"/>
              </w:rPr>
              <w:t>2022年度二级项目绩效自评表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396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项目名称：</w:t>
            </w:r>
          </w:p>
        </w:tc>
        <w:tc>
          <w:tcPr>
            <w:tcW w:w="167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旅游宣传</w:t>
            </w:r>
          </w:p>
        </w:tc>
        <w:tc>
          <w:tcPr>
            <w:tcW w:w="118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项目编码：</w:t>
            </w:r>
          </w:p>
        </w:tc>
        <w:tc>
          <w:tcPr>
            <w:tcW w:w="189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50015222T000000134238</w:t>
            </w:r>
          </w:p>
        </w:tc>
        <w:tc>
          <w:tcPr>
            <w:tcW w:w="112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自评总分：</w:t>
            </w:r>
          </w:p>
        </w:tc>
        <w:tc>
          <w:tcPr>
            <w:tcW w:w="1541"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10.00</w:t>
            </w: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961"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项目主管部门：</w:t>
            </w:r>
          </w:p>
        </w:tc>
        <w:tc>
          <w:tcPr>
            <w:tcW w:w="167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339-文化旅游委员会</w:t>
            </w:r>
          </w:p>
        </w:tc>
        <w:tc>
          <w:tcPr>
            <w:tcW w:w="118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财政归口处室：</w:t>
            </w:r>
          </w:p>
        </w:tc>
        <w:tc>
          <w:tcPr>
            <w:tcW w:w="189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017-教科文科</w:t>
            </w:r>
          </w:p>
        </w:tc>
        <w:tc>
          <w:tcPr>
            <w:tcW w:w="112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部门联系人：</w:t>
            </w:r>
          </w:p>
        </w:tc>
        <w:tc>
          <w:tcPr>
            <w:tcW w:w="1541"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秦洪梅</w:t>
            </w: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联系电话：</w:t>
            </w:r>
          </w:p>
        </w:tc>
        <w:tc>
          <w:tcPr>
            <w:tcW w:w="1961"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44597008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96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kern w:val="0"/>
                <w:sz w:val="28"/>
                <w:szCs w:val="28"/>
              </w:rPr>
            </w:pPr>
            <w:r>
              <w:rPr>
                <w:rFonts w:hint="eastAsia" w:ascii="微软雅黑" w:hAnsi="微软雅黑" w:eastAsia="微软雅黑" w:cs="微软雅黑"/>
                <w:b/>
                <w:bCs/>
                <w:i w:val="0"/>
                <w:iCs w:val="0"/>
                <w:color w:val="808080"/>
                <w:kern w:val="0"/>
                <w:sz w:val="28"/>
                <w:szCs w:val="2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rPr>
            </w:pPr>
          </w:p>
        </w:tc>
        <w:tc>
          <w:tcPr>
            <w:tcW w:w="2023"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年初预算数</w:t>
            </w:r>
          </w:p>
        </w:tc>
        <w:tc>
          <w:tcPr>
            <w:tcW w:w="189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全年（调整）预算数</w:t>
            </w:r>
          </w:p>
        </w:tc>
        <w:tc>
          <w:tcPr>
            <w:tcW w:w="1891"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全年执行数</w:t>
            </w:r>
          </w:p>
        </w:tc>
        <w:tc>
          <w:tcPr>
            <w:tcW w:w="18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执行率</w:t>
            </w: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执行率权重</w:t>
            </w: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年度总金额</w:t>
            </w:r>
          </w:p>
        </w:tc>
        <w:tc>
          <w:tcPr>
            <w:tcW w:w="2023"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400 </w:t>
            </w:r>
          </w:p>
        </w:tc>
        <w:tc>
          <w:tcPr>
            <w:tcW w:w="189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314.96 </w:t>
            </w:r>
          </w:p>
        </w:tc>
        <w:tc>
          <w:tcPr>
            <w:tcW w:w="1891"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314.96 </w:t>
            </w:r>
          </w:p>
        </w:tc>
        <w:tc>
          <w:tcPr>
            <w:tcW w:w="18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其中：财政拨款</w:t>
            </w:r>
          </w:p>
        </w:tc>
        <w:tc>
          <w:tcPr>
            <w:tcW w:w="2023"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400 </w:t>
            </w:r>
          </w:p>
        </w:tc>
        <w:tc>
          <w:tcPr>
            <w:tcW w:w="189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314.96</w:t>
            </w:r>
          </w:p>
        </w:tc>
        <w:tc>
          <w:tcPr>
            <w:tcW w:w="1891"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314.96</w:t>
            </w:r>
          </w:p>
        </w:tc>
        <w:tc>
          <w:tcPr>
            <w:tcW w:w="18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100</w:t>
            </w: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10.00</w:t>
            </w: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96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kern w:val="0"/>
                <w:sz w:val="28"/>
                <w:szCs w:val="28"/>
              </w:rPr>
            </w:pPr>
            <w:r>
              <w:rPr>
                <w:rFonts w:hint="eastAsia" w:ascii="微软雅黑" w:hAnsi="微软雅黑" w:eastAsia="微软雅黑" w:cs="微软雅黑"/>
                <w:b/>
                <w:bCs/>
                <w:i w:val="0"/>
                <w:iCs w:val="0"/>
                <w:color w:val="808080"/>
                <w:kern w:val="0"/>
                <w:sz w:val="28"/>
                <w:szCs w:val="2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0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年初绩效目标</w:t>
            </w:r>
          </w:p>
        </w:tc>
        <w:tc>
          <w:tcPr>
            <w:tcW w:w="3781"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全年（调整）绩效目标</w:t>
            </w:r>
          </w:p>
        </w:tc>
        <w:tc>
          <w:tcPr>
            <w:tcW w:w="3783"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640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完成年度文化旅游宣传任务，积极指导举办“花漾潼南”“水韵潼南”“田园潼南”“乡愁潼南”四大系列节会活动，以活动聚人气，促进文旅消费，推出旅游精品线路，吸引游客来潼旅游，不断提高潼南文化旅游品牌形象和知名度，实现年接待游客1100万人次，旅游综合收入70亿元。</w:t>
            </w:r>
          </w:p>
        </w:tc>
        <w:tc>
          <w:tcPr>
            <w:tcW w:w="3781" w:type="dxa"/>
            <w:gridSpan w:val="4"/>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3783" w:type="dxa"/>
            <w:gridSpan w:val="4"/>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已完成全年工资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96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kern w:val="0"/>
                <w:sz w:val="28"/>
                <w:szCs w:val="28"/>
              </w:rPr>
            </w:pPr>
            <w:r>
              <w:rPr>
                <w:rFonts w:hint="eastAsia" w:ascii="微软雅黑" w:hAnsi="微软雅黑" w:eastAsia="微软雅黑" w:cs="微软雅黑"/>
                <w:b/>
                <w:bCs/>
                <w:i w:val="0"/>
                <w:iCs w:val="0"/>
                <w:color w:val="808080"/>
                <w:kern w:val="0"/>
                <w:sz w:val="28"/>
                <w:szCs w:val="2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指标名称</w:t>
            </w:r>
          </w:p>
        </w:tc>
        <w:tc>
          <w:tcPr>
            <w:tcW w:w="83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计量单位</w:t>
            </w:r>
          </w:p>
        </w:tc>
        <w:tc>
          <w:tcPr>
            <w:tcW w:w="83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指标性质</w:t>
            </w:r>
          </w:p>
        </w:tc>
        <w:tc>
          <w:tcPr>
            <w:tcW w:w="118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指标值</w:t>
            </w: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全年完成值</w:t>
            </w:r>
          </w:p>
        </w:tc>
        <w:tc>
          <w:tcPr>
            <w:tcW w:w="9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偏离度（%）</w:t>
            </w:r>
          </w:p>
        </w:tc>
        <w:tc>
          <w:tcPr>
            <w:tcW w:w="112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得分系数（%）</w:t>
            </w:r>
          </w:p>
        </w:tc>
        <w:tc>
          <w:tcPr>
            <w:tcW w:w="77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指标权重</w:t>
            </w:r>
          </w:p>
        </w:tc>
        <w:tc>
          <w:tcPr>
            <w:tcW w:w="7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指标得分</w:t>
            </w: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是否核心指标</w:t>
            </w: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说明</w:t>
            </w: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实现旅游接待人次1100万，旅游综合收入70亿元</w:t>
            </w:r>
          </w:p>
        </w:tc>
        <w:tc>
          <w:tcPr>
            <w:tcW w:w="83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万户</w:t>
            </w:r>
          </w:p>
        </w:tc>
        <w:tc>
          <w:tcPr>
            <w:tcW w:w="83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18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1100</w:t>
            </w: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9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2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77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w:t>
            </w:r>
          </w:p>
        </w:tc>
        <w:tc>
          <w:tcPr>
            <w:tcW w:w="7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打造精品线路，提高文化旅游知名度和品牌影响力，</w:t>
            </w:r>
          </w:p>
        </w:tc>
        <w:tc>
          <w:tcPr>
            <w:tcW w:w="83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项</w:t>
            </w:r>
          </w:p>
        </w:tc>
        <w:tc>
          <w:tcPr>
            <w:tcW w:w="83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18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90</w:t>
            </w: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9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2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77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15</w:t>
            </w:r>
          </w:p>
        </w:tc>
        <w:tc>
          <w:tcPr>
            <w:tcW w:w="7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2022年1月—2022年12月</w:t>
            </w:r>
          </w:p>
        </w:tc>
        <w:tc>
          <w:tcPr>
            <w:tcW w:w="83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项</w:t>
            </w:r>
          </w:p>
        </w:tc>
        <w:tc>
          <w:tcPr>
            <w:tcW w:w="83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18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90</w:t>
            </w: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9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2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77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15</w:t>
            </w:r>
          </w:p>
        </w:tc>
        <w:tc>
          <w:tcPr>
            <w:tcW w:w="7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促进潼南经济发展，带动就业，提高人民生活水平</w:t>
            </w:r>
          </w:p>
        </w:tc>
        <w:tc>
          <w:tcPr>
            <w:tcW w:w="83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项</w:t>
            </w:r>
          </w:p>
        </w:tc>
        <w:tc>
          <w:tcPr>
            <w:tcW w:w="83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18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90</w:t>
            </w: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9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2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77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15</w:t>
            </w:r>
          </w:p>
        </w:tc>
        <w:tc>
          <w:tcPr>
            <w:tcW w:w="7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逐步提高潼南旅游综合收入和人民生活水平</w:t>
            </w:r>
          </w:p>
        </w:tc>
        <w:tc>
          <w:tcPr>
            <w:tcW w:w="83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项</w:t>
            </w:r>
          </w:p>
        </w:tc>
        <w:tc>
          <w:tcPr>
            <w:tcW w:w="83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18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90</w:t>
            </w: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9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2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77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15</w:t>
            </w:r>
          </w:p>
        </w:tc>
        <w:tc>
          <w:tcPr>
            <w:tcW w:w="7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社会公众和服务对象满意度达到90%以上</w:t>
            </w:r>
          </w:p>
        </w:tc>
        <w:tc>
          <w:tcPr>
            <w:tcW w:w="83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项</w:t>
            </w:r>
          </w:p>
        </w:tc>
        <w:tc>
          <w:tcPr>
            <w:tcW w:w="83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18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90</w:t>
            </w: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9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12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77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w:t>
            </w:r>
          </w:p>
        </w:tc>
        <w:tc>
          <w:tcPr>
            <w:tcW w:w="7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0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2、绩效自评报告或案例。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3.关于绩效自评结果的说明。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本单位对整体绩效和项目以填报目标自评表形式开展了自评，从评价情况来看，均是按照绩效目标开展，并完成了年度绩效目标，自评结果均属优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六、专业名词解释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（一）财政拨款收入：</w:t>
      </w:r>
      <w:r>
        <w:rPr>
          <w:rFonts w:hint="eastAsia" w:ascii="Times New Roman" w:hAnsi="Times New Roman" w:eastAsia="方正仿宋_GBK" w:cs="方正仿宋_GBK"/>
          <w:sz w:val="32"/>
          <w:szCs w:val="32"/>
          <w:lang w:val="en-US" w:eastAsia="zh-CN"/>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（二）事业收入：</w:t>
      </w:r>
      <w:r>
        <w:rPr>
          <w:rFonts w:hint="eastAsia" w:ascii="Times New Roman" w:hAnsi="Times New Roman" w:eastAsia="方正仿宋_GBK" w:cs="方正仿宋_GBK"/>
          <w:sz w:val="32"/>
          <w:szCs w:val="32"/>
          <w:lang w:val="en-US" w:eastAsia="zh-CN"/>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（三）经营收入：</w:t>
      </w:r>
      <w:r>
        <w:rPr>
          <w:rFonts w:hint="eastAsia" w:ascii="Times New Roman" w:hAnsi="Times New Roman" w:eastAsia="方正仿宋_GBK" w:cs="方正仿宋_GBK"/>
          <w:sz w:val="32"/>
          <w:szCs w:val="32"/>
          <w:lang w:val="en-US" w:eastAsia="zh-CN"/>
        </w:rPr>
        <w:t>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（四）其他收入：</w:t>
      </w:r>
      <w:r>
        <w:rPr>
          <w:rFonts w:hint="eastAsia" w:ascii="Times New Roman" w:hAnsi="Times New Roman" w:eastAsia="方正仿宋_GBK" w:cs="方正仿宋_GBK"/>
          <w:sz w:val="32"/>
          <w:szCs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（五）使用非财政拨款结余：</w:t>
      </w:r>
      <w:r>
        <w:rPr>
          <w:rFonts w:hint="eastAsia" w:ascii="Times New Roman" w:hAnsi="Times New Roman" w:eastAsia="方正仿宋_GBK" w:cs="方正仿宋_GBK"/>
          <w:sz w:val="32"/>
          <w:szCs w:val="32"/>
          <w:lang w:val="en-US" w:eastAsia="zh-CN"/>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（六）年初结转和结余：</w:t>
      </w:r>
      <w:r>
        <w:rPr>
          <w:rFonts w:hint="eastAsia" w:ascii="Times New Roman" w:hAnsi="Times New Roman" w:eastAsia="方正仿宋_GBK" w:cs="方正仿宋_GBK"/>
          <w:sz w:val="32"/>
          <w:szCs w:val="32"/>
          <w:lang w:val="en-US" w:eastAsia="zh-CN"/>
        </w:rPr>
        <w:t>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（七）结余分配：</w:t>
      </w:r>
      <w:r>
        <w:rPr>
          <w:rFonts w:hint="eastAsia" w:ascii="Times New Roman" w:hAnsi="Times New Roman" w:eastAsia="方正仿宋_GBK" w:cs="方正仿宋_GBK"/>
          <w:sz w:val="32"/>
          <w:szCs w:val="32"/>
          <w:lang w:val="en-US" w:eastAsia="zh-CN"/>
        </w:rPr>
        <w:t>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（八）年末结转和结余：</w:t>
      </w:r>
      <w:r>
        <w:rPr>
          <w:rFonts w:hint="eastAsia" w:ascii="Times New Roman" w:hAnsi="Times New Roman" w:eastAsia="方正仿宋_GBK" w:cs="方正仿宋_GBK"/>
          <w:sz w:val="32"/>
          <w:szCs w:val="32"/>
          <w:lang w:val="en-US" w:eastAsia="zh-CN"/>
        </w:rPr>
        <w:t>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（九）基本支出：</w:t>
      </w:r>
      <w:r>
        <w:rPr>
          <w:rFonts w:hint="eastAsia" w:ascii="Times New Roman" w:hAnsi="Times New Roman" w:eastAsia="方正仿宋_GBK" w:cs="方正仿宋_GBK"/>
          <w:sz w:val="32"/>
          <w:szCs w:val="3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（十）项目支出：</w:t>
      </w:r>
      <w:r>
        <w:rPr>
          <w:rFonts w:hint="eastAsia" w:ascii="Times New Roman" w:hAnsi="Times New Roman" w:eastAsia="方正仿宋_GBK" w:cs="方正仿宋_GBK"/>
          <w:sz w:val="32"/>
          <w:szCs w:val="32"/>
          <w:lang w:val="en-US" w:eastAsia="zh-CN"/>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（十一）经营支出：</w:t>
      </w:r>
      <w:r>
        <w:rPr>
          <w:rFonts w:hint="eastAsia" w:ascii="Times New Roman" w:hAnsi="Times New Roman" w:eastAsia="方正仿宋_GBK" w:cs="方正仿宋_GBK"/>
          <w:sz w:val="32"/>
          <w:szCs w:val="32"/>
          <w:lang w:val="en-US" w:eastAsia="zh-CN"/>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（十二）“三公”经费：</w:t>
      </w:r>
      <w:r>
        <w:rPr>
          <w:rFonts w:hint="eastAsia" w:ascii="Times New Roman" w:hAnsi="Times New Roman" w:eastAsia="方正仿宋_GBK" w:cs="方正仿宋_GBK"/>
          <w:sz w:val="32"/>
          <w:szCs w:val="3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（十三）机关运行经费：</w:t>
      </w:r>
      <w:r>
        <w:rPr>
          <w:rFonts w:hint="eastAsia" w:ascii="Times New Roman" w:hAnsi="Times New Roman" w:eastAsia="方正仿宋_GBK" w:cs="方正仿宋_GBK"/>
          <w:sz w:val="32"/>
          <w:szCs w:val="32"/>
          <w:lang w:val="en-US" w:eastAsia="zh-CN"/>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（十四）工资福利支出（支出经济分类科目类级）：</w:t>
      </w:r>
      <w:r>
        <w:rPr>
          <w:rFonts w:hint="eastAsia" w:ascii="Times New Roman" w:hAnsi="Times New Roman" w:eastAsia="方正仿宋_GBK" w:cs="方正仿宋_GBK"/>
          <w:sz w:val="32"/>
          <w:szCs w:val="32"/>
          <w:lang w:val="en-US" w:eastAsia="zh-CN"/>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（十五）商品和服务支出（支出经济分类科目类级）：</w:t>
      </w:r>
      <w:r>
        <w:rPr>
          <w:rFonts w:hint="eastAsia" w:ascii="Times New Roman" w:hAnsi="Times New Roman" w:eastAsia="方正仿宋_GBK" w:cs="方正仿宋_GBK"/>
          <w:sz w:val="32"/>
          <w:szCs w:val="32"/>
          <w:lang w:val="en-US" w:eastAsia="zh-CN"/>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（十六）对个人和家庭的补助（支出经济分类科目类级）：</w:t>
      </w:r>
      <w:r>
        <w:rPr>
          <w:rFonts w:hint="eastAsia" w:ascii="Times New Roman" w:hAnsi="Times New Roman" w:eastAsia="方正仿宋_GBK" w:cs="方正仿宋_GBK"/>
          <w:sz w:val="32"/>
          <w:szCs w:val="32"/>
          <w:lang w:val="en-US" w:eastAsia="zh-CN"/>
        </w:rPr>
        <w:t>反映用于对个人和家庭的补助支出。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（十七）其他资本性支出（支出经济分类科目类级）：</w:t>
      </w:r>
      <w:r>
        <w:rPr>
          <w:rFonts w:hint="eastAsia" w:ascii="Times New Roman" w:hAnsi="Times New Roman" w:eastAsia="方正仿宋_GBK" w:cs="方正仿宋_GBK"/>
          <w:sz w:val="32"/>
          <w:szCs w:val="32"/>
          <w:lang w:val="en-US" w:eastAsia="zh-CN"/>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七、决算公开联系方式及信息反馈渠道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本单位决算公开信息反馈和联系方式： 邓胜兰            电话：</w:t>
      </w:r>
      <w:r>
        <w:rPr>
          <w:rFonts w:hint="default" w:ascii="Times New Roman" w:hAnsi="Times New Roman" w:eastAsia="方正仿宋_GBK" w:cs="方正仿宋_GBK"/>
          <w:sz w:val="32"/>
          <w:szCs w:val="32"/>
          <w:lang w:val="en-US" w:eastAsia="zh-CN"/>
        </w:rPr>
        <w:t>02344497013</w:t>
      </w:r>
      <w:r>
        <w:rPr>
          <w:rFonts w:hint="eastAsia" w:ascii="Times New Roman" w:hAnsi="Times New Roman" w:eastAsia="方正仿宋_GBK" w:cs="方正仿宋_GBK"/>
          <w:sz w:val="32"/>
          <w:szCs w:val="32"/>
          <w:lang w:val="en-US" w:eastAsia="zh-CN"/>
        </w:rPr>
        <w:t>。</w:t>
      </w:r>
    </w:p>
    <w:p>
      <w:pPr>
        <w:pStyle w:val="2"/>
        <w:rPr>
          <w:rFonts w:hint="eastAsia"/>
          <w:lang w:val="en-US" w:eastAsia="zh-CN"/>
        </w:rPr>
      </w:pPr>
    </w:p>
    <w:p>
      <w:pPr>
        <w:pStyle w:val="13"/>
        <w:keepNext w:val="0"/>
        <w:keepLines w:val="0"/>
        <w:widowControl/>
        <w:suppressLineNumbers w:val="0"/>
        <w:autoSpaceDE w:val="0"/>
        <w:autoSpaceDN/>
        <w:spacing w:before="0" w:beforeAutospacing="0" w:line="500" w:lineRule="exact"/>
        <w:ind w:left="0" w:righ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w:t>
      </w:r>
    </w:p>
    <w:p>
      <w:pPr>
        <w:pStyle w:val="13"/>
        <w:keepNext w:val="0"/>
        <w:keepLines w:val="0"/>
        <w:widowControl/>
        <w:suppressLineNumbers w:val="0"/>
        <w:autoSpaceDE w:val="0"/>
        <w:autoSpaceDN/>
        <w:spacing w:before="0" w:beforeAutospacing="0" w:line="500" w:lineRule="exact"/>
        <w:ind w:left="0" w:right="0" w:firstLine="640" w:firstLineChars="200"/>
        <w:jc w:val="left"/>
        <w:rPr>
          <w:rFonts w:hint="eastAsia" w:ascii="方正仿宋_GBK" w:hAnsi="方正仿宋_GBK" w:eastAsia="方正仿宋_GBK" w:cs="方正仿宋_GBK"/>
          <w:kern w:val="0"/>
          <w:sz w:val="32"/>
          <w:szCs w:val="32"/>
        </w:rPr>
      </w:pPr>
    </w:p>
    <w:p>
      <w:pP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30"/>
        <w:gridCol w:w="2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2"/>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75"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24" w:type="pct"/>
            <w:shd w:val="clear" w:color="auto" w:fill="auto"/>
            <w:noWrap/>
            <w:vAlign w:val="center"/>
          </w:tcPr>
          <w:p>
            <w:pPr>
              <w:keepNext w:val="0"/>
              <w:keepLines w:val="0"/>
              <w:widowControl/>
              <w:suppressLineNumbers w:val="0"/>
              <w:jc w:val="left"/>
              <w:rPr>
                <w:rFonts w:hint="eastAsia" w:ascii="Tahoma" w:hAnsi="Tahoma" w:eastAsia="Tahoma" w:cs="Tahom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75"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24"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75"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公开部门：重庆市潼南区文化和旅游发展委员会（本级）</w:t>
            </w:r>
          </w:p>
        </w:tc>
        <w:tc>
          <w:tcPr>
            <w:tcW w:w="724"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28"/>
        <w:gridCol w:w="1592"/>
        <w:gridCol w:w="5107"/>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24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2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9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5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5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2,866.96</w:t>
            </w:r>
          </w:p>
        </w:tc>
        <w:tc>
          <w:tcPr>
            <w:tcW w:w="1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5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114.32</w:t>
            </w:r>
          </w:p>
        </w:tc>
        <w:tc>
          <w:tcPr>
            <w:tcW w:w="1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5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5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561"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724"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2,981.27</w:t>
            </w: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使用非财政拨款结余</w:t>
            </w: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结余分配</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年初结转和结余</w:t>
            </w: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2,981.27</w:t>
            </w:r>
          </w:p>
        </w:tc>
        <w:tc>
          <w:tcPr>
            <w:tcW w:w="18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备注：本表反映部门本年度的总收支和年末结转结余等情况。</w:t>
            </w:r>
          </w:p>
        </w:tc>
      </w:tr>
    </w:tbl>
    <w:p>
      <w:pP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br w:type="page"/>
      </w:r>
    </w:p>
    <w:tbl>
      <w:tblPr>
        <w:tblStyle w:val="11"/>
        <w:tblW w:w="51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2"/>
        <w:gridCol w:w="7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000" w:type="pct"/>
            <w:gridSpan w:val="2"/>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465"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534"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5"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公开部门：重庆市潼南区文化和旅游发展委员会（本级）</w:t>
            </w:r>
          </w:p>
        </w:tc>
        <w:tc>
          <w:tcPr>
            <w:tcW w:w="2534"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center"/>
        <w:rPr>
          <w:rFonts w:hint="eastAsia" w:ascii="宋体" w:hAnsi="宋体" w:eastAsia="宋体" w:cs="宋体"/>
          <w:b/>
          <w:bCs/>
          <w:i w:val="0"/>
          <w:iCs w:val="0"/>
          <w:color w:val="000000"/>
          <w:kern w:val="0"/>
          <w:sz w:val="22"/>
          <w:szCs w:val="22"/>
          <w:u w:val="none"/>
          <w:lang w:val="en-US" w:eastAsia="zh-CN" w:bidi="ar"/>
        </w:rPr>
      </w:pPr>
    </w:p>
    <w:tbl>
      <w:tblPr>
        <w:tblStyle w:val="11"/>
        <w:tblW w:w="51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8"/>
        <w:gridCol w:w="3605"/>
        <w:gridCol w:w="1157"/>
        <w:gridCol w:w="1243"/>
        <w:gridCol w:w="1140"/>
        <w:gridCol w:w="750"/>
        <w:gridCol w:w="1800"/>
        <w:gridCol w:w="1221"/>
        <w:gridCol w:w="1264"/>
        <w:gridCol w:w="1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blHeader/>
          <w:jc w:val="center"/>
        </w:trPr>
        <w:tc>
          <w:tcPr>
            <w:tcW w:w="16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3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8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4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4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blHeader/>
          <w:jc w:val="center"/>
        </w:trPr>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12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项目（按“项”级功能分类</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w:t>
            </w: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2"/>
                <w:szCs w:val="22"/>
                <w:u w:val="none"/>
              </w:rPr>
            </w:pPr>
          </w:p>
        </w:tc>
        <w:tc>
          <w:tcPr>
            <w:tcW w:w="4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2"/>
                <w:szCs w:val="22"/>
                <w:u w:val="none"/>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2"/>
                <w:szCs w:val="22"/>
                <w:u w:val="none"/>
              </w:rPr>
            </w:pP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其中：教育收费</w:t>
            </w:r>
          </w:p>
        </w:tc>
        <w:tc>
          <w:tcPr>
            <w:tcW w:w="4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2"/>
                <w:szCs w:val="22"/>
                <w:u w:val="none"/>
              </w:rPr>
            </w:pPr>
          </w:p>
        </w:tc>
        <w:tc>
          <w:tcPr>
            <w:tcW w:w="4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2"/>
                <w:szCs w:val="22"/>
                <w:u w:val="none"/>
              </w:rPr>
            </w:pPr>
          </w:p>
        </w:tc>
        <w:tc>
          <w:tcPr>
            <w:tcW w:w="4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1638" w:type="pct"/>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98"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2,981.27</w:t>
            </w:r>
          </w:p>
        </w:tc>
        <w:tc>
          <w:tcPr>
            <w:tcW w:w="428"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2,981.27</w:t>
            </w:r>
          </w:p>
        </w:tc>
        <w:tc>
          <w:tcPr>
            <w:tcW w:w="39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2,327.39</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2,327.39</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20701</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1,598.48</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1,598.48</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383.36</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383.36</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图书馆</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85.07</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85.07</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2070108</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文化活动</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2070112</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文化和旅游市场管理</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2070113</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旅游宣传</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317.96</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317.96</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2070114</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文化和旅游管理事务</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172.03</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172.03</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632.85</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632.85</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20702</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文物</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250.13</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250.13</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2070204</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文物保护</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250.13</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250.13</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20703</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体育</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150.35</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150.35</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2070305</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体育竞赛</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2070307</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体育场馆</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138.48</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138.48</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2070308</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群众体育</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20708</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广播电视</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107.63</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107.63</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2070808</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广播电视事务</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107.63</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107.63</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20799</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其他文化旅游体育与传媒支出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220.80</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220.80</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220.80</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220.80</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172.31</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172.31</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114.62</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114.62</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49.85</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49.85</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51.62</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51.62</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20808</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抚恤</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43.50</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43.50</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43.50</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43.50</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20899</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其他社会保障和就业支出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14.19</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14.19</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14.19</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14.19</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23.51</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23.51</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23.51</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23.51</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214</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交通运输支出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21401</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公路水路运输</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2140104</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公路建设</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43.76</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43.76</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43.76</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43.76</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43.76</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43.76</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229</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114.32</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114.32</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22960</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彩票公益金安排的支出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114.32</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114.32</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3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124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114.32</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114.32</w:t>
            </w:r>
          </w:p>
        </w:tc>
        <w:tc>
          <w:tcPr>
            <w:tcW w:w="39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000" w:type="pct"/>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备注：本表反映部门本年度取得的各项收入情况。</w:t>
            </w:r>
          </w:p>
        </w:tc>
      </w:tr>
    </w:tbl>
    <w:p>
      <w:pP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br w:type="page"/>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1"/>
        <w:gridCol w:w="1945"/>
        <w:gridCol w:w="1460"/>
        <w:gridCol w:w="1744"/>
        <w:gridCol w:w="904"/>
        <w:gridCol w:w="904"/>
        <w:gridCol w:w="1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39"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85"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515"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15"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19"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19"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25" w:type="pct"/>
            <w:gridSpan w:val="2"/>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公开部门：重庆市潼南区文化和旅游发展委员会（本级）</w:t>
            </w:r>
          </w:p>
        </w:tc>
        <w:tc>
          <w:tcPr>
            <w:tcW w:w="515"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15"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19"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19"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center"/>
        <w:rPr>
          <w:rFonts w:hint="eastAsia" w:ascii="宋体" w:hAnsi="宋体" w:eastAsia="宋体" w:cs="宋体"/>
          <w:b/>
          <w:bCs/>
          <w:i w:val="0"/>
          <w:iCs w:val="0"/>
          <w:color w:val="000000"/>
          <w:kern w:val="0"/>
          <w:sz w:val="22"/>
          <w:szCs w:val="22"/>
          <w:u w:val="none"/>
          <w:lang w:val="en-US" w:eastAsia="zh-CN" w:bidi="ar"/>
        </w:rPr>
      </w:pP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4796"/>
        <w:gridCol w:w="1942"/>
        <w:gridCol w:w="1460"/>
        <w:gridCol w:w="1744"/>
        <w:gridCol w:w="904"/>
        <w:gridCol w:w="904"/>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blHeader/>
        </w:trPr>
        <w:tc>
          <w:tcPr>
            <w:tcW w:w="2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6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3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3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5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347"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1691" w:type="pct"/>
            <w:vMerge w:val="restart"/>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685"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515"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615"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319"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319"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503"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34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1691" w:type="pct"/>
            <w:vMerge w:val="continue"/>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685"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515"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615"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319"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319"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503"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34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1691" w:type="pct"/>
            <w:vMerge w:val="continue"/>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685"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515"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615"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319"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319"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c>
          <w:tcPr>
            <w:tcW w:w="503"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2039" w:type="pct"/>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85"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2,981.27</w:t>
            </w:r>
          </w:p>
        </w:tc>
        <w:tc>
          <w:tcPr>
            <w:tcW w:w="515"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622.92</w:t>
            </w:r>
          </w:p>
        </w:tc>
        <w:tc>
          <w:tcPr>
            <w:tcW w:w="615"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2,358.35</w:t>
            </w:r>
          </w:p>
        </w:tc>
        <w:tc>
          <w:tcPr>
            <w:tcW w:w="319"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2,327.39</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383.36</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1,944.03</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20701</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1,598.48</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383.36</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1,215.12</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383.36</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383.36</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图书馆</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85.07</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85.07</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2070108</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文化活动</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2070112</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文化和旅游市场管理</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2070113</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旅游宣传</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317.96</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317.96</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2070114</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文化和旅游管理事务</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172.03</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172.03</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632.85</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632.85</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20702</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文物</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250.13</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250.13</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2070204</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文物保护</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250.13</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250.13</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20703</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体育</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150.35</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150.35</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2070305</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体育竞赛</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2070307</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体育场馆</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138.48</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138.48</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2070308</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群众体育</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20708</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广播电视</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107.63</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107.63</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2070808</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广播电视事务</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107.63</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107.63</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20799</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其他文化旅游体育与传媒支出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220.80</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220.80</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220.80</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220.80</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172.31</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172.31</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114.62</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114.62</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49.85</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49.85</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51.62</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51.62</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20808</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抚恤</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43.50</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43.50</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43.50</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43.50</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20899</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其他社会保障和就业支出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14.19</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14.19</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14.19</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14.19</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23.51</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23.51</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23.51</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23.51</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214</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交通运输支出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21401</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公路水路运输</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2140104</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公路建设</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43.76</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43.76</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43.76</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43.76</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43.76</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43.76</w:t>
            </w: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229</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114.32</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114.32</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22960</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彩票公益金安排的支出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114.32</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114.32</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169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68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114.32</w:t>
            </w:r>
          </w:p>
        </w:tc>
        <w:tc>
          <w:tcPr>
            <w:tcW w:w="5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61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114.32</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c>
          <w:tcPr>
            <w:tcW w:w="50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5000" w:type="pct"/>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备注：本表反映部门本年度各项支出情况。</w:t>
            </w:r>
          </w:p>
        </w:tc>
      </w:tr>
    </w:tbl>
    <w:p>
      <w:pP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br w:type="page"/>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51"/>
        <w:gridCol w:w="1095"/>
        <w:gridCol w:w="1222"/>
        <w:gridCol w:w="1387"/>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5"/>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2"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86"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431"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489"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499"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2"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公开部门：重庆市潼南区文化和旅游发展委员会（本级）</w:t>
            </w:r>
          </w:p>
        </w:tc>
        <w:tc>
          <w:tcPr>
            <w:tcW w:w="386" w:type="pct"/>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p>
        </w:tc>
        <w:tc>
          <w:tcPr>
            <w:tcW w:w="431"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489"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499"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9"/>
        <w:gridCol w:w="1225"/>
        <w:gridCol w:w="3556"/>
        <w:gridCol w:w="1096"/>
        <w:gridCol w:w="1222"/>
        <w:gridCol w:w="1387"/>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9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3061"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trPr>
        <w:tc>
          <w:tcPr>
            <w:tcW w:w="15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4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180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15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4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2,866.96</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114.32</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31"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386"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2,327.39</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2,327.39</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172.30</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172.30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23.50</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43.76</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43.76</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114.32</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114.32</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2,981.27</w:t>
            </w: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2,981.27</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2,866.96</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114.32</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2,981.27</w:t>
            </w:r>
          </w:p>
        </w:tc>
        <w:tc>
          <w:tcPr>
            <w:tcW w:w="12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2,981.27</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2,866.96</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114.32</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备注：本表反映部门本年度一般公共预算财政拨款、政府性基金预算财政拨款及国有资本经营预算财政拨款的总收支和年末结转结余情况。</w:t>
            </w:r>
          </w:p>
        </w:tc>
      </w:tr>
    </w:tbl>
    <w:p>
      <w:pP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br w:type="page"/>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0"/>
        <w:gridCol w:w="3448"/>
        <w:gridCol w:w="1996"/>
        <w:gridCol w:w="1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55"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216"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04"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23"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Tahoma" w:hAnsi="Tahoma" w:eastAsia="Tahoma" w:cs="Tahom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55"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216"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04"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2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55"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公开部门：重庆市潼南区文化和旅游发展委员会（本级）</w:t>
            </w:r>
          </w:p>
        </w:tc>
        <w:tc>
          <w:tcPr>
            <w:tcW w:w="1216"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04"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2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center"/>
        <w:rPr>
          <w:rFonts w:hint="eastAsia" w:ascii="宋体" w:hAnsi="宋体" w:eastAsia="宋体" w:cs="宋体"/>
          <w:b/>
          <w:bCs/>
          <w:i w:val="0"/>
          <w:iCs w:val="0"/>
          <w:color w:val="000000"/>
          <w:kern w:val="0"/>
          <w:sz w:val="22"/>
          <w:szCs w:val="22"/>
          <w:u w:val="none"/>
          <w:lang w:val="en-US" w:eastAsia="zh-CN" w:bidi="ar"/>
        </w:rPr>
      </w:pP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3"/>
        <w:gridCol w:w="5461"/>
        <w:gridCol w:w="3448"/>
        <w:gridCol w:w="1996"/>
        <w:gridCol w:w="1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245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54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9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12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5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2,866.96</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622.92</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19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12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2,327.39</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383.36</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1,944.03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20701</w:t>
            </w:r>
          </w:p>
        </w:tc>
        <w:tc>
          <w:tcPr>
            <w:tcW w:w="19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12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1,598.48</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383.36</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19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383.36</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383.36</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19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图书馆</w:t>
            </w:r>
          </w:p>
        </w:tc>
        <w:tc>
          <w:tcPr>
            <w:tcW w:w="12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85.07</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2070108</w:t>
            </w:r>
          </w:p>
        </w:tc>
        <w:tc>
          <w:tcPr>
            <w:tcW w:w="1926"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文化活动</w:t>
            </w:r>
          </w:p>
        </w:tc>
        <w:tc>
          <w:tcPr>
            <w:tcW w:w="1216"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704"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626"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2070112</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文化和旅游市场管理</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2070113</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旅游宣传</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317.96</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2070114</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文化和旅游管理事务</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172.03</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632.85</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20702</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文物</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250.13</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2070204</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文物保护</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250.13</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20703</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体育</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150.35</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2070305</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体育竞赛</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2070307</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体育场馆</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138.48</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2070308</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群众体育</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20708</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广播电视</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107.63</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2070808</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广播电视事务</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107.63</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20799</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其他文化旅游体育与传媒支出</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220.80</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220.80</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社会保障和就业支出</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172.31</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172.31</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行政事业单位养老支出</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114.62</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114.62</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49.85</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49.85</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51.62</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51.62</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20808</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抚恤</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43.50</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43.50</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43.50</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43.50</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20899</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其他社会保障和就业支出</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14.19</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14.19</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14.19</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14.19</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23.51</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23.51</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23.51</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23.51</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214</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交通运输支出</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21401</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公路水路运输</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2140104</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公路建设</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43.76</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43.76</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43.76</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43.76</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9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43.76</w:t>
            </w:r>
          </w:p>
        </w:tc>
        <w:tc>
          <w:tcPr>
            <w:tcW w:w="7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43.76</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备注：本表反映部门本年度一般公共预算财政拨款支出情况。</w:t>
            </w:r>
          </w:p>
        </w:tc>
      </w:tr>
    </w:tbl>
    <w:p>
      <w:pP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br w:type="page"/>
      </w:r>
    </w:p>
    <w:tbl>
      <w:tblPr>
        <w:tblStyle w:val="11"/>
        <w:tblW w:w="52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6"/>
        <w:gridCol w:w="874"/>
        <w:gridCol w:w="764"/>
        <w:gridCol w:w="5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4"/>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40"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95"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58"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7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0"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公开部门：重庆市潼南区文化和旅游发展委员会（本级）</w:t>
            </w:r>
          </w:p>
        </w:tc>
        <w:tc>
          <w:tcPr>
            <w:tcW w:w="295"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58" w:type="pct"/>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7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bl>
      <w:tblPr>
        <w:tblStyle w:val="11"/>
        <w:tblW w:w="52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296"/>
        <w:gridCol w:w="876"/>
        <w:gridCol w:w="766"/>
        <w:gridCol w:w="2416"/>
        <w:gridCol w:w="876"/>
        <w:gridCol w:w="766"/>
        <w:gridCol w:w="4176"/>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166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333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11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2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8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2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14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2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trPr>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11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2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8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2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14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2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1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2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407.36</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8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2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100.58</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4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2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11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95"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92.66</w:t>
            </w:r>
          </w:p>
        </w:tc>
        <w:tc>
          <w:tcPr>
            <w:tcW w:w="258"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815"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95"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23.28</w:t>
            </w:r>
          </w:p>
        </w:tc>
        <w:tc>
          <w:tcPr>
            <w:tcW w:w="258"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409"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95"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71.62</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116.52</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49.85</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20.29</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43.76</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113.49</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65.81</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31299</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国家赔偿费用支出</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其他个人和家庭的补助支出</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经常性赠与</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资本性赠与</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11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14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1"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520.86</w:t>
            </w:r>
          </w:p>
        </w:tc>
        <w:tc>
          <w:tcPr>
            <w:tcW w:w="3037"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注：本表反映部门本年度一般公共预算财政拨款基本支出明细情况。</w:t>
            </w:r>
          </w:p>
        </w:tc>
      </w:tr>
    </w:tbl>
    <w:p>
      <w:pP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br w:type="page"/>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5321"/>
        <w:gridCol w:w="1295"/>
        <w:gridCol w:w="1454"/>
        <w:gridCol w:w="1199"/>
        <w:gridCol w:w="1313"/>
        <w:gridCol w:w="1120"/>
        <w:gridCol w:w="1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5"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4" w:type="pct"/>
            <w:gridSpan w:val="2"/>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457"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513"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423"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463"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93"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522"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Tahoma" w:hAnsi="Tahoma" w:eastAsia="Tahoma" w:cs="Tahom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4" w:type="pct"/>
            <w:gridSpan w:val="2"/>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457"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513"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423" w:type="pct"/>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9" w:type="pct"/>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4" w:type="pct"/>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公开部门：重庆市潼南区文化和旅游发展委员会（本级）</w:t>
            </w:r>
          </w:p>
        </w:tc>
        <w:tc>
          <w:tcPr>
            <w:tcW w:w="457" w:type="pct"/>
            <w:tcBorders>
              <w:top w:val="nil"/>
              <w:left w:val="nil"/>
              <w:bottom w:val="single" w:color="auto" w:sz="4" w:space="0"/>
              <w:right w:val="nil"/>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p>
        </w:tc>
        <w:tc>
          <w:tcPr>
            <w:tcW w:w="513" w:type="pct"/>
            <w:tcBorders>
              <w:top w:val="nil"/>
              <w:left w:val="nil"/>
              <w:bottom w:val="single" w:color="auto"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423" w:type="pct"/>
            <w:tcBorders>
              <w:top w:val="nil"/>
              <w:left w:val="nil"/>
              <w:bottom w:val="single" w:color="auto"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9" w:type="pct"/>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4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128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18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4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5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4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4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18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4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5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4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4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18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4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5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4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4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4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114.32</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114.32</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114.32</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229</w:t>
            </w:r>
          </w:p>
        </w:tc>
        <w:tc>
          <w:tcPr>
            <w:tcW w:w="18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其他支出</w:t>
            </w:r>
          </w:p>
        </w:tc>
        <w:tc>
          <w:tcPr>
            <w:tcW w:w="4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114.32</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114.32</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114.32</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22960</w:t>
            </w:r>
          </w:p>
        </w:tc>
        <w:tc>
          <w:tcPr>
            <w:tcW w:w="18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彩票公益金安排的支出</w:t>
            </w:r>
          </w:p>
        </w:tc>
        <w:tc>
          <w:tcPr>
            <w:tcW w:w="4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114.32</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114.32</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114.32</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1876"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457"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513"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114.32</w:t>
            </w:r>
          </w:p>
        </w:tc>
        <w:tc>
          <w:tcPr>
            <w:tcW w:w="423"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114.32</w:t>
            </w:r>
          </w:p>
        </w:tc>
        <w:tc>
          <w:tcPr>
            <w:tcW w:w="463"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c>
          <w:tcPr>
            <w:tcW w:w="393"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114.32</w:t>
            </w:r>
          </w:p>
        </w:tc>
        <w:tc>
          <w:tcPr>
            <w:tcW w:w="52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本表为空的部门应将空表公开，并注明：本单位无政府性基金收入，也没有使用政府性基金安排的支出，故本表无数据。</w:t>
            </w:r>
          </w:p>
        </w:tc>
      </w:tr>
    </w:tbl>
    <w:p>
      <w:pP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br w:type="page"/>
      </w:r>
    </w:p>
    <w:tbl>
      <w:tblPr>
        <w:tblStyle w:val="11"/>
        <w:tblW w:w="503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6"/>
        <w:gridCol w:w="1321"/>
        <w:gridCol w:w="1321"/>
        <w:gridCol w:w="879"/>
        <w:gridCol w:w="5276"/>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2385" w:type="pct"/>
            <w:gridSpan w:val="3"/>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30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184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46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2385" w:type="pct"/>
            <w:gridSpan w:val="3"/>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公开部门：重庆市潼南区文化和旅游发展委员会（本级）</w:t>
            </w:r>
          </w:p>
        </w:tc>
        <w:tc>
          <w:tcPr>
            <w:tcW w:w="307" w:type="pct"/>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1846" w:type="pct"/>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460" w:type="pct"/>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全年预算数</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一、“三公”经费支出</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四、机关运行经费</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（一）支出合计</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（一）行政单位</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1．因公出国（境）费</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（二）参照公务员法管理事业单位</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2．公务用车购置及运行维护费</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五、资产信息</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（1）公务用车购置费</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（一）车辆数合计（辆）</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（2）公务用车运行维护费</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1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1．副部（省）级及以上领导用车</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3．公务接待费</w:t>
            </w:r>
          </w:p>
        </w:tc>
        <w:tc>
          <w:tcPr>
            <w:tcW w:w="46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07"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846"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2．主要领导干部用车</w:t>
            </w:r>
          </w:p>
        </w:tc>
        <w:tc>
          <w:tcPr>
            <w:tcW w:w="460"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（1）国内接待费</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3．机要通信用车</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其中：外事接待费</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4．应急保障用车</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（2）国（境）外接待费</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5．执法执勤用车</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（二）相关统计数</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6．特种专业技术用车</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1．因公出国（境）团组数（个）</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7．离退休干部用车</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2．因公出国（境）人次数（人）</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8．其他用车</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3．公务用车购置数（辆）</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（二）单价100万元（含）以上设备（不含车辆）</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4．公务用车保有量（辆）</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六、政府采购支出信息</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5．国内公务接待批次（个）</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（一）政府采购支出合计</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其中：外事接待批次（个）</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1．政府采购货物支出</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6．国内公务接待人次（人）</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2．政府采购工程支出</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其中：外事接待人次（人）</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3．政府采购服务支出</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7．国（境）外公务接待批次（个）</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（二）政府采购授予中小企业合同金额</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8．国（境）外公务接待人次（人）</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其中：授予小微企业合同金额</w:t>
            </w: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二、会议费</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三、培训费</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84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5000" w:type="pct"/>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应部门本年度“三公”经费支出预决算情况。其中：年初预算数为“三公”经费年初部门预算批复数，全年预算数为“三公”经费全年预算数，反应按照规定程序调整后的预算数；决算数是包括当年一般公共预算财政拨款、政府性基金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5000" w:type="pct"/>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本表为空的单位应将空表公开，并注明：本单位无相关数据，故本表为空。    </w:t>
            </w:r>
          </w:p>
        </w:tc>
      </w:tr>
    </w:tbl>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line="20" w:lineRule="exact"/>
        <w:ind w:right="0"/>
        <w:jc w:val="left"/>
        <w:textAlignment w:val="auto"/>
        <w:rPr>
          <w:rFonts w:hint="eastAsia" w:ascii="方正仿宋_GBK" w:hAnsi="方正仿宋_GBK" w:eastAsia="方正仿宋_GBK" w:cs="方正仿宋_GBK"/>
          <w:b/>
          <w:bCs/>
          <w:kern w:val="0"/>
          <w:sz w:val="32"/>
          <w:szCs w:val="32"/>
        </w:rPr>
      </w:pPr>
    </w:p>
    <w:sectPr>
      <w:pgSz w:w="16851" w:h="11915" w:orient="landscape"/>
      <w:pgMar w:top="1984" w:right="1440" w:bottom="1644" w:left="1440" w:header="851" w:footer="992" w:gutter="0"/>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OWQzOTM3MzllYjBiZGU2NmM4Yjk4NzBlNDM5MWQifQ=="/>
  </w:docVars>
  <w:rsids>
    <w:rsidRoot w:val="00000000"/>
    <w:rsid w:val="02044378"/>
    <w:rsid w:val="0C9F4CA9"/>
    <w:rsid w:val="0DFE53E4"/>
    <w:rsid w:val="1AB31597"/>
    <w:rsid w:val="1E0A3BC4"/>
    <w:rsid w:val="20442FE1"/>
    <w:rsid w:val="22A4003B"/>
    <w:rsid w:val="29696A90"/>
    <w:rsid w:val="2F084A86"/>
    <w:rsid w:val="364429E4"/>
    <w:rsid w:val="38E946AA"/>
    <w:rsid w:val="40E816EB"/>
    <w:rsid w:val="45183B01"/>
    <w:rsid w:val="474C6FC0"/>
    <w:rsid w:val="47E8220A"/>
    <w:rsid w:val="4ACE7E81"/>
    <w:rsid w:val="4DCF7157"/>
    <w:rsid w:val="551B1C37"/>
    <w:rsid w:val="59C33AC2"/>
    <w:rsid w:val="65121EC6"/>
    <w:rsid w:val="6AE650A8"/>
    <w:rsid w:val="6C3118E9"/>
    <w:rsid w:val="73041B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5"/>
    <w:basedOn w:val="1"/>
    <w:next w:val="1"/>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8">
    <w:name w:val="heading 6"/>
    <w:basedOn w:val="1"/>
    <w:next w:val="1"/>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unhideWhenUsed/>
    <w:uiPriority w:val="99"/>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basedOn w:val="1"/>
    <w:next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 w:hAnsi="仿宋" w:eastAsia="宋体" w:cs="仿宋"/>
      <w:color w:val="000000"/>
      <w:kern w:val="0"/>
      <w:sz w:val="24"/>
      <w:szCs w:val="24"/>
      <w:lang w:val="en-US" w:eastAsia="zh-CN" w:bidi="ar"/>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3">
    <w:name w:val="普通(网站) Char"/>
    <w:basedOn w:val="1"/>
    <w:qFormat/>
    <w:uiPriority w:val="0"/>
    <w:pPr>
      <w:spacing w:before="0" w:beforeAutospacing="1" w:after="0" w:afterAutospacing="1"/>
      <w:jc w:val="left"/>
    </w:pPr>
    <w:rPr>
      <w:rFonts w:hint="eastAsia" w:ascii="宋体" w:hAnsi="宋体" w:eastAsia="宋体" w:cs="宋体"/>
      <w:kern w:val="0"/>
      <w:sz w:val="24"/>
      <w:szCs w:val="24"/>
      <w:lang w:val="en-US" w:eastAsia="zh-CN" w:bidi="ar"/>
    </w:rPr>
  </w:style>
  <w:style w:type="paragraph" w:customStyle="1" w:styleId="14">
    <w:name w:val="pre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5">
    <w:name w:val="16"/>
    <w:basedOn w:val="12"/>
    <w:qFormat/>
    <w:uiPriority w:val="0"/>
    <w:rPr>
      <w:rFonts w:hint="default" w:ascii="Times New Roman" w:hAnsi="Times New Roman" w:cs="Times New Roman"/>
      <w:b/>
      <w:bCs/>
    </w:rPr>
  </w:style>
  <w:style w:type="character" w:customStyle="1" w:styleId="16">
    <w:name w:val="10"/>
    <w:basedOn w:val="12"/>
    <w:qFormat/>
    <w:uiPriority w:val="0"/>
    <w:rPr>
      <w:rFonts w:hint="default" w:ascii="Times New Roman" w:hAnsi="Times New Roman" w:cs="Times New Roman"/>
    </w:rPr>
  </w:style>
  <w:style w:type="paragraph" w:customStyle="1" w:styleId="17">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8">
    <w:name w:val="15"/>
    <w:basedOn w:val="12"/>
    <w:qFormat/>
    <w:uiPriority w:val="0"/>
    <w:rPr>
      <w:rFonts w:hint="default" w:ascii="Times New Roman" w:hAnsi="Times New Roman" w:cs="Times New Roman"/>
      <w:b/>
    </w:rPr>
  </w:style>
  <w:style w:type="character" w:customStyle="1" w:styleId="19">
    <w:name w:val="17"/>
    <w:basedOn w:val="12"/>
    <w:qFormat/>
    <w:uiPriority w:val="0"/>
    <w:rPr>
      <w:rFonts w:hint="default" w:ascii="Times New Roman" w:hAnsi="Times New Roman" w:cs="Times New Roman"/>
      <w:b/>
    </w:rPr>
  </w:style>
  <w:style w:type="character" w:customStyle="1" w:styleId="20">
    <w:name w:val="18"/>
    <w:basedOn w:val="12"/>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Characters>10732</Characters>
  <Lines>1</Lines>
  <Paragraphs>1</Paragraphs>
  <TotalTime>15</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2023-08-30T06:18:00Z</dcterms:created>
  <dc:creator>Administrator</dc:creator>
  <cp:lastModifiedBy>Administrator</cp:lastModifiedBy>
  <dcterms:modified xsi:type="dcterms:W3CDTF">2023-09-05T01:56:06Z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7E51B36B461D4C529EA628BD42E5FA57_13</vt:lpwstr>
  </property>
</Properties>
</file>