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3F0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关于委托中介机构开展家电以旧换新线下“参与单位”垫付资金情况审计的</w:t>
      </w:r>
    </w:p>
    <w:p w14:paraId="467B3B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比选公告</w:t>
      </w:r>
    </w:p>
    <w:p w14:paraId="6B4EBD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38D575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根据工作需要，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重庆市潼南区商务委员会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近期拟对重庆市绿色智能家电以旧换新线下“参与单位”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垫付资金情况进行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审计，审计工作以购买社会服务（委托会计师事务所）的方式进行。现发布公开比选公告，欢迎有实力、讲诚信的单位参与。</w:t>
      </w:r>
    </w:p>
    <w:p w14:paraId="097E27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一、审计项目名称及实施时间</w:t>
      </w:r>
    </w:p>
    <w:p w14:paraId="1F54F4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项目名称：绿色智能家电以旧换新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潼南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线下“参与单位”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垫付资金情况</w:t>
      </w:r>
    </w:p>
    <w:p w14:paraId="205478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实施时间：2024年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至2025年1月31日</w:t>
      </w:r>
    </w:p>
    <w:p w14:paraId="34EF24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审计工作任务</w:t>
      </w:r>
    </w:p>
    <w:p w14:paraId="0DDA557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1.审核相关票据完整性，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主要包括：</w:t>
      </w:r>
    </w:p>
    <w:p w14:paraId="2EE3598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①企业提交的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销售发票（发票信息须包含消费者姓名、身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份证号码、购买品牌、型号）；</w:t>
      </w:r>
    </w:p>
    <w:p w14:paraId="3608F2A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②审核企业提交的银联订单号（可据此查询商户名称、交易时间、交易消费者主账号、交易金额、优惠总金额、商户补贴金额、政府补贴金额、用户名称及身份证等信息）。</w:t>
      </w:r>
    </w:p>
    <w:p w14:paraId="66B104C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发票、银联订单号对应的身份证号应一致。</w:t>
      </w:r>
    </w:p>
    <w:p w14:paraId="538FD05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2.审核物流信息逻辑性，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主要审核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商家提供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的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向采购端购买商品的相关合同、订单、商品到商家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的物流轨迹佐证资料。</w:t>
      </w:r>
    </w:p>
    <w:p w14:paraId="45F8C6E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①品牌厂家或平台配送销售订单的，提供包含顾客姓名、电话、地址、签收确认等不可修改的销售配送物流轨迹文件，配送地址需录入信息系统，系统间须采用唯一识别号相互关联，并可追踪查询；</w:t>
      </w:r>
    </w:p>
    <w:p w14:paraId="185F50C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②商家</w:t>
      </w:r>
      <w:r>
        <w:rPr>
          <w:rFonts w:hint="eastAsia" w:ascii="方正仿宋_GBK" w:hAnsi="方正仿宋_GBK" w:cs="方正仿宋_GBK"/>
          <w:color w:val="000000"/>
          <w:kern w:val="0"/>
          <w:sz w:val="32"/>
          <w:szCs w:val="32"/>
          <w:lang w:val="en-US" w:eastAsia="zh-CN" w:bidi="ar"/>
        </w:rPr>
        <w:t>自行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配送的（无法提供不可更改销售配送物流轨迹文件），提供顾客配送地址、顾客签收单，真实交付照片（顾客和销售人员或配送员与商品同框，照片文件名统一为：顾客银联电话号码）；</w:t>
      </w:r>
    </w:p>
    <w:p w14:paraId="6EF28A8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③消费者自提订单的，须提供真实交付照片（顾客和销售人员或配送员与商品同框，照片文件名统一为：顾客银联电话号码）；</w:t>
      </w:r>
    </w:p>
    <w:p w14:paraId="0676CEE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④销售电脑时，现场需开机激活，并留存顾客和销售人员与电脑开机同框的完整照片（照片文件名统一为：顾客银联电话号码），并记录好电脑的序列号。</w:t>
      </w:r>
    </w:p>
    <w:p w14:paraId="095E94F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审核交易真实性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。通过电话有效抽查、实地上门检查等方式，核实交易真实性。抽查比例不低于总交易量的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20%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。</w:t>
      </w:r>
    </w:p>
    <w:p w14:paraId="1B2C10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4.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提交审计报告。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每月底前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对我区企业垫付资金情况进行审核并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向区商务委提交当月审计报告。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2025年1月31日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，对我区参与企业垫付资金情况进行清算审核，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提交清算报告。</w:t>
      </w:r>
    </w:p>
    <w:p w14:paraId="5BEF5C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三、参选资格要求</w:t>
      </w:r>
    </w:p>
    <w:p w14:paraId="674F78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（一）具有独立法人资格的会计师事务所，且持有有效营业执照、组织机构代码证、税务登记证；</w:t>
      </w:r>
    </w:p>
    <w:p w14:paraId="4A40B6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（二）具有履行合同所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必需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的专业技术能力；</w:t>
      </w:r>
    </w:p>
    <w:p w14:paraId="4A997E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（三）具有良好的商业信誉和健全的财务会计制度；</w:t>
      </w:r>
    </w:p>
    <w:p w14:paraId="798268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（四）参加本次采购活动前三年内，在经营活动中没有重大违法记录；</w:t>
      </w:r>
    </w:p>
    <w:p w14:paraId="01170D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五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）法律、行政法规规定的其他条件。</w:t>
      </w:r>
    </w:p>
    <w:p w14:paraId="076365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四、</w:t>
      </w: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参选文件的递交地址及截止时间</w:t>
      </w:r>
    </w:p>
    <w:p w14:paraId="4B74A8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比选申请人将参选文件（一式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份）装订成册后，密封递交至重庆市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潼南区商务委员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207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办公室，截止时间为202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日1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时00分。逾期送达的或者未送达指定地点的报价文件，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均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不予受理。</w:t>
      </w:r>
    </w:p>
    <w:p w14:paraId="5923EB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五</w:t>
      </w: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、组织评选</w:t>
      </w:r>
    </w:p>
    <w:p w14:paraId="0377DA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我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委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将适时组织人员，按照评分标准（附件1）对参选单位进行评分，并依据评分结果计算出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分值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，得分排名第一的参选单位作为中选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。 </w:t>
      </w:r>
    </w:p>
    <w:p w14:paraId="5BE8CA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附件：1.评分标准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 w14:paraId="42B6C4E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2.《审计报告》必含附件。</w:t>
      </w:r>
    </w:p>
    <w:p w14:paraId="76DE98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联系人：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吕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老师</w:t>
      </w:r>
    </w:p>
    <w:p w14:paraId="5EDB37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电  话：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13883938347</w:t>
      </w:r>
    </w:p>
    <w:p w14:paraId="470880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    </w:t>
      </w:r>
    </w:p>
    <w:p w14:paraId="2A007E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重庆市潼南区商务委员会</w:t>
      </w:r>
    </w:p>
    <w:p w14:paraId="563422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2024年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</w:t>
      </w:r>
    </w:p>
    <w:p w14:paraId="4ADDA7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7EB39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1：</w:t>
      </w:r>
    </w:p>
    <w:p w14:paraId="52A432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880" w:firstLineChars="200"/>
        <w:jc w:val="center"/>
        <w:textAlignment w:val="auto"/>
        <w:rPr>
          <w:rStyle w:val="7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评分标准</w:t>
      </w:r>
    </w:p>
    <w:p w14:paraId="6F1405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880" w:firstLineChars="200"/>
        <w:jc w:val="center"/>
        <w:textAlignment w:val="auto"/>
        <w:rPr>
          <w:rStyle w:val="7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tbl>
      <w:tblPr>
        <w:tblStyle w:val="5"/>
        <w:tblW w:w="9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840"/>
        <w:gridCol w:w="5240"/>
        <w:gridCol w:w="547"/>
        <w:gridCol w:w="562"/>
      </w:tblGrid>
      <w:tr w14:paraId="01B5B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2738" w:type="dxa"/>
            <w:gridSpan w:val="2"/>
            <w:noWrap w:val="0"/>
            <w:vAlign w:val="center"/>
          </w:tcPr>
          <w:p w14:paraId="0F77B49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评审</w:t>
            </w:r>
          </w:p>
          <w:p w14:paraId="6DAF1BE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项目</w:t>
            </w:r>
          </w:p>
        </w:tc>
        <w:tc>
          <w:tcPr>
            <w:tcW w:w="5240" w:type="dxa"/>
            <w:noWrap w:val="0"/>
            <w:vAlign w:val="center"/>
          </w:tcPr>
          <w:p w14:paraId="7BC5751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80" w:lineRule="exact"/>
              <w:ind w:firstLine="643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评分标准</w:t>
            </w:r>
          </w:p>
        </w:tc>
        <w:tc>
          <w:tcPr>
            <w:tcW w:w="547" w:type="dxa"/>
            <w:noWrap w:val="0"/>
            <w:vAlign w:val="center"/>
          </w:tcPr>
          <w:p w14:paraId="01A4222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8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  <w:t>分值</w:t>
            </w:r>
          </w:p>
        </w:tc>
        <w:tc>
          <w:tcPr>
            <w:tcW w:w="562" w:type="dxa"/>
            <w:noWrap w:val="0"/>
            <w:vAlign w:val="center"/>
          </w:tcPr>
          <w:p w14:paraId="5E9CD5F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得分</w:t>
            </w:r>
          </w:p>
        </w:tc>
      </w:tr>
      <w:tr w14:paraId="4F158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898" w:type="dxa"/>
            <w:noWrap w:val="0"/>
            <w:vAlign w:val="center"/>
          </w:tcPr>
          <w:p w14:paraId="7B848B9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报价</w:t>
            </w:r>
          </w:p>
          <w:p w14:paraId="65BB4DB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得分</w:t>
            </w:r>
          </w:p>
        </w:tc>
        <w:tc>
          <w:tcPr>
            <w:tcW w:w="1840" w:type="dxa"/>
            <w:noWrap w:val="0"/>
            <w:vAlign w:val="center"/>
          </w:tcPr>
          <w:p w14:paraId="3EB43A4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报价</w:t>
            </w:r>
          </w:p>
        </w:tc>
        <w:tc>
          <w:tcPr>
            <w:tcW w:w="5240" w:type="dxa"/>
            <w:noWrap w:val="0"/>
            <w:vAlign w:val="center"/>
          </w:tcPr>
          <w:p w14:paraId="7963FD7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  <w:t>按照比选报价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u w:val="singl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元/单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  <w:t>由低至高，第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1名计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0分，第2名计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5分，第3名计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0分，……，以此类推。</w:t>
            </w:r>
          </w:p>
        </w:tc>
        <w:tc>
          <w:tcPr>
            <w:tcW w:w="547" w:type="dxa"/>
            <w:noWrap w:val="0"/>
            <w:vAlign w:val="center"/>
          </w:tcPr>
          <w:p w14:paraId="2996932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562" w:type="dxa"/>
            <w:noWrap w:val="0"/>
            <w:vAlign w:val="center"/>
          </w:tcPr>
          <w:p w14:paraId="250EE3B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7D41B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898" w:type="dxa"/>
            <w:vMerge w:val="restart"/>
            <w:noWrap w:val="0"/>
            <w:vAlign w:val="center"/>
          </w:tcPr>
          <w:p w14:paraId="7022C72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  <w:t>拟投入本项目资源</w:t>
            </w:r>
          </w:p>
        </w:tc>
        <w:tc>
          <w:tcPr>
            <w:tcW w:w="1840" w:type="dxa"/>
            <w:noWrap w:val="0"/>
            <w:vAlign w:val="center"/>
          </w:tcPr>
          <w:p w14:paraId="7BB82FE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  <w:t>人员总数</w:t>
            </w:r>
          </w:p>
        </w:tc>
        <w:tc>
          <w:tcPr>
            <w:tcW w:w="5240" w:type="dxa"/>
            <w:noWrap w:val="0"/>
            <w:vAlign w:val="center"/>
          </w:tcPr>
          <w:p w14:paraId="6191B24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8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每人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分，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  <w:t>最高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6分。</w:t>
            </w:r>
          </w:p>
        </w:tc>
        <w:tc>
          <w:tcPr>
            <w:tcW w:w="547" w:type="dxa"/>
            <w:noWrap w:val="0"/>
            <w:vAlign w:val="center"/>
          </w:tcPr>
          <w:p w14:paraId="6D26F2E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562" w:type="dxa"/>
            <w:noWrap w:val="0"/>
            <w:vAlign w:val="center"/>
          </w:tcPr>
          <w:p w14:paraId="27A0B38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0FFE5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898" w:type="dxa"/>
            <w:vMerge w:val="continue"/>
            <w:noWrap w:val="0"/>
            <w:vAlign w:val="center"/>
          </w:tcPr>
          <w:p w14:paraId="60C57FC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3D44F2F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注册会计师数量</w:t>
            </w:r>
          </w:p>
        </w:tc>
        <w:tc>
          <w:tcPr>
            <w:tcW w:w="5240" w:type="dxa"/>
            <w:noWrap w:val="0"/>
            <w:vAlign w:val="center"/>
          </w:tcPr>
          <w:p w14:paraId="4A01762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80" w:lineRule="exact"/>
              <w:ind w:firstLine="64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每人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分，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  <w:t>最高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4分。</w:t>
            </w:r>
          </w:p>
        </w:tc>
        <w:tc>
          <w:tcPr>
            <w:tcW w:w="547" w:type="dxa"/>
            <w:noWrap w:val="0"/>
            <w:vAlign w:val="center"/>
          </w:tcPr>
          <w:p w14:paraId="3AC2AD0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8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562" w:type="dxa"/>
            <w:noWrap w:val="0"/>
            <w:vAlign w:val="center"/>
          </w:tcPr>
          <w:p w14:paraId="1339326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28F48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98" w:type="dxa"/>
            <w:vMerge w:val="restart"/>
            <w:noWrap w:val="0"/>
            <w:vAlign w:val="center"/>
          </w:tcPr>
          <w:p w14:paraId="3168E28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8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  <w:t>三方审计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实力</w:t>
            </w:r>
          </w:p>
        </w:tc>
        <w:tc>
          <w:tcPr>
            <w:tcW w:w="1840" w:type="dxa"/>
            <w:noWrap w:val="0"/>
            <w:vAlign w:val="center"/>
          </w:tcPr>
          <w:p w14:paraId="762A6E2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  <w:t>营业面积</w:t>
            </w:r>
          </w:p>
        </w:tc>
        <w:tc>
          <w:tcPr>
            <w:tcW w:w="5240" w:type="dxa"/>
            <w:noWrap w:val="0"/>
            <w:vAlign w:val="center"/>
          </w:tcPr>
          <w:p w14:paraId="32055E8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8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营业面积从高到低，第1名4分，第2名3.5分，……，以此类推。</w:t>
            </w:r>
          </w:p>
        </w:tc>
        <w:tc>
          <w:tcPr>
            <w:tcW w:w="547" w:type="dxa"/>
            <w:noWrap w:val="0"/>
            <w:vAlign w:val="center"/>
          </w:tcPr>
          <w:p w14:paraId="0A345C9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8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562" w:type="dxa"/>
            <w:vMerge w:val="restart"/>
            <w:noWrap w:val="0"/>
            <w:vAlign w:val="center"/>
          </w:tcPr>
          <w:p w14:paraId="45B86D3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4512B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98" w:type="dxa"/>
            <w:vMerge w:val="continue"/>
            <w:noWrap w:val="0"/>
            <w:vAlign w:val="center"/>
          </w:tcPr>
          <w:p w14:paraId="4CDA36A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8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7367113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  <w:t>从业人员</w:t>
            </w:r>
          </w:p>
        </w:tc>
        <w:tc>
          <w:tcPr>
            <w:tcW w:w="5240" w:type="dxa"/>
            <w:noWrap w:val="0"/>
            <w:vAlign w:val="center"/>
          </w:tcPr>
          <w:p w14:paraId="7D72A5F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8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  <w:t>每人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0.2分，最高4分。</w:t>
            </w:r>
          </w:p>
        </w:tc>
        <w:tc>
          <w:tcPr>
            <w:tcW w:w="547" w:type="dxa"/>
            <w:noWrap w:val="0"/>
            <w:vAlign w:val="center"/>
          </w:tcPr>
          <w:p w14:paraId="3BD5027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8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562" w:type="dxa"/>
            <w:vMerge w:val="continue"/>
            <w:noWrap w:val="0"/>
            <w:vAlign w:val="center"/>
          </w:tcPr>
          <w:p w14:paraId="2755882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0C37A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98" w:type="dxa"/>
            <w:vMerge w:val="continue"/>
            <w:noWrap w:val="0"/>
            <w:vAlign w:val="center"/>
          </w:tcPr>
          <w:p w14:paraId="2F87F40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8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6FDBAD5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注册会计师数量</w:t>
            </w:r>
          </w:p>
        </w:tc>
        <w:tc>
          <w:tcPr>
            <w:tcW w:w="5240" w:type="dxa"/>
            <w:noWrap w:val="0"/>
            <w:vAlign w:val="center"/>
          </w:tcPr>
          <w:p w14:paraId="4496BCF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8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每人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分，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  <w:t>最高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8分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。</w:t>
            </w:r>
          </w:p>
        </w:tc>
        <w:tc>
          <w:tcPr>
            <w:tcW w:w="547" w:type="dxa"/>
            <w:noWrap w:val="0"/>
            <w:vAlign w:val="center"/>
          </w:tcPr>
          <w:p w14:paraId="40DC1E3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8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562" w:type="dxa"/>
            <w:vMerge w:val="continue"/>
            <w:noWrap w:val="0"/>
            <w:vAlign w:val="center"/>
          </w:tcPr>
          <w:p w14:paraId="37CC2FE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180C9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98" w:type="dxa"/>
            <w:vMerge w:val="continue"/>
            <w:noWrap w:val="0"/>
            <w:vAlign w:val="center"/>
          </w:tcPr>
          <w:p w14:paraId="2263283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8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6BC5D97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 w:bidi="ar-SA"/>
              </w:rPr>
              <w:t>类似本项目审计情况</w:t>
            </w:r>
          </w:p>
        </w:tc>
        <w:tc>
          <w:tcPr>
            <w:tcW w:w="5240" w:type="dxa"/>
            <w:noWrap w:val="0"/>
            <w:vAlign w:val="center"/>
          </w:tcPr>
          <w:p w14:paraId="57ABD9F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8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 w:bidi="ar-SA"/>
              </w:rPr>
              <w:t>每1件得2分，最高4分。</w:t>
            </w:r>
          </w:p>
        </w:tc>
        <w:tc>
          <w:tcPr>
            <w:tcW w:w="547" w:type="dxa"/>
            <w:noWrap w:val="0"/>
            <w:vAlign w:val="center"/>
          </w:tcPr>
          <w:p w14:paraId="0609515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8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562" w:type="dxa"/>
            <w:vMerge w:val="continue"/>
            <w:noWrap w:val="0"/>
            <w:vAlign w:val="center"/>
          </w:tcPr>
          <w:p w14:paraId="2958A8E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25086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8525" w:type="dxa"/>
            <w:gridSpan w:val="4"/>
            <w:noWrap w:val="0"/>
            <w:vAlign w:val="center"/>
          </w:tcPr>
          <w:p w14:paraId="3792AF1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8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  <w:t>说明：提供以上相关人员社保、证书凭证。营业面积以企业房产证或租赁合同（含相关租金支付凭证）为准。若比选总分相同，报价得分高者中选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若总得分、报价均相同，公司实力强者中选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lang w:eastAsia="zh-CN"/>
              </w:rPr>
              <w:t>。</w:t>
            </w:r>
          </w:p>
        </w:tc>
        <w:tc>
          <w:tcPr>
            <w:tcW w:w="562" w:type="dxa"/>
            <w:noWrap w:val="0"/>
            <w:vAlign w:val="center"/>
          </w:tcPr>
          <w:p w14:paraId="2EEF6B8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80" w:lineRule="exact"/>
              <w:ind w:firstLine="64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</w:pPr>
          </w:p>
        </w:tc>
      </w:tr>
    </w:tbl>
    <w:p w14:paraId="6CDDC1EF">
      <w:pP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br w:type="page"/>
      </w:r>
    </w:p>
    <w:p w14:paraId="219EDB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sectPr>
          <w:footerReference r:id="rId3" w:type="default"/>
          <w:pgSz w:w="11906" w:h="16839"/>
          <w:pgMar w:top="1371" w:right="1653" w:bottom="1662" w:left="1012" w:header="0" w:footer="1374" w:gutter="0"/>
          <w:cols w:space="720" w:num="1"/>
        </w:sectPr>
      </w:pPr>
    </w:p>
    <w:p w14:paraId="0ECBBC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附件2</w:t>
      </w:r>
    </w:p>
    <w:p w14:paraId="31D6A49F">
      <w:pPr>
        <w:spacing w:before="98" w:line="254" w:lineRule="auto"/>
        <w:ind w:right="1935"/>
        <w:jc w:val="left"/>
        <w:rPr>
          <w:rFonts w:hint="eastAsia" w:ascii="方正仿宋_GBK" w:hAnsi="方正仿宋_GBK" w:eastAsia="方正仿宋_GBK" w:cs="方正仿宋_GBK"/>
          <w:spacing w:val="1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  <w:lang w:val="en-US" w:eastAsia="zh-CN"/>
        </w:rPr>
        <w:t>《审计报告》必含附件，如下：</w:t>
      </w:r>
    </w:p>
    <w:p w14:paraId="073D4C2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附件2-1</w:t>
      </w:r>
    </w:p>
    <w:p w14:paraId="29E184E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4A542661">
      <w:pPr>
        <w:pStyle w:val="2"/>
        <w:spacing w:before="3" w:line="232" w:lineRule="auto"/>
        <w:jc w:val="center"/>
        <w:rPr>
          <w:rFonts w:ascii="方正小标宋_GBK" w:hAnsi="方正小标宋_GBK" w:eastAsia="方正小标宋_GBK" w:cs="方正小标宋_GBK"/>
          <w:spacing w:val="1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10"/>
          <w:sz w:val="44"/>
          <w:szCs w:val="44"/>
          <w:lang w:eastAsia="zh-CN"/>
        </w:rPr>
        <w:t>潼南</w:t>
      </w:r>
      <w:r>
        <w:rPr>
          <w:rFonts w:ascii="方正小标宋_GBK" w:hAnsi="方正小标宋_GBK" w:eastAsia="方正小标宋_GBK" w:cs="方正小标宋_GBK"/>
          <w:spacing w:val="10"/>
          <w:sz w:val="44"/>
          <w:szCs w:val="44"/>
        </w:rPr>
        <w:t>区涉及家电零售单位实施2024绿色智能家电以旧换新补贴政策交易汇总表</w:t>
      </w:r>
    </w:p>
    <w:p w14:paraId="1170BEF8">
      <w:pPr>
        <w:pStyle w:val="2"/>
        <w:spacing w:before="3" w:line="232" w:lineRule="auto"/>
        <w:rPr>
          <w:rFonts w:ascii="方正小标宋_GBK" w:hAnsi="方正小标宋_GBK" w:eastAsia="方正小标宋_GBK" w:cs="方正小标宋_GBK"/>
          <w:spacing w:val="10"/>
          <w:sz w:val="32"/>
          <w:szCs w:val="32"/>
        </w:rPr>
      </w:pPr>
    </w:p>
    <w:p w14:paraId="1C79FE92">
      <w:pPr>
        <w:pStyle w:val="2"/>
        <w:spacing w:before="3" w:line="232" w:lineRule="auto"/>
        <w:ind w:firstLine="1056" w:firstLineChars="400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报送单位：                                 </w:t>
      </w:r>
      <w:r>
        <w:rPr>
          <w:rFonts w:hint="eastAsia"/>
          <w:spacing w:val="-8"/>
          <w:sz w:val="28"/>
          <w:szCs w:val="28"/>
          <w:lang w:val="en-US" w:eastAsia="zh-CN"/>
        </w:rPr>
        <w:t xml:space="preserve">             </w:t>
      </w:r>
      <w:r>
        <w:rPr>
          <w:spacing w:val="-8"/>
          <w:sz w:val="28"/>
          <w:szCs w:val="28"/>
        </w:rPr>
        <w:t xml:space="preserve"> 时间：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2024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年</w:t>
      </w:r>
      <w:r>
        <w:rPr>
          <w:spacing w:val="-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X</w:t>
      </w:r>
      <w:r>
        <w:rPr>
          <w:rFonts w:ascii="Times New Roman" w:hAnsi="Times New Roman" w:eastAsia="Times New Roman" w:cs="Times New Roman"/>
          <w:spacing w:val="27"/>
          <w:w w:val="101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月  </w:t>
      </w:r>
      <w:r>
        <w:rPr>
          <w:spacing w:val="-9"/>
          <w:sz w:val="28"/>
          <w:szCs w:val="28"/>
        </w:rPr>
        <w:t xml:space="preserve"> 日</w:t>
      </w:r>
    </w:p>
    <w:tbl>
      <w:tblPr>
        <w:tblStyle w:val="8"/>
        <w:tblW w:w="137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1817"/>
        <w:gridCol w:w="1817"/>
        <w:gridCol w:w="1818"/>
        <w:gridCol w:w="1818"/>
        <w:gridCol w:w="2141"/>
        <w:gridCol w:w="2204"/>
        <w:gridCol w:w="1709"/>
      </w:tblGrid>
      <w:tr w14:paraId="18583C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475" w:type="dxa"/>
            <w:textDirection w:val="tbRlV"/>
            <w:vAlign w:val="top"/>
          </w:tcPr>
          <w:p w14:paraId="0A22E614">
            <w:pPr>
              <w:spacing w:before="116" w:line="207" w:lineRule="auto"/>
              <w:ind w:left="109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29"/>
                <w:sz w:val="24"/>
                <w:szCs w:val="24"/>
              </w:rPr>
              <w:t>序</w:t>
            </w:r>
            <w:r>
              <w:rPr>
                <w:rFonts w:ascii="方正黑体_GBK" w:hAnsi="方正黑体_GBK" w:eastAsia="方正黑体_GBK" w:cs="方正黑体_GBK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29"/>
                <w:sz w:val="24"/>
                <w:szCs w:val="24"/>
              </w:rPr>
              <w:t>号</w:t>
            </w:r>
          </w:p>
        </w:tc>
        <w:tc>
          <w:tcPr>
            <w:tcW w:w="1817" w:type="dxa"/>
            <w:vAlign w:val="top"/>
          </w:tcPr>
          <w:p w14:paraId="4FBF9738">
            <w:pPr>
              <w:spacing w:before="311" w:line="233" w:lineRule="auto"/>
              <w:ind w:left="431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4"/>
                <w:szCs w:val="24"/>
              </w:rPr>
              <w:t>企业名称</w:t>
            </w:r>
          </w:p>
        </w:tc>
        <w:tc>
          <w:tcPr>
            <w:tcW w:w="1817" w:type="dxa"/>
            <w:vAlign w:val="top"/>
          </w:tcPr>
          <w:p w14:paraId="28C9B4AF">
            <w:pPr>
              <w:spacing w:before="311" w:line="231" w:lineRule="auto"/>
              <w:ind w:left="321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交易时间段</w:t>
            </w:r>
          </w:p>
        </w:tc>
        <w:tc>
          <w:tcPr>
            <w:tcW w:w="1818" w:type="dxa"/>
            <w:vAlign w:val="top"/>
          </w:tcPr>
          <w:p w14:paraId="1E7EC3C8">
            <w:pPr>
              <w:spacing w:before="311" w:line="234" w:lineRule="auto"/>
              <w:ind w:left="206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4"/>
                <w:szCs w:val="24"/>
              </w:rPr>
              <w:t>审核通过笔数</w:t>
            </w:r>
          </w:p>
        </w:tc>
        <w:tc>
          <w:tcPr>
            <w:tcW w:w="1818" w:type="dxa"/>
            <w:vAlign w:val="top"/>
          </w:tcPr>
          <w:p w14:paraId="24087A22">
            <w:pPr>
              <w:spacing w:before="110" w:line="235" w:lineRule="auto"/>
              <w:ind w:left="193" w:right="178" w:firstLine="15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4"/>
                <w:szCs w:val="24"/>
              </w:rPr>
              <w:t>审核通过交易</w:t>
            </w:r>
            <w:r>
              <w:rPr>
                <w:rFonts w:ascii="方正黑体_GBK" w:hAnsi="方正黑体_GBK" w:eastAsia="方正黑体_GBK" w:cs="方正黑体_GBK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z w:val="24"/>
                <w:szCs w:val="24"/>
              </w:rPr>
              <w:t>额度（万元）</w:t>
            </w:r>
          </w:p>
        </w:tc>
        <w:tc>
          <w:tcPr>
            <w:tcW w:w="2141" w:type="dxa"/>
            <w:vAlign w:val="top"/>
          </w:tcPr>
          <w:p w14:paraId="7354A78A">
            <w:pPr>
              <w:spacing w:before="109" w:line="232" w:lineRule="auto"/>
              <w:ind w:left="130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审核通过垫付资金</w:t>
            </w:r>
          </w:p>
          <w:p w14:paraId="2AA487AD">
            <w:pPr>
              <w:spacing w:before="60" w:line="197" w:lineRule="auto"/>
              <w:ind w:left="582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3"/>
                <w:sz w:val="24"/>
                <w:szCs w:val="24"/>
              </w:rPr>
              <w:t>（万元）</w:t>
            </w:r>
          </w:p>
        </w:tc>
        <w:tc>
          <w:tcPr>
            <w:tcW w:w="2204" w:type="dxa"/>
            <w:vAlign w:val="top"/>
          </w:tcPr>
          <w:p w14:paraId="46E94998">
            <w:pPr>
              <w:spacing w:before="109" w:line="232" w:lineRule="auto"/>
              <w:ind w:left="537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4"/>
                <w:szCs w:val="24"/>
              </w:rPr>
              <w:t>建议拨付资金</w:t>
            </w:r>
          </w:p>
          <w:p w14:paraId="273B39FE">
            <w:pPr>
              <w:spacing w:before="60" w:line="197" w:lineRule="auto"/>
              <w:ind w:left="762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3"/>
                <w:sz w:val="24"/>
                <w:szCs w:val="24"/>
              </w:rPr>
              <w:t>（万元）</w:t>
            </w:r>
          </w:p>
        </w:tc>
        <w:tc>
          <w:tcPr>
            <w:tcW w:w="1709" w:type="dxa"/>
            <w:vAlign w:val="top"/>
          </w:tcPr>
          <w:p w14:paraId="314D58B0">
            <w:pPr>
              <w:spacing w:before="311" w:line="235" w:lineRule="auto"/>
              <w:ind w:left="355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6"/>
                <w:sz w:val="24"/>
                <w:szCs w:val="24"/>
              </w:rPr>
              <w:t>备</w:t>
            </w:r>
            <w:r>
              <w:rPr>
                <w:rFonts w:ascii="方正黑体_GBK" w:hAnsi="方正黑体_GBK" w:eastAsia="方正黑体_GBK" w:cs="方正黑体_GBK"/>
                <w:spacing w:val="18"/>
                <w:sz w:val="24"/>
                <w:szCs w:val="24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6"/>
                <w:sz w:val="24"/>
                <w:szCs w:val="24"/>
              </w:rPr>
              <w:t>注</w:t>
            </w:r>
          </w:p>
        </w:tc>
      </w:tr>
      <w:tr w14:paraId="04E58C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475" w:type="dxa"/>
            <w:vAlign w:val="top"/>
          </w:tcPr>
          <w:p w14:paraId="5B3E40EC">
            <w:pPr>
              <w:pStyle w:val="9"/>
            </w:pPr>
          </w:p>
        </w:tc>
        <w:tc>
          <w:tcPr>
            <w:tcW w:w="1817" w:type="dxa"/>
            <w:vAlign w:val="top"/>
          </w:tcPr>
          <w:p w14:paraId="55CBFE05">
            <w:pPr>
              <w:pStyle w:val="9"/>
            </w:pPr>
          </w:p>
        </w:tc>
        <w:tc>
          <w:tcPr>
            <w:tcW w:w="1817" w:type="dxa"/>
            <w:vAlign w:val="top"/>
          </w:tcPr>
          <w:p w14:paraId="2CDF886D">
            <w:pPr>
              <w:pStyle w:val="9"/>
            </w:pPr>
          </w:p>
        </w:tc>
        <w:tc>
          <w:tcPr>
            <w:tcW w:w="1818" w:type="dxa"/>
            <w:vAlign w:val="top"/>
          </w:tcPr>
          <w:p w14:paraId="21F8E5B0">
            <w:pPr>
              <w:pStyle w:val="9"/>
            </w:pPr>
          </w:p>
        </w:tc>
        <w:tc>
          <w:tcPr>
            <w:tcW w:w="1818" w:type="dxa"/>
            <w:vAlign w:val="top"/>
          </w:tcPr>
          <w:p w14:paraId="1C2059FA">
            <w:pPr>
              <w:pStyle w:val="9"/>
            </w:pPr>
          </w:p>
        </w:tc>
        <w:tc>
          <w:tcPr>
            <w:tcW w:w="2141" w:type="dxa"/>
            <w:vAlign w:val="top"/>
          </w:tcPr>
          <w:p w14:paraId="25ED9C6F">
            <w:pPr>
              <w:pStyle w:val="9"/>
            </w:pPr>
          </w:p>
        </w:tc>
        <w:tc>
          <w:tcPr>
            <w:tcW w:w="2204" w:type="dxa"/>
            <w:vAlign w:val="top"/>
          </w:tcPr>
          <w:p w14:paraId="02B57801">
            <w:pPr>
              <w:pStyle w:val="9"/>
            </w:pPr>
          </w:p>
        </w:tc>
        <w:tc>
          <w:tcPr>
            <w:tcW w:w="1709" w:type="dxa"/>
            <w:vAlign w:val="top"/>
          </w:tcPr>
          <w:p w14:paraId="2F9B302F">
            <w:pPr>
              <w:pStyle w:val="9"/>
            </w:pPr>
          </w:p>
        </w:tc>
      </w:tr>
      <w:tr w14:paraId="121014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475" w:type="dxa"/>
            <w:vAlign w:val="top"/>
          </w:tcPr>
          <w:p w14:paraId="73C2247A">
            <w:pPr>
              <w:pStyle w:val="9"/>
            </w:pPr>
          </w:p>
        </w:tc>
        <w:tc>
          <w:tcPr>
            <w:tcW w:w="1817" w:type="dxa"/>
            <w:vAlign w:val="top"/>
          </w:tcPr>
          <w:p w14:paraId="5D6441E1">
            <w:pPr>
              <w:pStyle w:val="9"/>
            </w:pPr>
          </w:p>
        </w:tc>
        <w:tc>
          <w:tcPr>
            <w:tcW w:w="1817" w:type="dxa"/>
            <w:vAlign w:val="top"/>
          </w:tcPr>
          <w:p w14:paraId="4C6321B7">
            <w:pPr>
              <w:pStyle w:val="9"/>
            </w:pPr>
          </w:p>
        </w:tc>
        <w:tc>
          <w:tcPr>
            <w:tcW w:w="1818" w:type="dxa"/>
            <w:vAlign w:val="top"/>
          </w:tcPr>
          <w:p w14:paraId="0B557B5A">
            <w:pPr>
              <w:pStyle w:val="9"/>
            </w:pPr>
          </w:p>
        </w:tc>
        <w:tc>
          <w:tcPr>
            <w:tcW w:w="1818" w:type="dxa"/>
            <w:vAlign w:val="top"/>
          </w:tcPr>
          <w:p w14:paraId="4E8357D0">
            <w:pPr>
              <w:pStyle w:val="9"/>
            </w:pPr>
          </w:p>
        </w:tc>
        <w:tc>
          <w:tcPr>
            <w:tcW w:w="2141" w:type="dxa"/>
            <w:vAlign w:val="top"/>
          </w:tcPr>
          <w:p w14:paraId="60F538A5">
            <w:pPr>
              <w:pStyle w:val="9"/>
            </w:pPr>
          </w:p>
        </w:tc>
        <w:tc>
          <w:tcPr>
            <w:tcW w:w="2204" w:type="dxa"/>
            <w:vAlign w:val="top"/>
          </w:tcPr>
          <w:p w14:paraId="7D20F77B">
            <w:pPr>
              <w:pStyle w:val="9"/>
            </w:pPr>
          </w:p>
        </w:tc>
        <w:tc>
          <w:tcPr>
            <w:tcW w:w="1709" w:type="dxa"/>
            <w:vAlign w:val="top"/>
          </w:tcPr>
          <w:p w14:paraId="739147A6">
            <w:pPr>
              <w:pStyle w:val="9"/>
            </w:pPr>
          </w:p>
        </w:tc>
      </w:tr>
      <w:tr w14:paraId="4334B0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475" w:type="dxa"/>
            <w:vAlign w:val="top"/>
          </w:tcPr>
          <w:p w14:paraId="62206A75">
            <w:pPr>
              <w:pStyle w:val="9"/>
            </w:pPr>
          </w:p>
        </w:tc>
        <w:tc>
          <w:tcPr>
            <w:tcW w:w="1817" w:type="dxa"/>
            <w:vAlign w:val="top"/>
          </w:tcPr>
          <w:p w14:paraId="0755374B">
            <w:pPr>
              <w:pStyle w:val="9"/>
            </w:pPr>
          </w:p>
        </w:tc>
        <w:tc>
          <w:tcPr>
            <w:tcW w:w="1817" w:type="dxa"/>
            <w:vAlign w:val="top"/>
          </w:tcPr>
          <w:p w14:paraId="66FCAEE4">
            <w:pPr>
              <w:pStyle w:val="9"/>
            </w:pPr>
          </w:p>
        </w:tc>
        <w:tc>
          <w:tcPr>
            <w:tcW w:w="1818" w:type="dxa"/>
            <w:vAlign w:val="top"/>
          </w:tcPr>
          <w:p w14:paraId="24BF47D0">
            <w:pPr>
              <w:pStyle w:val="9"/>
            </w:pPr>
          </w:p>
        </w:tc>
        <w:tc>
          <w:tcPr>
            <w:tcW w:w="1818" w:type="dxa"/>
            <w:vAlign w:val="top"/>
          </w:tcPr>
          <w:p w14:paraId="21BF5E75">
            <w:pPr>
              <w:pStyle w:val="9"/>
            </w:pPr>
          </w:p>
        </w:tc>
        <w:tc>
          <w:tcPr>
            <w:tcW w:w="2141" w:type="dxa"/>
            <w:vAlign w:val="top"/>
          </w:tcPr>
          <w:p w14:paraId="351070BC">
            <w:pPr>
              <w:pStyle w:val="9"/>
            </w:pPr>
          </w:p>
        </w:tc>
        <w:tc>
          <w:tcPr>
            <w:tcW w:w="2204" w:type="dxa"/>
            <w:vAlign w:val="top"/>
          </w:tcPr>
          <w:p w14:paraId="53E4C553">
            <w:pPr>
              <w:pStyle w:val="9"/>
            </w:pPr>
          </w:p>
        </w:tc>
        <w:tc>
          <w:tcPr>
            <w:tcW w:w="1709" w:type="dxa"/>
            <w:vAlign w:val="top"/>
          </w:tcPr>
          <w:p w14:paraId="3BF2AA54">
            <w:pPr>
              <w:pStyle w:val="9"/>
            </w:pPr>
          </w:p>
        </w:tc>
      </w:tr>
      <w:tr w14:paraId="0B9BAD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292" w:type="dxa"/>
            <w:gridSpan w:val="2"/>
            <w:vAlign w:val="top"/>
          </w:tcPr>
          <w:p w14:paraId="6EC553FA">
            <w:pPr>
              <w:spacing w:before="158" w:line="233" w:lineRule="auto"/>
              <w:ind w:left="797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8"/>
                <w:sz w:val="24"/>
                <w:szCs w:val="24"/>
              </w:rPr>
              <w:t>合</w:t>
            </w:r>
            <w:r>
              <w:rPr>
                <w:rFonts w:ascii="方正仿宋_GBK" w:hAnsi="方正仿宋_GBK" w:eastAsia="方正仿宋_GBK" w:cs="方正仿宋_GBK"/>
                <w:spacing w:val="23"/>
                <w:sz w:val="24"/>
                <w:szCs w:val="24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spacing w:val="-8"/>
                <w:sz w:val="24"/>
                <w:szCs w:val="24"/>
              </w:rPr>
              <w:t>计</w:t>
            </w:r>
          </w:p>
        </w:tc>
        <w:tc>
          <w:tcPr>
            <w:tcW w:w="1817" w:type="dxa"/>
            <w:vAlign w:val="top"/>
          </w:tcPr>
          <w:p w14:paraId="000D2F92">
            <w:pPr>
              <w:pStyle w:val="9"/>
            </w:pPr>
          </w:p>
        </w:tc>
        <w:tc>
          <w:tcPr>
            <w:tcW w:w="1818" w:type="dxa"/>
            <w:vAlign w:val="top"/>
          </w:tcPr>
          <w:p w14:paraId="4A4002E7">
            <w:pPr>
              <w:pStyle w:val="9"/>
            </w:pPr>
          </w:p>
        </w:tc>
        <w:tc>
          <w:tcPr>
            <w:tcW w:w="1818" w:type="dxa"/>
            <w:vAlign w:val="top"/>
          </w:tcPr>
          <w:p w14:paraId="13CA0E81">
            <w:pPr>
              <w:pStyle w:val="9"/>
            </w:pPr>
          </w:p>
        </w:tc>
        <w:tc>
          <w:tcPr>
            <w:tcW w:w="2141" w:type="dxa"/>
            <w:vAlign w:val="top"/>
          </w:tcPr>
          <w:p w14:paraId="3DE7DA08">
            <w:pPr>
              <w:pStyle w:val="9"/>
            </w:pPr>
          </w:p>
        </w:tc>
        <w:tc>
          <w:tcPr>
            <w:tcW w:w="2204" w:type="dxa"/>
            <w:vAlign w:val="top"/>
          </w:tcPr>
          <w:p w14:paraId="7C0C54E6">
            <w:pPr>
              <w:pStyle w:val="9"/>
            </w:pPr>
          </w:p>
        </w:tc>
        <w:tc>
          <w:tcPr>
            <w:tcW w:w="1709" w:type="dxa"/>
            <w:vAlign w:val="top"/>
          </w:tcPr>
          <w:p w14:paraId="050C0DBE">
            <w:pPr>
              <w:pStyle w:val="9"/>
            </w:pPr>
          </w:p>
        </w:tc>
      </w:tr>
    </w:tbl>
    <w:p w14:paraId="638A6239">
      <w:pPr>
        <w:pStyle w:val="2"/>
        <w:spacing w:before="131" w:line="233" w:lineRule="auto"/>
        <w:ind w:left="1388"/>
        <w:rPr>
          <w:sz w:val="28"/>
          <w:szCs w:val="28"/>
        </w:rPr>
      </w:pPr>
      <w:r>
        <w:rPr>
          <w:spacing w:val="-3"/>
          <w:sz w:val="28"/>
          <w:szCs w:val="28"/>
        </w:rPr>
        <w:t>填报人：</w:t>
      </w:r>
      <w:r>
        <w:rPr>
          <w:spacing w:val="1"/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</w:t>
      </w:r>
      <w:r>
        <w:rPr>
          <w:spacing w:val="-3"/>
          <w:sz w:val="28"/>
          <w:szCs w:val="28"/>
        </w:rPr>
        <w:t>联系电话：</w:t>
      </w:r>
    </w:p>
    <w:p w14:paraId="4EBA7ED7">
      <w:pPr>
        <w:spacing w:line="233" w:lineRule="auto"/>
        <w:rPr>
          <w:sz w:val="28"/>
          <w:szCs w:val="28"/>
        </w:rPr>
        <w:sectPr>
          <w:pgSz w:w="16839" w:h="11906" w:orient="landscape"/>
          <w:pgMar w:top="1012" w:right="1371" w:bottom="1653" w:left="1662" w:header="0" w:footer="1374" w:gutter="0"/>
          <w:cols w:space="720" w:num="1"/>
        </w:sectPr>
      </w:pPr>
    </w:p>
    <w:p w14:paraId="2F1168BD">
      <w:pPr>
        <w:spacing w:before="114" w:line="239" w:lineRule="auto"/>
        <w:ind w:left="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1"/>
          <w:sz w:val="31"/>
          <w:szCs w:val="31"/>
        </w:rPr>
        <w:t>附件</w:t>
      </w:r>
      <w:r>
        <w:rPr>
          <w:rFonts w:hint="eastAsia" w:eastAsia="宋体" w:cs="Times New Roman"/>
          <w:spacing w:val="1"/>
          <w:sz w:val="31"/>
          <w:szCs w:val="31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pacing w:val="1"/>
          <w:sz w:val="31"/>
          <w:szCs w:val="31"/>
          <w:lang w:val="en-US" w:eastAsia="zh-CN"/>
        </w:rPr>
        <w:t>-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</w:t>
      </w:r>
    </w:p>
    <w:p w14:paraId="4D93B002">
      <w:pPr>
        <w:pStyle w:val="2"/>
        <w:spacing w:before="3" w:line="232" w:lineRule="auto"/>
        <w:jc w:val="center"/>
        <w:rPr>
          <w:rFonts w:hint="eastAsia" w:ascii="方正小标宋_GBK" w:hAnsi="方正小标宋_GBK" w:eastAsia="方正小标宋_GBK" w:cs="方正小标宋_GBK"/>
          <w:spacing w:val="10"/>
          <w:sz w:val="44"/>
          <w:szCs w:val="44"/>
          <w:lang w:eastAsia="zh-CN"/>
        </w:rPr>
      </w:pPr>
    </w:p>
    <w:p w14:paraId="446E09C4">
      <w:pPr>
        <w:pStyle w:val="2"/>
        <w:spacing w:before="3" w:line="232" w:lineRule="auto"/>
        <w:jc w:val="center"/>
        <w:rPr>
          <w:rFonts w:ascii="方正小标宋_GBK" w:hAnsi="方正小标宋_GBK" w:eastAsia="方正小标宋_GBK" w:cs="方正小标宋_GBK"/>
          <w:spacing w:val="1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10"/>
          <w:sz w:val="44"/>
          <w:szCs w:val="44"/>
          <w:lang w:eastAsia="zh-CN"/>
        </w:rPr>
        <w:t>潼南</w:t>
      </w:r>
      <w:r>
        <w:rPr>
          <w:rFonts w:ascii="方正小标宋_GBK" w:hAnsi="方正小标宋_GBK" w:eastAsia="方正小标宋_GBK" w:cs="方正小标宋_GBK"/>
          <w:spacing w:val="10"/>
          <w:sz w:val="44"/>
          <w:szCs w:val="44"/>
        </w:rPr>
        <w:t>区涉及家电零售单位实施2024绿色智能家电以旧换新补贴政策交易明细表</w:t>
      </w:r>
    </w:p>
    <w:p w14:paraId="269B3759">
      <w:pPr>
        <w:pStyle w:val="2"/>
        <w:spacing w:before="3" w:line="232" w:lineRule="auto"/>
        <w:rPr>
          <w:sz w:val="28"/>
          <w:szCs w:val="28"/>
        </w:rPr>
      </w:pPr>
      <w:r>
        <w:rPr>
          <w:spacing w:val="-5"/>
          <w:sz w:val="28"/>
          <w:szCs w:val="28"/>
        </w:rPr>
        <w:t>报送单位（商家</w:t>
      </w:r>
      <w:r>
        <w:rPr>
          <w:spacing w:val="-62"/>
          <w:sz w:val="28"/>
          <w:szCs w:val="28"/>
        </w:rPr>
        <w:t>）：</w:t>
      </w:r>
      <w:r>
        <w:rPr>
          <w:spacing w:val="2"/>
          <w:sz w:val="28"/>
          <w:szCs w:val="28"/>
        </w:rPr>
        <w:t xml:space="preserve">                                   </w:t>
      </w:r>
      <w:r>
        <w:rPr>
          <w:spacing w:val="1"/>
          <w:sz w:val="28"/>
          <w:szCs w:val="28"/>
        </w:rPr>
        <w:t xml:space="preserve">   </w:t>
      </w:r>
      <w:r>
        <w:rPr>
          <w:spacing w:val="-5"/>
          <w:sz w:val="28"/>
          <w:szCs w:val="28"/>
        </w:rPr>
        <w:t>时间：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2024 </w:t>
      </w:r>
      <w:r>
        <w:rPr>
          <w:spacing w:val="-5"/>
          <w:sz w:val="28"/>
          <w:szCs w:val="28"/>
        </w:rPr>
        <w:t>年</w:t>
      </w:r>
      <w:r>
        <w:rPr>
          <w:spacing w:val="-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X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月   日</w:t>
      </w:r>
    </w:p>
    <w:p w14:paraId="25D92C23">
      <w:pPr>
        <w:spacing w:line="149" w:lineRule="exact"/>
      </w:pPr>
    </w:p>
    <w:tbl>
      <w:tblPr>
        <w:tblStyle w:val="8"/>
        <w:tblW w:w="12475" w:type="dxa"/>
        <w:tblInd w:w="18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1580"/>
        <w:gridCol w:w="1580"/>
        <w:gridCol w:w="1580"/>
        <w:gridCol w:w="1581"/>
        <w:gridCol w:w="2174"/>
        <w:gridCol w:w="2174"/>
        <w:gridCol w:w="1230"/>
      </w:tblGrid>
      <w:tr w14:paraId="6D066C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576" w:type="dxa"/>
            <w:textDirection w:val="tbRlV"/>
            <w:vAlign w:val="top"/>
          </w:tcPr>
          <w:p w14:paraId="6E6AC5BF">
            <w:pPr>
              <w:spacing w:before="166" w:line="207" w:lineRule="auto"/>
              <w:ind w:left="110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29"/>
                <w:sz w:val="24"/>
                <w:szCs w:val="24"/>
              </w:rPr>
              <w:t>序号</w:t>
            </w:r>
          </w:p>
        </w:tc>
        <w:tc>
          <w:tcPr>
            <w:tcW w:w="1580" w:type="dxa"/>
            <w:vAlign w:val="top"/>
          </w:tcPr>
          <w:p w14:paraId="373F1F3B">
            <w:pPr>
              <w:spacing w:before="309" w:line="233" w:lineRule="auto"/>
              <w:ind w:left="313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4"/>
                <w:szCs w:val="24"/>
              </w:rPr>
              <w:t>企业名称</w:t>
            </w:r>
          </w:p>
        </w:tc>
        <w:tc>
          <w:tcPr>
            <w:tcW w:w="1580" w:type="dxa"/>
            <w:vAlign w:val="top"/>
          </w:tcPr>
          <w:p w14:paraId="732A9251">
            <w:pPr>
              <w:spacing w:before="308" w:line="233" w:lineRule="auto"/>
              <w:ind w:left="192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4"/>
                <w:szCs w:val="24"/>
              </w:rPr>
              <w:t>银联订单号</w:t>
            </w:r>
          </w:p>
        </w:tc>
        <w:tc>
          <w:tcPr>
            <w:tcW w:w="1580" w:type="dxa"/>
            <w:vAlign w:val="top"/>
          </w:tcPr>
          <w:p w14:paraId="54C89CB2">
            <w:pPr>
              <w:spacing w:before="310" w:line="231" w:lineRule="auto"/>
              <w:ind w:left="322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4"/>
                <w:szCs w:val="24"/>
              </w:rPr>
              <w:t>交易时间</w:t>
            </w:r>
          </w:p>
        </w:tc>
        <w:tc>
          <w:tcPr>
            <w:tcW w:w="1581" w:type="dxa"/>
            <w:vAlign w:val="top"/>
          </w:tcPr>
          <w:p w14:paraId="5C7CFFD5">
            <w:pPr>
              <w:spacing w:before="110" w:line="235" w:lineRule="auto"/>
              <w:ind w:left="318" w:right="148" w:hanging="147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4"/>
                <w:szCs w:val="24"/>
              </w:rPr>
              <w:t>商品序列号/</w:t>
            </w:r>
            <w:r>
              <w:rPr>
                <w:rFonts w:ascii="方正黑体_GBK" w:hAnsi="方正黑体_GBK" w:eastAsia="方正黑体_GBK" w:cs="方正黑体_GBK"/>
                <w:sz w:val="24"/>
                <w:szCs w:val="24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2"/>
                <w:sz w:val="24"/>
                <w:szCs w:val="24"/>
              </w:rPr>
              <w:t>物流单号</w:t>
            </w:r>
          </w:p>
        </w:tc>
        <w:tc>
          <w:tcPr>
            <w:tcW w:w="2174" w:type="dxa"/>
            <w:vAlign w:val="top"/>
          </w:tcPr>
          <w:p w14:paraId="1370F769">
            <w:pPr>
              <w:spacing w:before="110" w:line="232" w:lineRule="auto"/>
              <w:ind w:left="380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商品销售价格</w:t>
            </w:r>
          </w:p>
          <w:p w14:paraId="1DCE5359">
            <w:pPr>
              <w:spacing w:before="61" w:line="196" w:lineRule="auto"/>
              <w:ind w:left="357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2"/>
                <w:sz w:val="24"/>
                <w:szCs w:val="24"/>
              </w:rPr>
              <w:t>（单位：元）</w:t>
            </w:r>
          </w:p>
        </w:tc>
        <w:tc>
          <w:tcPr>
            <w:tcW w:w="2174" w:type="dxa"/>
            <w:vAlign w:val="top"/>
          </w:tcPr>
          <w:p w14:paraId="2E8A7810">
            <w:pPr>
              <w:spacing w:before="110" w:line="233" w:lineRule="auto"/>
              <w:ind w:left="275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4"/>
                <w:szCs w:val="24"/>
              </w:rPr>
              <w:t>已垫付补贴金额</w:t>
            </w:r>
          </w:p>
          <w:p w14:paraId="4556DC38">
            <w:pPr>
              <w:spacing w:before="59" w:line="196" w:lineRule="auto"/>
              <w:ind w:left="360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2"/>
                <w:sz w:val="24"/>
                <w:szCs w:val="24"/>
              </w:rPr>
              <w:t>（单位：元）</w:t>
            </w:r>
          </w:p>
        </w:tc>
        <w:tc>
          <w:tcPr>
            <w:tcW w:w="1230" w:type="dxa"/>
            <w:vAlign w:val="top"/>
          </w:tcPr>
          <w:p w14:paraId="508189CC">
            <w:pPr>
              <w:spacing w:before="309" w:line="235" w:lineRule="auto"/>
              <w:ind w:left="262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6"/>
                <w:sz w:val="24"/>
                <w:szCs w:val="24"/>
              </w:rPr>
              <w:t>备</w:t>
            </w:r>
            <w:r>
              <w:rPr>
                <w:rFonts w:ascii="方正黑体_GBK" w:hAnsi="方正黑体_GBK" w:eastAsia="方正黑体_GBK" w:cs="方正黑体_GBK"/>
                <w:spacing w:val="19"/>
                <w:sz w:val="24"/>
                <w:szCs w:val="24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6"/>
                <w:sz w:val="24"/>
                <w:szCs w:val="24"/>
              </w:rPr>
              <w:t>注</w:t>
            </w:r>
          </w:p>
        </w:tc>
      </w:tr>
      <w:tr w14:paraId="5A6674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576" w:type="dxa"/>
            <w:vAlign w:val="top"/>
          </w:tcPr>
          <w:p w14:paraId="6083B7E7">
            <w:pPr>
              <w:pStyle w:val="9"/>
            </w:pPr>
          </w:p>
        </w:tc>
        <w:tc>
          <w:tcPr>
            <w:tcW w:w="1580" w:type="dxa"/>
            <w:vAlign w:val="top"/>
          </w:tcPr>
          <w:p w14:paraId="087DE150">
            <w:pPr>
              <w:pStyle w:val="9"/>
            </w:pPr>
          </w:p>
        </w:tc>
        <w:tc>
          <w:tcPr>
            <w:tcW w:w="1580" w:type="dxa"/>
            <w:vAlign w:val="top"/>
          </w:tcPr>
          <w:p w14:paraId="318F3304">
            <w:pPr>
              <w:pStyle w:val="9"/>
            </w:pPr>
          </w:p>
        </w:tc>
        <w:tc>
          <w:tcPr>
            <w:tcW w:w="1580" w:type="dxa"/>
            <w:vAlign w:val="top"/>
          </w:tcPr>
          <w:p w14:paraId="7344DE30">
            <w:pPr>
              <w:pStyle w:val="9"/>
            </w:pPr>
          </w:p>
        </w:tc>
        <w:tc>
          <w:tcPr>
            <w:tcW w:w="1581" w:type="dxa"/>
            <w:vAlign w:val="top"/>
          </w:tcPr>
          <w:p w14:paraId="3483A3B0">
            <w:pPr>
              <w:pStyle w:val="9"/>
            </w:pPr>
          </w:p>
        </w:tc>
        <w:tc>
          <w:tcPr>
            <w:tcW w:w="2174" w:type="dxa"/>
            <w:vAlign w:val="top"/>
          </w:tcPr>
          <w:p w14:paraId="38CF9697">
            <w:pPr>
              <w:pStyle w:val="9"/>
            </w:pPr>
          </w:p>
        </w:tc>
        <w:tc>
          <w:tcPr>
            <w:tcW w:w="2174" w:type="dxa"/>
            <w:vAlign w:val="top"/>
          </w:tcPr>
          <w:p w14:paraId="52799FCC">
            <w:pPr>
              <w:pStyle w:val="9"/>
            </w:pPr>
          </w:p>
        </w:tc>
        <w:tc>
          <w:tcPr>
            <w:tcW w:w="1230" w:type="dxa"/>
            <w:vAlign w:val="top"/>
          </w:tcPr>
          <w:p w14:paraId="14E70D0F">
            <w:pPr>
              <w:pStyle w:val="9"/>
            </w:pPr>
          </w:p>
        </w:tc>
      </w:tr>
      <w:tr w14:paraId="4258FD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576" w:type="dxa"/>
            <w:vAlign w:val="top"/>
          </w:tcPr>
          <w:p w14:paraId="75345044">
            <w:pPr>
              <w:pStyle w:val="9"/>
            </w:pPr>
          </w:p>
        </w:tc>
        <w:tc>
          <w:tcPr>
            <w:tcW w:w="1580" w:type="dxa"/>
            <w:vAlign w:val="top"/>
          </w:tcPr>
          <w:p w14:paraId="6C04B852">
            <w:pPr>
              <w:pStyle w:val="9"/>
            </w:pPr>
          </w:p>
        </w:tc>
        <w:tc>
          <w:tcPr>
            <w:tcW w:w="1580" w:type="dxa"/>
            <w:vAlign w:val="top"/>
          </w:tcPr>
          <w:p w14:paraId="0BDD1A87">
            <w:pPr>
              <w:pStyle w:val="9"/>
            </w:pPr>
          </w:p>
        </w:tc>
        <w:tc>
          <w:tcPr>
            <w:tcW w:w="1580" w:type="dxa"/>
            <w:vAlign w:val="top"/>
          </w:tcPr>
          <w:p w14:paraId="70D2C957">
            <w:pPr>
              <w:pStyle w:val="9"/>
            </w:pPr>
          </w:p>
        </w:tc>
        <w:tc>
          <w:tcPr>
            <w:tcW w:w="1581" w:type="dxa"/>
            <w:vAlign w:val="top"/>
          </w:tcPr>
          <w:p w14:paraId="5F00023D">
            <w:pPr>
              <w:pStyle w:val="9"/>
            </w:pPr>
          </w:p>
        </w:tc>
        <w:tc>
          <w:tcPr>
            <w:tcW w:w="2174" w:type="dxa"/>
            <w:vAlign w:val="top"/>
          </w:tcPr>
          <w:p w14:paraId="62D9EEF0">
            <w:pPr>
              <w:pStyle w:val="9"/>
            </w:pPr>
          </w:p>
        </w:tc>
        <w:tc>
          <w:tcPr>
            <w:tcW w:w="2174" w:type="dxa"/>
            <w:vAlign w:val="top"/>
          </w:tcPr>
          <w:p w14:paraId="1D0E7938">
            <w:pPr>
              <w:pStyle w:val="9"/>
            </w:pPr>
          </w:p>
        </w:tc>
        <w:tc>
          <w:tcPr>
            <w:tcW w:w="1230" w:type="dxa"/>
            <w:vAlign w:val="top"/>
          </w:tcPr>
          <w:p w14:paraId="25F1E95D">
            <w:pPr>
              <w:pStyle w:val="9"/>
            </w:pPr>
          </w:p>
        </w:tc>
      </w:tr>
      <w:tr w14:paraId="67754D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576" w:type="dxa"/>
            <w:vAlign w:val="top"/>
          </w:tcPr>
          <w:p w14:paraId="4CEB933B">
            <w:pPr>
              <w:pStyle w:val="9"/>
            </w:pPr>
          </w:p>
        </w:tc>
        <w:tc>
          <w:tcPr>
            <w:tcW w:w="1580" w:type="dxa"/>
            <w:vAlign w:val="top"/>
          </w:tcPr>
          <w:p w14:paraId="5D58B16E">
            <w:pPr>
              <w:pStyle w:val="9"/>
            </w:pPr>
          </w:p>
        </w:tc>
        <w:tc>
          <w:tcPr>
            <w:tcW w:w="1580" w:type="dxa"/>
            <w:vAlign w:val="top"/>
          </w:tcPr>
          <w:p w14:paraId="3A2F8CCF">
            <w:pPr>
              <w:pStyle w:val="9"/>
            </w:pPr>
          </w:p>
        </w:tc>
        <w:tc>
          <w:tcPr>
            <w:tcW w:w="1580" w:type="dxa"/>
            <w:vAlign w:val="top"/>
          </w:tcPr>
          <w:p w14:paraId="0804132B">
            <w:pPr>
              <w:pStyle w:val="9"/>
            </w:pPr>
          </w:p>
        </w:tc>
        <w:tc>
          <w:tcPr>
            <w:tcW w:w="1581" w:type="dxa"/>
            <w:vAlign w:val="top"/>
          </w:tcPr>
          <w:p w14:paraId="0D2B3382">
            <w:pPr>
              <w:pStyle w:val="9"/>
            </w:pPr>
          </w:p>
        </w:tc>
        <w:tc>
          <w:tcPr>
            <w:tcW w:w="2174" w:type="dxa"/>
            <w:vAlign w:val="top"/>
          </w:tcPr>
          <w:p w14:paraId="1509B9D4">
            <w:pPr>
              <w:pStyle w:val="9"/>
            </w:pPr>
          </w:p>
        </w:tc>
        <w:tc>
          <w:tcPr>
            <w:tcW w:w="2174" w:type="dxa"/>
            <w:vAlign w:val="top"/>
          </w:tcPr>
          <w:p w14:paraId="71CA9E88">
            <w:pPr>
              <w:pStyle w:val="9"/>
            </w:pPr>
          </w:p>
        </w:tc>
        <w:tc>
          <w:tcPr>
            <w:tcW w:w="1230" w:type="dxa"/>
            <w:vAlign w:val="top"/>
          </w:tcPr>
          <w:p w14:paraId="075D2676">
            <w:pPr>
              <w:pStyle w:val="9"/>
            </w:pPr>
          </w:p>
        </w:tc>
      </w:tr>
      <w:tr w14:paraId="0AEEEB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156" w:type="dxa"/>
            <w:gridSpan w:val="2"/>
            <w:vAlign w:val="top"/>
          </w:tcPr>
          <w:p w14:paraId="41895B12">
            <w:pPr>
              <w:spacing w:before="159" w:line="233" w:lineRule="auto"/>
              <w:ind w:left="73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8"/>
                <w:sz w:val="24"/>
                <w:szCs w:val="24"/>
              </w:rPr>
              <w:t>合</w:t>
            </w:r>
            <w:r>
              <w:rPr>
                <w:rFonts w:ascii="方正仿宋_GBK" w:hAnsi="方正仿宋_GBK" w:eastAsia="方正仿宋_GBK" w:cs="方正仿宋_GBK"/>
                <w:spacing w:val="22"/>
                <w:sz w:val="24"/>
                <w:szCs w:val="24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spacing w:val="-8"/>
                <w:sz w:val="24"/>
                <w:szCs w:val="24"/>
              </w:rPr>
              <w:t>计</w:t>
            </w:r>
          </w:p>
        </w:tc>
        <w:tc>
          <w:tcPr>
            <w:tcW w:w="1580" w:type="dxa"/>
            <w:vAlign w:val="top"/>
          </w:tcPr>
          <w:p w14:paraId="211EEC30">
            <w:pPr>
              <w:pStyle w:val="9"/>
            </w:pPr>
          </w:p>
        </w:tc>
        <w:tc>
          <w:tcPr>
            <w:tcW w:w="1580" w:type="dxa"/>
            <w:vAlign w:val="top"/>
          </w:tcPr>
          <w:p w14:paraId="063C191E">
            <w:pPr>
              <w:pStyle w:val="9"/>
            </w:pPr>
          </w:p>
        </w:tc>
        <w:tc>
          <w:tcPr>
            <w:tcW w:w="1581" w:type="dxa"/>
            <w:vAlign w:val="top"/>
          </w:tcPr>
          <w:p w14:paraId="462A1E1B">
            <w:pPr>
              <w:pStyle w:val="9"/>
            </w:pPr>
          </w:p>
        </w:tc>
        <w:tc>
          <w:tcPr>
            <w:tcW w:w="2174" w:type="dxa"/>
            <w:vAlign w:val="top"/>
          </w:tcPr>
          <w:p w14:paraId="0DCAF1AD">
            <w:pPr>
              <w:pStyle w:val="9"/>
            </w:pPr>
          </w:p>
        </w:tc>
        <w:tc>
          <w:tcPr>
            <w:tcW w:w="2174" w:type="dxa"/>
            <w:vAlign w:val="top"/>
          </w:tcPr>
          <w:p w14:paraId="0C437F37">
            <w:pPr>
              <w:pStyle w:val="9"/>
            </w:pPr>
          </w:p>
        </w:tc>
        <w:tc>
          <w:tcPr>
            <w:tcW w:w="1230" w:type="dxa"/>
            <w:vAlign w:val="top"/>
          </w:tcPr>
          <w:p w14:paraId="717B1D27">
            <w:pPr>
              <w:pStyle w:val="9"/>
            </w:pPr>
          </w:p>
        </w:tc>
      </w:tr>
    </w:tbl>
    <w:p w14:paraId="5E90F183">
      <w:pPr>
        <w:pStyle w:val="2"/>
        <w:spacing w:before="45" w:line="233" w:lineRule="auto"/>
        <w:ind w:left="1196"/>
        <w:rPr>
          <w:sz w:val="28"/>
          <w:szCs w:val="28"/>
        </w:rPr>
      </w:pPr>
      <w:r>
        <w:rPr>
          <w:spacing w:val="-1"/>
          <w:sz w:val="28"/>
          <w:szCs w:val="28"/>
        </w:rPr>
        <w:t>填报人：                                             联系电话：</w:t>
      </w:r>
    </w:p>
    <w:p w14:paraId="079AFFD9">
      <w:pPr>
        <w:pStyle w:val="2"/>
        <w:spacing w:before="1" w:line="219" w:lineRule="auto"/>
        <w:rPr>
          <w:spacing w:val="1"/>
          <w:sz w:val="24"/>
          <w:szCs w:val="24"/>
        </w:rPr>
      </w:pPr>
    </w:p>
    <w:p w14:paraId="7D488BB2">
      <w:pPr>
        <w:pStyle w:val="2"/>
        <w:spacing w:before="1" w:line="219" w:lineRule="auto"/>
        <w:rPr>
          <w:sz w:val="24"/>
          <w:szCs w:val="24"/>
        </w:rPr>
      </w:pPr>
      <w:r>
        <w:rPr>
          <w:spacing w:val="1"/>
          <w:sz w:val="24"/>
          <w:szCs w:val="24"/>
        </w:rPr>
        <w:t>备注：</w:t>
      </w:r>
      <w:r>
        <w:rPr>
          <w:rFonts w:hint="eastAsia" w:ascii="Times New Roman" w:hAnsi="Times New Roman" w:eastAsia="宋体" w:cs="Times New Roman"/>
          <w:spacing w:val="1"/>
          <w:sz w:val="24"/>
          <w:szCs w:val="24"/>
          <w:lang w:val="en-US" w:eastAsia="zh-CN"/>
        </w:rPr>
        <w:t>1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  <w:r>
        <w:rPr>
          <w:sz w:val="24"/>
          <w:szCs w:val="24"/>
        </w:rPr>
        <w:t>该表格由商家根据服务平台重庆银联提供的交易台账整理形成；</w:t>
      </w:r>
    </w:p>
    <w:p w14:paraId="7445CAD8">
      <w:pPr>
        <w:pStyle w:val="2"/>
        <w:spacing w:line="375" w:lineRule="exact"/>
        <w:ind w:right="11" w:firstLine="708" w:firstLineChars="300"/>
        <w:jc w:val="both"/>
        <w:outlineLvl w:val="0"/>
        <w:rPr>
          <w:sz w:val="24"/>
          <w:szCs w:val="24"/>
        </w:rPr>
      </w:pPr>
      <w:r>
        <w:rPr>
          <w:rFonts w:hint="eastAsia" w:ascii="Times New Roman" w:hAnsi="Times New Roman" w:eastAsia="宋体" w:cs="Times New Roman"/>
          <w:spacing w:val="-2"/>
          <w:position w:val="3"/>
          <w:sz w:val="24"/>
          <w:szCs w:val="24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-2"/>
          <w:position w:val="3"/>
          <w:sz w:val="24"/>
          <w:szCs w:val="24"/>
        </w:rPr>
        <w:t>.“</w:t>
      </w:r>
      <w:r>
        <w:rPr>
          <w:rFonts w:ascii="Times New Roman" w:hAnsi="Times New Roman" w:eastAsia="Times New Roman" w:cs="Times New Roman"/>
          <w:spacing w:val="-28"/>
          <w:position w:val="3"/>
          <w:sz w:val="24"/>
          <w:szCs w:val="24"/>
        </w:rPr>
        <w:t xml:space="preserve"> </w:t>
      </w:r>
      <w:r>
        <w:rPr>
          <w:spacing w:val="-2"/>
          <w:position w:val="3"/>
          <w:sz w:val="24"/>
          <w:szCs w:val="24"/>
        </w:rPr>
        <w:t>商品序列号</w:t>
      </w:r>
      <w:r>
        <w:rPr>
          <w:rFonts w:ascii="Times New Roman" w:hAnsi="Times New Roman" w:eastAsia="Times New Roman" w:cs="Times New Roman"/>
          <w:spacing w:val="-2"/>
          <w:position w:val="3"/>
          <w:sz w:val="24"/>
          <w:szCs w:val="24"/>
        </w:rPr>
        <w:t>/</w:t>
      </w:r>
      <w:r>
        <w:rPr>
          <w:spacing w:val="-2"/>
          <w:position w:val="3"/>
          <w:sz w:val="24"/>
          <w:szCs w:val="24"/>
        </w:rPr>
        <w:t>物流单号栏</w:t>
      </w:r>
      <w:r>
        <w:rPr>
          <w:rFonts w:ascii="Times New Roman" w:hAnsi="Times New Roman" w:eastAsia="Times New Roman" w:cs="Times New Roman"/>
          <w:spacing w:val="-2"/>
          <w:position w:val="3"/>
          <w:sz w:val="24"/>
          <w:szCs w:val="24"/>
        </w:rPr>
        <w:t>”</w:t>
      </w:r>
      <w:r>
        <w:rPr>
          <w:rFonts w:ascii="Times New Roman" w:hAnsi="Times New Roman" w:eastAsia="Times New Roman" w:cs="Times New Roman"/>
          <w:spacing w:val="-44"/>
          <w:position w:val="3"/>
          <w:sz w:val="24"/>
          <w:szCs w:val="24"/>
        </w:rPr>
        <w:t xml:space="preserve"> </w:t>
      </w:r>
      <w:r>
        <w:rPr>
          <w:spacing w:val="-2"/>
          <w:position w:val="3"/>
          <w:sz w:val="24"/>
          <w:szCs w:val="24"/>
        </w:rPr>
        <w:t>序列号管理系统运行之前由商家录入每笔交易的物流单号，序列号管理系统运行之</w:t>
      </w:r>
    </w:p>
    <w:p w14:paraId="4CDD5617">
      <w:pPr>
        <w:pStyle w:val="2"/>
        <w:spacing w:before="8" w:line="229" w:lineRule="auto"/>
        <w:ind w:left="10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sz w:val="24"/>
          <w:szCs w:val="24"/>
        </w:rPr>
        <w:t>后录入商品序列号，相关内容根据服务平台提供的交易台账整</w:t>
      </w:r>
      <w:r>
        <w:rPr>
          <w:spacing w:val="-1"/>
          <w:sz w:val="24"/>
          <w:szCs w:val="24"/>
        </w:rPr>
        <w:t>理形成。</w:t>
      </w:r>
    </w:p>
    <w:p w14:paraId="52B41156"/>
    <w:sectPr>
      <w:footerReference r:id="rId4" w:type="default"/>
      <w:pgSz w:w="16838" w:h="11906" w:orient="landscape"/>
      <w:pgMar w:top="1588" w:right="1701" w:bottom="1474" w:left="1701" w:header="851" w:footer="158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9A45B30-E269-40FB-8D9C-08310F36EAD4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894A8AE8-39FA-499F-A9FD-7FB65F2B3920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8398B82-8131-4864-8D76-7CF59FA8B150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19174071-11B0-4069-9299-044044A2DF4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DEB33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D4ECD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D4ECD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2ECC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CEB2F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CEB2F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YTE1MjIyZTc2NTNiZTllNjgxNDI1ZWZmZGRiNjkifQ=="/>
  </w:docVars>
  <w:rsids>
    <w:rsidRoot w:val="7DAB12F6"/>
    <w:rsid w:val="1A864EF7"/>
    <w:rsid w:val="7DAB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3"/>
      <w:szCs w:val="2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  <w:bCs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1853</Words>
  <Characters>1928</Characters>
  <Lines>0</Lines>
  <Paragraphs>0</Paragraphs>
  <TotalTime>2</TotalTime>
  <ScaleCrop>false</ScaleCrop>
  <LinksUpToDate>false</LinksUpToDate>
  <CharactersWithSpaces>2157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2024-10-21T06:06:00Z</dcterms:created>
  <dc:creator>WPS_1603104129</dc:creator>
  <cp:lastModifiedBy>烧陶瓷的阿房_</cp:lastModifiedBy>
  <dcterms:modified xsi:type="dcterms:W3CDTF">2024-10-21T06:32:17Z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8A4CF289F55548AA9869C600D688C76A</vt:lpwstr>
  </property>
</Properties>
</file>