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40" w:lineRule="exact"/>
        <w:rPr>
          <w:rFonts w:ascii="方正黑体_GBK" w:hAnsi="方正黑体_GBK" w:eastAsia="方正黑体_GBK" w:cs="方正黑体_GBK"/>
          <w:b w:val="0"/>
          <w:bCs w:val="0"/>
        </w:rPr>
      </w:pPr>
      <w:r>
        <w:rPr>
          <w:rFonts w:hint="eastAsia" w:ascii="方正黑体_GBK" w:hAnsi="方正黑体_GBK" w:eastAsia="方正黑体_GBK" w:cs="方正黑体_GBK"/>
          <w:b w:val="0"/>
          <w:bCs w:val="0"/>
        </w:rPr>
        <w:t>附件</w:t>
      </w:r>
      <w:r>
        <w:rPr>
          <w:rFonts w:ascii="方正黑体_GBK" w:hAnsi="方正黑体_GBK" w:eastAsia="方正黑体_GBK" w:cs="方正黑体_GBK"/>
          <w:b w:val="0"/>
          <w:bCs w:val="0"/>
        </w:rPr>
        <w:t>2</w:t>
      </w:r>
    </w:p>
    <w:p>
      <w:pPr>
        <w:keepLines/>
        <w:spacing w:line="440" w:lineRule="exact"/>
        <w:jc w:val="center"/>
        <w:rPr>
          <w:rFonts w:ascii="方正小标宋_GBK" w:eastAsia="方正小标宋_GBK"/>
          <w:bCs/>
          <w:sz w:val="44"/>
          <w:szCs w:val="44"/>
        </w:rPr>
      </w:pPr>
      <w:r>
        <w:rPr>
          <w:rFonts w:hint="eastAsia" w:ascii="方正小标宋_GBK" w:eastAsia="方正小标宋_GBK"/>
          <w:bCs/>
          <w:sz w:val="44"/>
          <w:szCs w:val="44"/>
        </w:rPr>
        <w:t>潼南区生态环境准入清单</w:t>
      </w:r>
    </w:p>
    <w:p>
      <w:pPr>
        <w:pStyle w:val="2"/>
        <w:spacing w:before="0" w:after="0" w:line="440" w:lineRule="exact"/>
      </w:pPr>
    </w:p>
    <w:tbl>
      <w:tblPr>
        <w:tblStyle w:val="6"/>
        <w:tblW w:w="14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3"/>
        <w:gridCol w:w="741"/>
        <w:gridCol w:w="762"/>
        <w:gridCol w:w="723"/>
        <w:gridCol w:w="2421"/>
        <w:gridCol w:w="1381"/>
        <w:gridCol w:w="1395"/>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45" w:hRule="atLeast"/>
          <w:tblHeader/>
          <w:jc w:val="center"/>
        </w:trPr>
        <w:tc>
          <w:tcPr>
            <w:tcW w:w="663" w:type="dxa"/>
            <w:vAlign w:val="center"/>
          </w:tcPr>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环境管控单元编码</w:t>
            </w:r>
          </w:p>
        </w:tc>
        <w:tc>
          <w:tcPr>
            <w:tcW w:w="741" w:type="dxa"/>
            <w:vAlign w:val="center"/>
          </w:tcPr>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环境</w:t>
            </w:r>
          </w:p>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管控</w:t>
            </w:r>
          </w:p>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单元</w:t>
            </w:r>
          </w:p>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名称</w:t>
            </w:r>
          </w:p>
        </w:tc>
        <w:tc>
          <w:tcPr>
            <w:tcW w:w="762" w:type="dxa"/>
            <w:vAlign w:val="center"/>
          </w:tcPr>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环境</w:t>
            </w:r>
          </w:p>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管控</w:t>
            </w:r>
          </w:p>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单元</w:t>
            </w:r>
          </w:p>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分类</w:t>
            </w:r>
          </w:p>
        </w:tc>
        <w:tc>
          <w:tcPr>
            <w:tcW w:w="723" w:type="dxa"/>
            <w:vAlign w:val="center"/>
          </w:tcPr>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环境管控</w:t>
            </w:r>
          </w:p>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单元要素分区组成</w:t>
            </w:r>
          </w:p>
        </w:tc>
        <w:tc>
          <w:tcPr>
            <w:tcW w:w="2421" w:type="dxa"/>
            <w:vAlign w:val="center"/>
          </w:tcPr>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环境管控单元特点</w:t>
            </w:r>
          </w:p>
        </w:tc>
        <w:tc>
          <w:tcPr>
            <w:tcW w:w="1381" w:type="dxa"/>
            <w:vAlign w:val="center"/>
          </w:tcPr>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执行的市级总体管控要求</w:t>
            </w:r>
          </w:p>
        </w:tc>
        <w:tc>
          <w:tcPr>
            <w:tcW w:w="1395" w:type="dxa"/>
            <w:vAlign w:val="center"/>
          </w:tcPr>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管控类别</w:t>
            </w:r>
          </w:p>
        </w:tc>
        <w:tc>
          <w:tcPr>
            <w:tcW w:w="6749" w:type="dxa"/>
            <w:vAlign w:val="center"/>
          </w:tcPr>
          <w:p>
            <w:pPr>
              <w:adjustRightInd w:val="0"/>
              <w:snapToGrid w:val="0"/>
              <w:spacing w:line="240" w:lineRule="exact"/>
              <w:jc w:val="center"/>
              <w:rPr>
                <w:rFonts w:ascii="方正黑体_GBK" w:eastAsia="方正黑体_GBK"/>
                <w:kern w:val="0"/>
                <w:sz w:val="21"/>
                <w:szCs w:val="21"/>
              </w:rPr>
            </w:pPr>
            <w:r>
              <w:rPr>
                <w:rFonts w:hint="eastAsia" w:ascii="方正黑体_GBK" w:eastAsia="方正黑体_GBK"/>
                <w:kern w:val="0"/>
                <w:sz w:val="21"/>
                <w:szCs w:val="21"/>
              </w:rPr>
              <w:t>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4" w:hRule="atLeast"/>
          <w:jc w:val="center"/>
        </w:trPr>
        <w:tc>
          <w:tcPr>
            <w:tcW w:w="663" w:type="dxa"/>
            <w:vAlign w:val="center"/>
          </w:tcPr>
          <w:p>
            <w:pPr>
              <w:adjustRightInd w:val="0"/>
              <w:snapToGrid w:val="0"/>
              <w:spacing w:line="240" w:lineRule="exact"/>
              <w:rPr>
                <w:rFonts w:ascii="方正仿宋_GBK"/>
                <w:kern w:val="0"/>
                <w:sz w:val="21"/>
                <w:szCs w:val="21"/>
              </w:rPr>
            </w:pPr>
            <w:r>
              <w:rPr>
                <w:rFonts w:ascii="方正仿宋_GBK"/>
                <w:kern w:val="0"/>
                <w:sz w:val="21"/>
                <w:szCs w:val="21"/>
              </w:rPr>
              <w:t>ZH50015210001</w:t>
            </w:r>
          </w:p>
        </w:tc>
        <w:tc>
          <w:tcPr>
            <w:tcW w:w="74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潼南区涪江河潼南区自来水公司水源地</w:t>
            </w:r>
          </w:p>
        </w:tc>
        <w:tc>
          <w:tcPr>
            <w:tcW w:w="762"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优先保护单元</w:t>
            </w:r>
            <w:r>
              <w:rPr>
                <w:rFonts w:ascii="方正仿宋_GBK"/>
                <w:kern w:val="0"/>
                <w:sz w:val="21"/>
                <w:szCs w:val="21"/>
              </w:rPr>
              <w:t>1</w:t>
            </w:r>
          </w:p>
        </w:tc>
        <w:tc>
          <w:tcPr>
            <w:tcW w:w="723"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包含：生态保护红线</w:t>
            </w:r>
            <w:r>
              <w:rPr>
                <w:rFonts w:ascii="方正仿宋_GBK"/>
                <w:kern w:val="0"/>
                <w:sz w:val="21"/>
                <w:szCs w:val="21"/>
              </w:rPr>
              <w:t>-</w:t>
            </w:r>
            <w:r>
              <w:rPr>
                <w:rFonts w:hint="eastAsia" w:ascii="方正仿宋_GBK"/>
                <w:kern w:val="0"/>
                <w:sz w:val="21"/>
                <w:szCs w:val="21"/>
              </w:rPr>
              <w:t>饮用水源地</w:t>
            </w:r>
          </w:p>
        </w:tc>
        <w:tc>
          <w:tcPr>
            <w:tcW w:w="2421" w:type="dxa"/>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饮用水源地建设。</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hint="eastAsia" w:ascii="方正仿宋_GBK"/>
                <w:kern w:val="0"/>
                <w:sz w:val="21"/>
                <w:szCs w:val="21"/>
              </w:rPr>
              <w:t>受城镇快速发展影响，水环境保护压力增加。</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该备用水源与潼南区城市饮用水源位于同一条河流，且位置较近，一旦河流上游发生污染事故，城市饮用水源和备用水源均会受到污染，没有起到备用水源在城市饮用水源污染后提供安全饮用水的目的，故而存在饮用水风险隐患。</w:t>
            </w:r>
          </w:p>
        </w:tc>
        <w:tc>
          <w:tcPr>
            <w:tcW w:w="138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饮用水水源保护区执行全市及主城西片区集中式饮用水水源保护区总体管控要求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color w:val="000000"/>
                <w:kern w:val="0"/>
                <w:sz w:val="21"/>
                <w:szCs w:val="21"/>
              </w:rPr>
              <w:t>饮用水备用水源搬迁至大石桥水库。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95" w:hRule="atLeast"/>
          <w:jc w:val="center"/>
        </w:trPr>
        <w:tc>
          <w:tcPr>
            <w:tcW w:w="663" w:type="dxa"/>
            <w:vAlign w:val="center"/>
          </w:tcPr>
          <w:p>
            <w:pPr>
              <w:adjustRightInd w:val="0"/>
              <w:snapToGrid w:val="0"/>
              <w:spacing w:line="240" w:lineRule="exact"/>
              <w:rPr>
                <w:rFonts w:ascii="方正仿宋_GBK"/>
                <w:kern w:val="0"/>
                <w:sz w:val="21"/>
                <w:szCs w:val="21"/>
              </w:rPr>
            </w:pPr>
            <w:r>
              <w:rPr>
                <w:rFonts w:ascii="方正仿宋_GBK"/>
                <w:kern w:val="0"/>
                <w:sz w:val="21"/>
                <w:szCs w:val="21"/>
              </w:rPr>
              <w:t>ZH50015210002</w:t>
            </w:r>
          </w:p>
        </w:tc>
        <w:tc>
          <w:tcPr>
            <w:tcW w:w="74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潼南区涪江河人工运河潼南区自来水公司水源地</w:t>
            </w:r>
          </w:p>
        </w:tc>
        <w:tc>
          <w:tcPr>
            <w:tcW w:w="762"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优先保护单元</w:t>
            </w:r>
            <w:r>
              <w:rPr>
                <w:rFonts w:ascii="方正仿宋_GBK"/>
                <w:kern w:val="0"/>
                <w:sz w:val="21"/>
                <w:szCs w:val="21"/>
              </w:rPr>
              <w:t>2</w:t>
            </w:r>
          </w:p>
        </w:tc>
        <w:tc>
          <w:tcPr>
            <w:tcW w:w="723"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包含：生态保护红线</w:t>
            </w:r>
            <w:r>
              <w:rPr>
                <w:rFonts w:ascii="方正仿宋_GBK"/>
                <w:kern w:val="0"/>
                <w:sz w:val="21"/>
                <w:szCs w:val="21"/>
              </w:rPr>
              <w:t>-</w:t>
            </w:r>
            <w:r>
              <w:rPr>
                <w:rFonts w:hint="eastAsia" w:ascii="方正仿宋_GBK"/>
                <w:kern w:val="0"/>
                <w:sz w:val="21"/>
                <w:szCs w:val="21"/>
              </w:rPr>
              <w:t>饮用水源地</w:t>
            </w:r>
          </w:p>
        </w:tc>
        <w:tc>
          <w:tcPr>
            <w:tcW w:w="2421" w:type="dxa"/>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饮用水源地建设。</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hint="eastAsia" w:ascii="方正仿宋_GBK"/>
                <w:kern w:val="0"/>
                <w:sz w:val="21"/>
                <w:szCs w:val="21"/>
              </w:rPr>
              <w:t>受城镇快速发展影响，水环境保护压力增加，也是大气环境受体敏感区。</w:t>
            </w:r>
          </w:p>
        </w:tc>
        <w:tc>
          <w:tcPr>
            <w:tcW w:w="138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饮用水水源保护区执行全市及主城西片区集中式饮用水水源保护区总体管控要求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严格来水水质监控，执行严格的水环境风险防控及应急措施。</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水源地水质全面达标，保障区域供水安全。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84" w:hRule="atLeast"/>
          <w:jc w:val="center"/>
        </w:trPr>
        <w:tc>
          <w:tcPr>
            <w:tcW w:w="663" w:type="dxa"/>
            <w:vMerge w:val="restart"/>
            <w:vAlign w:val="center"/>
          </w:tcPr>
          <w:p>
            <w:pPr>
              <w:adjustRightInd w:val="0"/>
              <w:snapToGrid w:val="0"/>
              <w:spacing w:line="240" w:lineRule="exact"/>
              <w:rPr>
                <w:rFonts w:ascii="方正仿宋_GBK"/>
                <w:kern w:val="0"/>
                <w:sz w:val="21"/>
                <w:szCs w:val="21"/>
              </w:rPr>
            </w:pPr>
            <w:r>
              <w:rPr>
                <w:rFonts w:ascii="方正仿宋_GBK"/>
                <w:kern w:val="0"/>
                <w:sz w:val="21"/>
                <w:szCs w:val="21"/>
              </w:rPr>
              <w:t>ZH50015210003</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定明山</w:t>
            </w:r>
            <w:r>
              <w:rPr>
                <w:rFonts w:ascii="方正仿宋_GBK"/>
                <w:kern w:val="0"/>
                <w:sz w:val="21"/>
                <w:szCs w:val="21"/>
              </w:rPr>
              <w:t>-</w:t>
            </w:r>
            <w:r>
              <w:rPr>
                <w:rFonts w:hint="eastAsia" w:ascii="方正仿宋_GBK"/>
                <w:kern w:val="0"/>
                <w:sz w:val="21"/>
                <w:szCs w:val="21"/>
              </w:rPr>
              <w:t>运河市级风景名胜区</w:t>
            </w:r>
          </w:p>
        </w:tc>
        <w:tc>
          <w:tcPr>
            <w:tcW w:w="762" w:type="dxa"/>
            <w:vMerge w:val="restart"/>
            <w:vAlign w:val="center"/>
          </w:tcPr>
          <w:p>
            <w:pPr>
              <w:adjustRightInd w:val="0"/>
              <w:snapToGrid w:val="0"/>
              <w:spacing w:line="240" w:lineRule="exact"/>
              <w:jc w:val="center"/>
              <w:rPr>
                <w:rFonts w:ascii="方正仿宋_GBK"/>
                <w:spacing w:val="8"/>
                <w:kern w:val="0"/>
                <w:sz w:val="21"/>
                <w:szCs w:val="21"/>
              </w:rPr>
            </w:pPr>
            <w:r>
              <w:rPr>
                <w:rFonts w:hint="eastAsia" w:ascii="方正仿宋_GBK"/>
                <w:spacing w:val="8"/>
                <w:kern w:val="0"/>
                <w:sz w:val="21"/>
                <w:szCs w:val="21"/>
              </w:rPr>
              <w:t>优先保护单元</w:t>
            </w:r>
            <w:r>
              <w:rPr>
                <w:rFonts w:ascii="方正仿宋_GBK"/>
                <w:spacing w:val="8"/>
                <w:kern w:val="0"/>
                <w:sz w:val="21"/>
                <w:szCs w:val="21"/>
              </w:rPr>
              <w:t>3</w:t>
            </w:r>
          </w:p>
        </w:tc>
        <w:tc>
          <w:tcPr>
            <w:tcW w:w="723" w:type="dxa"/>
            <w:vMerge w:val="restart"/>
            <w:vAlign w:val="center"/>
          </w:tcPr>
          <w:p>
            <w:pPr>
              <w:adjustRightInd w:val="0"/>
              <w:snapToGrid w:val="0"/>
              <w:spacing w:line="240" w:lineRule="exact"/>
              <w:rPr>
                <w:rFonts w:ascii="方正仿宋_GBK"/>
                <w:kern w:val="0"/>
                <w:sz w:val="21"/>
                <w:szCs w:val="21"/>
              </w:rPr>
            </w:pPr>
            <w:r>
              <w:rPr>
                <w:rFonts w:hint="eastAsia" w:ascii="方正仿宋_GBK"/>
                <w:kern w:val="0"/>
                <w:sz w:val="21"/>
                <w:szCs w:val="21"/>
              </w:rPr>
              <w:t>包含：生态保护红线</w:t>
            </w:r>
            <w:r>
              <w:rPr>
                <w:rFonts w:ascii="方正仿宋_GBK"/>
                <w:kern w:val="0"/>
                <w:sz w:val="21"/>
                <w:szCs w:val="21"/>
              </w:rPr>
              <w:t>-</w:t>
            </w:r>
            <w:r>
              <w:rPr>
                <w:rFonts w:hint="eastAsia" w:ascii="方正仿宋_GBK"/>
                <w:kern w:val="0"/>
                <w:sz w:val="21"/>
                <w:szCs w:val="21"/>
              </w:rPr>
              <w:t>风景名胜区</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市级风景名胜区，包含大佛寺景区、杨闇公陵园、杨尚昆陵园、人工运河、拦河大坝等景区，为大气环境一类功能区。</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hint="eastAsia" w:ascii="方正仿宋_GBK"/>
                <w:kern w:val="0"/>
                <w:sz w:val="21"/>
                <w:szCs w:val="21"/>
              </w:rPr>
              <w:t>受城镇快速发展影响，水环境保护压力增加。</w:t>
            </w:r>
          </w:p>
          <w:p>
            <w:pPr>
              <w:autoSpaceDE w:val="0"/>
              <w:adjustRightInd w:val="0"/>
              <w:snapToGrid w:val="0"/>
              <w:spacing w:line="240" w:lineRule="exact"/>
              <w:rPr>
                <w:rFonts w:ascii="方正仿宋_GBK"/>
                <w:kern w:val="0"/>
                <w:sz w:val="21"/>
                <w:szCs w:val="21"/>
              </w:rPr>
            </w:pPr>
            <w:r>
              <w:rPr>
                <w:rFonts w:hint="eastAsia" w:ascii="方正仿宋_GBK"/>
                <w:b/>
                <w:kern w:val="0"/>
                <w:sz w:val="21"/>
                <w:szCs w:val="21"/>
              </w:rPr>
              <w:t>环境要素主要问题：</w:t>
            </w:r>
            <w:r>
              <w:rPr>
                <w:rFonts w:ascii="方正仿宋_GBK"/>
                <w:kern w:val="0"/>
                <w:sz w:val="21"/>
                <w:szCs w:val="21"/>
              </w:rPr>
              <w:t xml:space="preserve"> </w:t>
            </w:r>
            <w:r>
              <w:rPr>
                <w:rFonts w:hint="eastAsia" w:ascii="方正仿宋_GBK"/>
                <w:kern w:val="0"/>
                <w:sz w:val="21"/>
                <w:szCs w:val="21"/>
              </w:rPr>
              <w:t>旅游设施污水管网建设需完善。春冬季部分时段</w:t>
            </w:r>
            <w:r>
              <w:rPr>
                <w:rFonts w:ascii="方正仿宋_GBK"/>
                <w:kern w:val="0"/>
                <w:sz w:val="21"/>
                <w:szCs w:val="21"/>
              </w:rPr>
              <w:t>PM</w:t>
            </w:r>
            <w:r>
              <w:rPr>
                <w:rFonts w:ascii="方正仿宋_GBK"/>
                <w:kern w:val="0"/>
                <w:sz w:val="21"/>
                <w:szCs w:val="21"/>
                <w:vertAlign w:val="subscript"/>
              </w:rPr>
              <w:t>2.5</w:t>
            </w:r>
            <w:r>
              <w:rPr>
                <w:rFonts w:hint="eastAsia" w:ascii="方正仿宋_GBK"/>
                <w:kern w:val="0"/>
                <w:sz w:val="21"/>
                <w:szCs w:val="21"/>
              </w:rPr>
              <w:t>、</w:t>
            </w:r>
            <w:r>
              <w:rPr>
                <w:rFonts w:ascii="方正仿宋_GBK"/>
                <w:kern w:val="0"/>
                <w:sz w:val="21"/>
                <w:szCs w:val="21"/>
              </w:rPr>
              <w:t>O</w:t>
            </w:r>
            <w:r>
              <w:rPr>
                <w:rFonts w:ascii="方正仿宋_GBK"/>
                <w:kern w:val="0"/>
                <w:sz w:val="21"/>
                <w:szCs w:val="21"/>
                <w:vertAlign w:val="subscript"/>
              </w:rPr>
              <w:t>3</w:t>
            </w:r>
            <w:r>
              <w:rPr>
                <w:rFonts w:ascii="方正仿宋_GBK"/>
                <w:kern w:val="0"/>
                <w:sz w:val="21"/>
                <w:szCs w:val="21"/>
              </w:rPr>
              <w:t>-8h</w:t>
            </w:r>
            <w:r>
              <w:rPr>
                <w:rFonts w:hint="eastAsia" w:ascii="方正仿宋_GBK"/>
                <w:kern w:val="0"/>
                <w:sz w:val="21"/>
                <w:szCs w:val="21"/>
              </w:rPr>
              <w:t>日均浓度超标。</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风景名胜区执行全市及主城西片区风景名胜区总体管控要求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23"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jc w:val="center"/>
              <w:rPr>
                <w:rFonts w:ascii="方正仿宋_GBK"/>
                <w:spacing w:val="8"/>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提升污水管网覆盖比例；现有及新建旅游设施的污水应收集至污水厂处</w:t>
            </w:r>
            <w:r>
              <w:rPr>
                <w:rFonts w:hint="eastAsia" w:ascii="方正仿宋_GBK"/>
                <w:color w:val="000000"/>
                <w:kern w:val="0"/>
                <w:sz w:val="21"/>
                <w:szCs w:val="21"/>
              </w:rPr>
              <w:t>理后达标排放。</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鼓励引导现有及新建旅游设施使用清洁能源。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24" w:hRule="atLeast"/>
          <w:jc w:val="center"/>
        </w:trPr>
        <w:tc>
          <w:tcPr>
            <w:tcW w:w="663" w:type="dxa"/>
            <w:vAlign w:val="center"/>
          </w:tcPr>
          <w:p>
            <w:pPr>
              <w:adjustRightInd w:val="0"/>
              <w:snapToGrid w:val="0"/>
              <w:spacing w:line="240" w:lineRule="exact"/>
              <w:rPr>
                <w:rFonts w:ascii="方正仿宋_GBK"/>
                <w:kern w:val="0"/>
                <w:sz w:val="21"/>
                <w:szCs w:val="21"/>
              </w:rPr>
            </w:pPr>
            <w:r>
              <w:rPr>
                <w:rFonts w:ascii="方正仿宋_GBK"/>
                <w:kern w:val="0"/>
                <w:sz w:val="21"/>
                <w:szCs w:val="21"/>
              </w:rPr>
              <w:t>ZH50015210004</w:t>
            </w:r>
          </w:p>
        </w:tc>
        <w:tc>
          <w:tcPr>
            <w:tcW w:w="74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重庆市马鞍山森林公园</w:t>
            </w:r>
          </w:p>
        </w:tc>
        <w:tc>
          <w:tcPr>
            <w:tcW w:w="762" w:type="dxa"/>
            <w:vAlign w:val="center"/>
          </w:tcPr>
          <w:p>
            <w:pPr>
              <w:adjustRightInd w:val="0"/>
              <w:snapToGrid w:val="0"/>
              <w:spacing w:line="240" w:lineRule="exact"/>
              <w:jc w:val="center"/>
              <w:rPr>
                <w:rFonts w:ascii="方正仿宋_GBK"/>
                <w:spacing w:val="8"/>
                <w:kern w:val="0"/>
                <w:sz w:val="21"/>
                <w:szCs w:val="21"/>
              </w:rPr>
            </w:pPr>
            <w:r>
              <w:rPr>
                <w:rFonts w:hint="eastAsia" w:ascii="方正仿宋_GBK"/>
                <w:spacing w:val="8"/>
                <w:kern w:val="0"/>
                <w:sz w:val="21"/>
                <w:szCs w:val="21"/>
              </w:rPr>
              <w:t>优先保护单元</w:t>
            </w:r>
            <w:r>
              <w:rPr>
                <w:rFonts w:ascii="方正仿宋_GBK"/>
                <w:spacing w:val="8"/>
                <w:kern w:val="0"/>
                <w:sz w:val="21"/>
                <w:szCs w:val="21"/>
              </w:rPr>
              <w:t>4</w:t>
            </w:r>
          </w:p>
        </w:tc>
        <w:tc>
          <w:tcPr>
            <w:tcW w:w="723"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包含：生态保护红线</w:t>
            </w:r>
            <w:r>
              <w:rPr>
                <w:rFonts w:ascii="方正仿宋_GBK"/>
                <w:kern w:val="0"/>
                <w:sz w:val="21"/>
                <w:szCs w:val="21"/>
              </w:rPr>
              <w:t>-</w:t>
            </w:r>
            <w:r>
              <w:rPr>
                <w:rFonts w:hint="eastAsia" w:ascii="方正仿宋_GBK"/>
                <w:kern w:val="0"/>
                <w:sz w:val="21"/>
                <w:szCs w:val="21"/>
              </w:rPr>
              <w:t>市级森林公园</w:t>
            </w:r>
          </w:p>
        </w:tc>
        <w:tc>
          <w:tcPr>
            <w:tcW w:w="2421" w:type="dxa"/>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市级森林公园，天然国有森林，区内由柏木、麻栎、香樟等参天古树组成的亚热带针阔混交林，生物资源丰富。</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hint="eastAsia" w:ascii="方正仿宋_GBK"/>
                <w:kern w:val="0"/>
                <w:sz w:val="21"/>
                <w:szCs w:val="21"/>
              </w:rPr>
              <w:t>水土流失</w:t>
            </w:r>
          </w:p>
        </w:tc>
        <w:tc>
          <w:tcPr>
            <w:tcW w:w="138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森林公园执行全市及主城西片区森林公园总体管控要求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ind w:firstLine="210" w:firstLineChars="100"/>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2"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ZH50015210005</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重庆涪江国家湿地公园</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优先保护单元</w:t>
            </w:r>
            <w:r>
              <w:rPr>
                <w:rFonts w:ascii="方正仿宋_GBK"/>
                <w:kern w:val="0"/>
                <w:sz w:val="21"/>
                <w:szCs w:val="21"/>
              </w:rPr>
              <w:t>5</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包含：生态保护红线</w:t>
            </w:r>
            <w:r>
              <w:rPr>
                <w:rFonts w:ascii="方正仿宋_GBK"/>
                <w:kern w:val="0"/>
                <w:sz w:val="21"/>
                <w:szCs w:val="21"/>
              </w:rPr>
              <w:t>-</w:t>
            </w:r>
            <w:r>
              <w:rPr>
                <w:rFonts w:hint="eastAsia" w:ascii="方正仿宋_GBK"/>
                <w:kern w:val="0"/>
                <w:sz w:val="21"/>
                <w:szCs w:val="21"/>
              </w:rPr>
              <w:t>湿地公园</w:t>
            </w:r>
          </w:p>
        </w:tc>
        <w:tc>
          <w:tcPr>
            <w:tcW w:w="2421" w:type="dxa"/>
            <w:vMerge w:val="restart"/>
            <w:vAlign w:val="center"/>
          </w:tcPr>
          <w:p>
            <w:pPr>
              <w:adjustRightInd w:val="0"/>
              <w:snapToGrid w:val="0"/>
              <w:spacing w:line="240" w:lineRule="exact"/>
              <w:rPr>
                <w:rFonts w:ascii="方正仿宋_GBK"/>
                <w:spacing w:val="-10"/>
                <w:kern w:val="0"/>
                <w:sz w:val="21"/>
                <w:szCs w:val="21"/>
              </w:rPr>
            </w:pPr>
            <w:r>
              <w:rPr>
                <w:rFonts w:hint="eastAsia" w:ascii="方正仿宋_GBK"/>
                <w:b/>
                <w:spacing w:val="-10"/>
                <w:kern w:val="0"/>
                <w:sz w:val="21"/>
                <w:szCs w:val="21"/>
              </w:rPr>
              <w:t>发展定位或保护要求：</w:t>
            </w:r>
            <w:r>
              <w:rPr>
                <w:rFonts w:hint="eastAsia" w:ascii="方正仿宋_GBK"/>
                <w:spacing w:val="-10"/>
                <w:kern w:val="0"/>
                <w:sz w:val="21"/>
                <w:szCs w:val="21"/>
              </w:rPr>
              <w:t>国家湿地公园，以涪江、三块石运河、库塘、稻田、自然河流等自然与人工复合湿地系统为主体。集湿地保护与修复、海绵城市建设与人居环境优化、湿地科普宣教和湿地生态体验为一体的国家湿地公园。</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hint="eastAsia" w:ascii="方正仿宋_GBK"/>
                <w:kern w:val="0"/>
                <w:sz w:val="21"/>
                <w:szCs w:val="21"/>
              </w:rPr>
              <w:t>受城镇快速发展影响，水环境保护压力增加；区域内存在在产工业企业。</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大气综合质量现状满足《环境空气质量标准》（</w:t>
            </w:r>
            <w:r>
              <w:rPr>
                <w:rFonts w:ascii="方正仿宋_GBK"/>
                <w:kern w:val="0"/>
                <w:sz w:val="21"/>
                <w:szCs w:val="21"/>
              </w:rPr>
              <w:t>GB3095-2012</w:t>
            </w:r>
            <w:r>
              <w:rPr>
                <w:rFonts w:hint="eastAsia" w:ascii="方正仿宋_GBK"/>
                <w:kern w:val="0"/>
                <w:sz w:val="21"/>
                <w:szCs w:val="21"/>
              </w:rPr>
              <w:t>）二级标准，但受城区发展影响，</w:t>
            </w:r>
            <w:r>
              <w:rPr>
                <w:rFonts w:ascii="方正仿宋_GBK"/>
                <w:kern w:val="0"/>
                <w:sz w:val="21"/>
                <w:szCs w:val="21"/>
              </w:rPr>
              <w:t>PM</w:t>
            </w:r>
            <w:r>
              <w:rPr>
                <w:rFonts w:ascii="方正仿宋_GBK"/>
                <w:kern w:val="0"/>
                <w:sz w:val="21"/>
                <w:szCs w:val="21"/>
                <w:vertAlign w:val="subscript"/>
              </w:rPr>
              <w:t>2.5</w:t>
            </w:r>
            <w:r>
              <w:rPr>
                <w:rFonts w:hint="eastAsia" w:ascii="方正仿宋_GBK"/>
                <w:kern w:val="0"/>
                <w:sz w:val="21"/>
                <w:szCs w:val="21"/>
              </w:rPr>
              <w:t>及</w:t>
            </w:r>
            <w:r>
              <w:rPr>
                <w:rFonts w:ascii="方正仿宋_GBK"/>
                <w:kern w:val="0"/>
                <w:sz w:val="21"/>
                <w:szCs w:val="21"/>
              </w:rPr>
              <w:t>O</w:t>
            </w:r>
            <w:r>
              <w:rPr>
                <w:rFonts w:ascii="方正仿宋_GBK"/>
                <w:kern w:val="0"/>
                <w:sz w:val="21"/>
                <w:szCs w:val="21"/>
                <w:vertAlign w:val="subscript"/>
              </w:rPr>
              <w:t>3</w:t>
            </w:r>
            <w:r>
              <w:rPr>
                <w:rFonts w:hint="eastAsia" w:ascii="方正仿宋_GBK"/>
                <w:kern w:val="0"/>
                <w:sz w:val="21"/>
                <w:szCs w:val="21"/>
              </w:rPr>
              <w:t>有超标现象。</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湿地公园执行全市及主城西片区湿地公园总体管控要求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现有</w:t>
            </w:r>
            <w:r>
              <w:rPr>
                <w:rFonts w:hint="eastAsia" w:ascii="方正仿宋_GBK"/>
                <w:color w:val="000000"/>
                <w:kern w:val="0"/>
                <w:sz w:val="21"/>
                <w:szCs w:val="21"/>
              </w:rPr>
              <w:t>工业企</w:t>
            </w:r>
            <w:r>
              <w:rPr>
                <w:rFonts w:hint="eastAsia" w:ascii="方正仿宋_GBK"/>
                <w:kern w:val="0"/>
                <w:sz w:val="21"/>
                <w:szCs w:val="21"/>
              </w:rPr>
              <w:t>业应规划搬出。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61"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进行污水管网全面排查整治；持续推进片区污水管网建设，提高片区污水收集处理率；现有及新建旅游设施的污水应收集至污水厂处理后达标排放。</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解决初期雨水的收集处理方式，减少入河污染负荷。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2" w:hRule="atLeast"/>
          <w:jc w:val="center"/>
        </w:trPr>
        <w:tc>
          <w:tcPr>
            <w:tcW w:w="663" w:type="dxa"/>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ZH50015210006</w:t>
            </w:r>
          </w:p>
        </w:tc>
        <w:tc>
          <w:tcPr>
            <w:tcW w:w="74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潼南区水土保持功能区</w:t>
            </w:r>
          </w:p>
        </w:tc>
        <w:tc>
          <w:tcPr>
            <w:tcW w:w="762"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优先保护单元</w:t>
            </w:r>
            <w:r>
              <w:rPr>
                <w:rFonts w:ascii="方正仿宋_GBK"/>
                <w:kern w:val="0"/>
                <w:sz w:val="21"/>
                <w:szCs w:val="21"/>
              </w:rPr>
              <w:t>6</w:t>
            </w:r>
          </w:p>
        </w:tc>
        <w:tc>
          <w:tcPr>
            <w:tcW w:w="723"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包含：生态保护红线</w:t>
            </w:r>
            <w:r>
              <w:rPr>
                <w:rFonts w:ascii="方正仿宋_GBK"/>
                <w:kern w:val="0"/>
                <w:sz w:val="21"/>
                <w:szCs w:val="21"/>
              </w:rPr>
              <w:t>-</w:t>
            </w:r>
            <w:r>
              <w:rPr>
                <w:rFonts w:hint="eastAsia" w:ascii="方正仿宋_GBK"/>
                <w:kern w:val="0"/>
                <w:sz w:val="21"/>
                <w:szCs w:val="21"/>
              </w:rPr>
              <w:t>水土保持区</w:t>
            </w:r>
          </w:p>
        </w:tc>
        <w:tc>
          <w:tcPr>
            <w:tcW w:w="2421" w:type="dxa"/>
            <w:vAlign w:val="center"/>
          </w:tcPr>
          <w:p>
            <w:pPr>
              <w:adjustRightInd w:val="0"/>
              <w:snapToGrid w:val="0"/>
              <w:spacing w:line="240" w:lineRule="exac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重点生态功能区，保护森林、湿地、河流生态系统以及保护物种栖息地，维护水源涵养功能，加强地质灾害防治和水土流失治理。</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hint="eastAsia" w:ascii="方正仿宋_GBK"/>
                <w:kern w:val="0"/>
                <w:sz w:val="21"/>
                <w:szCs w:val="21"/>
              </w:rPr>
              <w:t>塘坝镇规划边界与生态保护红线边界部分区域重叠；区域内生态资源物种丰富，但生态环境系统功能退化，生态系统脆弱。</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水土流失。</w:t>
            </w:r>
          </w:p>
        </w:tc>
        <w:tc>
          <w:tcPr>
            <w:tcW w:w="138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水土保持功能区执行全市及主城西片区水土保持功能区总体管控要求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16" w:hRule="atLeast"/>
          <w:jc w:val="center"/>
        </w:trPr>
        <w:tc>
          <w:tcPr>
            <w:tcW w:w="663" w:type="dxa"/>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ZH50015210007</w:t>
            </w:r>
          </w:p>
        </w:tc>
        <w:tc>
          <w:tcPr>
            <w:tcW w:w="74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潼南区一般生态空间</w:t>
            </w:r>
            <w:r>
              <w:rPr>
                <w:rFonts w:ascii="方正仿宋_GBK"/>
                <w:kern w:val="0"/>
                <w:sz w:val="21"/>
                <w:szCs w:val="21"/>
              </w:rPr>
              <w:t>-</w:t>
            </w:r>
            <w:r>
              <w:rPr>
                <w:rFonts w:hint="eastAsia" w:ascii="方正仿宋_GBK"/>
                <w:kern w:val="0"/>
                <w:sz w:val="21"/>
                <w:szCs w:val="21"/>
              </w:rPr>
              <w:t>水土保持</w:t>
            </w:r>
          </w:p>
        </w:tc>
        <w:tc>
          <w:tcPr>
            <w:tcW w:w="762"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优先保护单元</w:t>
            </w:r>
            <w:r>
              <w:rPr>
                <w:rFonts w:ascii="方正仿宋_GBK"/>
                <w:kern w:val="0"/>
                <w:sz w:val="21"/>
                <w:szCs w:val="21"/>
              </w:rPr>
              <w:t>7</w:t>
            </w:r>
          </w:p>
        </w:tc>
        <w:tc>
          <w:tcPr>
            <w:tcW w:w="723"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包含：水土保持功能区</w:t>
            </w:r>
          </w:p>
        </w:tc>
        <w:tc>
          <w:tcPr>
            <w:tcW w:w="2421" w:type="dxa"/>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水土保持功能区、饮用水源保护。</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hint="eastAsia" w:ascii="方正仿宋_GBK"/>
                <w:kern w:val="0"/>
                <w:sz w:val="21"/>
                <w:szCs w:val="21"/>
              </w:rPr>
              <w:t>农业面源污染较严重。</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水土流失防治压力大。</w:t>
            </w:r>
          </w:p>
        </w:tc>
        <w:tc>
          <w:tcPr>
            <w:tcW w:w="1381"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水土保持功能区执行全市及主城西片区水土保持功能区总体管控要求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9"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ZH50015220001</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潼南区重点管控单元</w:t>
            </w:r>
            <w:r>
              <w:rPr>
                <w:rFonts w:ascii="方正仿宋_GBK"/>
                <w:kern w:val="0"/>
                <w:sz w:val="21"/>
                <w:szCs w:val="21"/>
              </w:rPr>
              <w:t>-</w:t>
            </w:r>
            <w:r>
              <w:rPr>
                <w:rFonts w:hint="eastAsia" w:ascii="方正仿宋_GBK"/>
                <w:kern w:val="0"/>
                <w:sz w:val="21"/>
                <w:szCs w:val="21"/>
              </w:rPr>
              <w:t>琼江潼南下游段</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重点管控单元</w:t>
            </w:r>
            <w:r>
              <w:rPr>
                <w:rFonts w:ascii="方正仿宋_GBK"/>
                <w:kern w:val="0"/>
                <w:sz w:val="21"/>
                <w:szCs w:val="21"/>
              </w:rPr>
              <w:t>1</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包含：水环境工业污染重点管控区，大气环境高排放重点管控区，大气环境受体敏感重点管控区</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潼南高新区东区产业定位主要为环保装备及机械加工（含电镀）、医药化工、箱包制造等为主导，配套科技孵化和小微企业、商贸物流等类型。</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ascii="方正仿宋_GBK"/>
                <w:kern w:val="0"/>
                <w:sz w:val="21"/>
                <w:szCs w:val="21"/>
              </w:rPr>
              <w:t>1.</w:t>
            </w:r>
            <w:r>
              <w:rPr>
                <w:rFonts w:hint="eastAsia" w:ascii="方正仿宋_GBK"/>
                <w:kern w:val="0"/>
                <w:sz w:val="21"/>
                <w:szCs w:val="21"/>
              </w:rPr>
              <w:t>水环境容量有限，表现在琼江潼南段部分时段不能满足</w:t>
            </w:r>
            <w:r>
              <w:rPr>
                <w:rFonts w:ascii="方正仿宋_GBK"/>
                <w:kern w:val="0"/>
                <w:sz w:val="21"/>
                <w:szCs w:val="21"/>
              </w:rPr>
              <w:t>III</w:t>
            </w:r>
            <w:r>
              <w:rPr>
                <w:rFonts w:hint="eastAsia" w:ascii="方正仿宋_GBK"/>
                <w:kern w:val="0"/>
                <w:sz w:val="21"/>
                <w:szCs w:val="21"/>
              </w:rPr>
              <w:t>类水质要求。工业园区东区涉及重金属排放，对下游饮用水源存在一定的环境风险。</w:t>
            </w:r>
            <w:r>
              <w:rPr>
                <w:rFonts w:ascii="方正仿宋_GBK"/>
                <w:kern w:val="0"/>
                <w:sz w:val="21"/>
                <w:szCs w:val="21"/>
              </w:rPr>
              <w:t>2.</w:t>
            </w:r>
            <w:r>
              <w:rPr>
                <w:rFonts w:hint="eastAsia" w:ascii="方正仿宋_GBK"/>
                <w:kern w:val="0"/>
                <w:sz w:val="21"/>
                <w:szCs w:val="21"/>
              </w:rPr>
              <w:t>乡镇污水管网建设滞后，污水收集率较低。</w:t>
            </w:r>
            <w:r>
              <w:rPr>
                <w:rFonts w:ascii="方正仿宋_GBK"/>
                <w:kern w:val="0"/>
                <w:sz w:val="21"/>
                <w:szCs w:val="21"/>
              </w:rPr>
              <w:t>3.</w:t>
            </w:r>
            <w:r>
              <w:rPr>
                <w:rFonts w:hint="eastAsia" w:ascii="方正仿宋_GBK"/>
                <w:kern w:val="0"/>
                <w:sz w:val="21"/>
                <w:szCs w:val="21"/>
              </w:rPr>
              <w:t>电镀企业废气治理设施及监控设施不完善。</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水环境污染；涉及重金属排放。</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执行水环境工业污染重点管控区、大气环境高排放重点管控区、大气环境受体敏感重点管控区市级及主城西片区总体管控要求</w:t>
            </w:r>
          </w:p>
        </w:tc>
        <w:tc>
          <w:tcPr>
            <w:tcW w:w="1395" w:type="dxa"/>
            <w:vAlign w:val="center"/>
          </w:tcPr>
          <w:p>
            <w:pPr>
              <w:adjustRightInd w:val="0"/>
              <w:snapToGrid w:val="0"/>
              <w:spacing w:line="240" w:lineRule="exact"/>
              <w:jc w:val="left"/>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禁止引入含漂洗、印染、制革、制浆造纸等高耗水、高污染项目。</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工业区与集中居住区之间应设置隔离带；邻近居住用地的工业用地避免布置大气、噪声污染较重或容易扰民的企业。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61"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numPr>
                <w:ilvl w:val="0"/>
                <w:numId w:val="1"/>
              </w:numPr>
              <w:adjustRightInd w:val="0"/>
              <w:snapToGrid w:val="0"/>
              <w:spacing w:line="240" w:lineRule="exact"/>
              <w:jc w:val="left"/>
              <w:rPr>
                <w:rFonts w:ascii="方正仿宋_GBK"/>
                <w:kern w:val="0"/>
                <w:sz w:val="21"/>
                <w:szCs w:val="21"/>
              </w:rPr>
            </w:pPr>
            <w:r>
              <w:rPr>
                <w:rFonts w:hint="eastAsia" w:ascii="方正仿宋_GBK"/>
                <w:kern w:val="0"/>
                <w:sz w:val="21"/>
                <w:szCs w:val="21"/>
              </w:rPr>
              <w:t>对工业企业产生的废气和大气污染物进行收集处理，确保废气达标排放。严格控制废气无组织排放；加强对生产装置的管理，严格控制生产过程中的跑、冒、滴、漏。加强有机溶剂运输、储存过程中泄漏的监测和监管，降低挥发性有机物的泄漏。新、改、扩建项目若涉及排放挥发性有机物的车间，应安装废气回收、净化装置或采取一定的废气防控措施。</w:t>
            </w:r>
          </w:p>
          <w:p>
            <w:pPr>
              <w:numPr>
                <w:ilvl w:val="0"/>
                <w:numId w:val="1"/>
              </w:numPr>
              <w:adjustRightInd w:val="0"/>
              <w:snapToGrid w:val="0"/>
              <w:spacing w:line="240" w:lineRule="exact"/>
              <w:jc w:val="left"/>
              <w:rPr>
                <w:rFonts w:ascii="方正仿宋_GBK"/>
                <w:kern w:val="0"/>
                <w:sz w:val="21"/>
                <w:szCs w:val="21"/>
              </w:rPr>
            </w:pPr>
            <w:r>
              <w:rPr>
                <w:rFonts w:hint="eastAsia" w:ascii="方正仿宋_GBK"/>
                <w:kern w:val="0"/>
                <w:sz w:val="21"/>
                <w:szCs w:val="21"/>
              </w:rPr>
              <w:t>鼓励燃煤锅炉改天然气、电等清洁能源。</w:t>
            </w:r>
          </w:p>
          <w:p>
            <w:pPr>
              <w:numPr>
                <w:ilvl w:val="0"/>
                <w:numId w:val="1"/>
              </w:numPr>
              <w:adjustRightInd w:val="0"/>
              <w:snapToGrid w:val="0"/>
              <w:spacing w:line="240" w:lineRule="exact"/>
              <w:jc w:val="left"/>
              <w:rPr>
                <w:rFonts w:ascii="方正仿宋_GBK"/>
                <w:kern w:val="0"/>
                <w:sz w:val="21"/>
                <w:szCs w:val="21"/>
              </w:rPr>
            </w:pPr>
            <w:r>
              <w:rPr>
                <w:rFonts w:hint="eastAsia" w:ascii="方正仿宋_GBK"/>
                <w:kern w:val="0"/>
                <w:sz w:val="21"/>
                <w:szCs w:val="21"/>
              </w:rPr>
              <w:t>加强施工、道路、生产扬尘粉尘控制，减少城市建设裸露土地，加强交通污染治理。对人口集中居住区易扬尘场所要采取防尘措施，有效控制粉尘污染。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6"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numPr>
                <w:ilvl w:val="0"/>
                <w:numId w:val="2"/>
              </w:numPr>
              <w:adjustRightInd w:val="0"/>
              <w:snapToGrid w:val="0"/>
              <w:spacing w:line="240" w:lineRule="exact"/>
              <w:jc w:val="left"/>
              <w:rPr>
                <w:rFonts w:ascii="方正仿宋_GBK"/>
                <w:kern w:val="0"/>
                <w:sz w:val="21"/>
                <w:szCs w:val="21"/>
              </w:rPr>
            </w:pPr>
            <w:r>
              <w:rPr>
                <w:rFonts w:hint="eastAsia" w:ascii="方正仿宋_GBK"/>
                <w:kern w:val="0"/>
                <w:sz w:val="21"/>
                <w:szCs w:val="21"/>
              </w:rPr>
              <w:t>健全园区危险化学品运输管理和危险废物管理机制。</w:t>
            </w:r>
          </w:p>
          <w:p>
            <w:pPr>
              <w:numPr>
                <w:ilvl w:val="0"/>
                <w:numId w:val="2"/>
              </w:numPr>
              <w:adjustRightInd w:val="0"/>
              <w:snapToGrid w:val="0"/>
              <w:spacing w:line="240" w:lineRule="exact"/>
              <w:jc w:val="left"/>
              <w:rPr>
                <w:rFonts w:ascii="方正仿宋_GBK"/>
                <w:kern w:val="0"/>
                <w:sz w:val="21"/>
                <w:szCs w:val="21"/>
              </w:rPr>
            </w:pPr>
            <w:r>
              <w:rPr>
                <w:rFonts w:hint="eastAsia" w:ascii="方正仿宋_GBK"/>
                <w:kern w:val="0"/>
                <w:sz w:val="21"/>
                <w:szCs w:val="21"/>
              </w:rPr>
              <w:t>建立完善的园区事故污水风险防控体系。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69"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55"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ZH50015220002</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潼南区重点管控单元</w:t>
            </w:r>
            <w:r>
              <w:rPr>
                <w:rFonts w:ascii="方正仿宋_GBK"/>
                <w:kern w:val="0"/>
                <w:sz w:val="21"/>
                <w:szCs w:val="21"/>
              </w:rPr>
              <w:t>-</w:t>
            </w:r>
            <w:r>
              <w:rPr>
                <w:rFonts w:hint="eastAsia" w:ascii="方正仿宋_GBK"/>
                <w:kern w:val="0"/>
                <w:sz w:val="21"/>
                <w:szCs w:val="21"/>
              </w:rPr>
              <w:t>涪江坛罐窑河</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重点管控单元</w:t>
            </w:r>
            <w:r>
              <w:rPr>
                <w:rFonts w:ascii="方正仿宋_GBK"/>
                <w:kern w:val="0"/>
                <w:sz w:val="21"/>
                <w:szCs w:val="21"/>
              </w:rPr>
              <w:t>2</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包含：水环境农业污染重点管控区</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ascii="方正仿宋_GBK"/>
                <w:kern w:val="0"/>
                <w:sz w:val="21"/>
                <w:szCs w:val="21"/>
              </w:rPr>
              <w:t>1.</w:t>
            </w:r>
            <w:r>
              <w:rPr>
                <w:rFonts w:hint="eastAsia" w:ascii="方正仿宋_GBK"/>
                <w:kern w:val="0"/>
                <w:sz w:val="21"/>
                <w:szCs w:val="21"/>
              </w:rPr>
              <w:t>以中心城区－双江镇为核心，带动中部片区旅游服务与现代农业的发展；</w:t>
            </w:r>
            <w:r>
              <w:rPr>
                <w:rFonts w:ascii="方正仿宋_GBK"/>
                <w:kern w:val="0"/>
                <w:sz w:val="21"/>
                <w:szCs w:val="21"/>
              </w:rPr>
              <w:t>2.</w:t>
            </w:r>
            <w:r>
              <w:rPr>
                <w:rFonts w:hint="eastAsia" w:ascii="方正仿宋_GBK"/>
                <w:kern w:val="0"/>
                <w:sz w:val="21"/>
                <w:szCs w:val="21"/>
              </w:rPr>
              <w:t>内有双江特色产业区。</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ascii="方正仿宋_GBK"/>
                <w:kern w:val="0"/>
                <w:sz w:val="21"/>
                <w:szCs w:val="21"/>
              </w:rPr>
              <w:t>1.</w:t>
            </w:r>
            <w:r>
              <w:rPr>
                <w:rFonts w:hint="eastAsia" w:ascii="方正仿宋_GBK"/>
                <w:kern w:val="0"/>
                <w:sz w:val="21"/>
                <w:szCs w:val="21"/>
              </w:rPr>
              <w:t>分布有定明山</w:t>
            </w:r>
            <w:r>
              <w:rPr>
                <w:rFonts w:ascii="方正仿宋_GBK"/>
                <w:kern w:val="0"/>
                <w:sz w:val="21"/>
                <w:szCs w:val="21"/>
              </w:rPr>
              <w:t>-</w:t>
            </w:r>
            <w:r>
              <w:rPr>
                <w:rFonts w:hint="eastAsia" w:ascii="方正仿宋_GBK"/>
                <w:kern w:val="0"/>
                <w:sz w:val="21"/>
                <w:szCs w:val="21"/>
              </w:rPr>
              <w:t>人工运河风景名胜区，涪江国家湿地公园等，对环境保护要求较高。</w:t>
            </w:r>
            <w:r>
              <w:rPr>
                <w:rFonts w:ascii="方正仿宋_GBK"/>
                <w:kern w:val="0"/>
                <w:sz w:val="21"/>
                <w:szCs w:val="21"/>
              </w:rPr>
              <w:t>2.</w:t>
            </w:r>
            <w:r>
              <w:rPr>
                <w:rFonts w:hint="eastAsia" w:ascii="方正仿宋_GBK"/>
                <w:kern w:val="0"/>
                <w:sz w:val="21"/>
                <w:szCs w:val="21"/>
              </w:rPr>
              <w:t>污水处理厂出水不能稳定达标，有超标现象。</w:t>
            </w:r>
            <w:r>
              <w:rPr>
                <w:rFonts w:ascii="方正仿宋_GBK"/>
                <w:kern w:val="0"/>
                <w:sz w:val="21"/>
                <w:szCs w:val="21"/>
              </w:rPr>
              <w:t xml:space="preserve">3. </w:t>
            </w:r>
            <w:r>
              <w:rPr>
                <w:rFonts w:hint="eastAsia" w:ascii="方正仿宋_GBK"/>
                <w:kern w:val="0"/>
                <w:sz w:val="21"/>
                <w:szCs w:val="21"/>
              </w:rPr>
              <w:t>禽畜养殖管理有待进一步加强，还土还田使用量与耕地不匹配，易产生农业面源污染。</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大气、水环境及土壤污染，畜禽养殖面源污染。</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执行水环境农业污染重点管控区市级及主城西片区总体管控要求</w:t>
            </w:r>
          </w:p>
        </w:tc>
        <w:tc>
          <w:tcPr>
            <w:tcW w:w="1395" w:type="dxa"/>
            <w:vAlign w:val="center"/>
          </w:tcPr>
          <w:p>
            <w:pPr>
              <w:adjustRightInd w:val="0"/>
              <w:snapToGrid w:val="0"/>
              <w:spacing w:line="240" w:lineRule="exact"/>
              <w:jc w:val="left"/>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根据土地承载力优化花岩镇、双江镇禽畜养殖项目布局与规模。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861"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污染物排放、管控</w:t>
            </w:r>
          </w:p>
        </w:tc>
        <w:tc>
          <w:tcPr>
            <w:tcW w:w="6749" w:type="dxa"/>
            <w:vAlign w:val="center"/>
          </w:tcPr>
          <w:p>
            <w:pPr>
              <w:numPr>
                <w:ilvl w:val="0"/>
                <w:numId w:val="3"/>
              </w:numPr>
              <w:adjustRightInd w:val="0"/>
              <w:snapToGrid w:val="0"/>
              <w:spacing w:line="240" w:lineRule="exact"/>
              <w:jc w:val="left"/>
              <w:rPr>
                <w:rFonts w:ascii="方正仿宋_GBK"/>
                <w:kern w:val="0"/>
                <w:sz w:val="21"/>
                <w:szCs w:val="21"/>
              </w:rPr>
            </w:pPr>
            <w:r>
              <w:rPr>
                <w:rFonts w:hint="eastAsia" w:ascii="方正仿宋_GBK"/>
                <w:kern w:val="0"/>
                <w:sz w:val="21"/>
                <w:szCs w:val="21"/>
              </w:rPr>
              <w:t>不得建设涉及有毒有害物质、重金属排放的企业；加快花岩镇污水处理厂重建，确保双江镇污水处理厂达标排放。</w:t>
            </w:r>
            <w:r>
              <w:rPr>
                <w:rFonts w:ascii="方正仿宋_GBK"/>
                <w:kern w:val="0"/>
                <w:sz w:val="21"/>
                <w:szCs w:val="21"/>
              </w:rPr>
              <w:t xml:space="preserve"> </w:t>
            </w:r>
          </w:p>
          <w:p>
            <w:pPr>
              <w:numPr>
                <w:ilvl w:val="0"/>
                <w:numId w:val="3"/>
              </w:numPr>
              <w:adjustRightInd w:val="0"/>
              <w:snapToGrid w:val="0"/>
              <w:spacing w:line="240" w:lineRule="exact"/>
              <w:jc w:val="left"/>
              <w:rPr>
                <w:rFonts w:ascii="方正仿宋_GBK"/>
                <w:kern w:val="0"/>
                <w:sz w:val="21"/>
                <w:szCs w:val="21"/>
              </w:rPr>
            </w:pPr>
            <w:r>
              <w:rPr>
                <w:rFonts w:hint="eastAsia" w:ascii="方正仿宋_GBK"/>
                <w:kern w:val="0"/>
                <w:sz w:val="21"/>
                <w:szCs w:val="21"/>
              </w:rPr>
              <w:t>推广秸秆机械化粉碎还田、秸秆青贮、秸秆气化等综合利用技术，提高秸秆综合利用效率，以利用促禁烧。</w:t>
            </w:r>
          </w:p>
          <w:p>
            <w:pPr>
              <w:numPr>
                <w:ilvl w:val="0"/>
                <w:numId w:val="3"/>
              </w:numPr>
              <w:adjustRightInd w:val="0"/>
              <w:snapToGrid w:val="0"/>
              <w:spacing w:line="240" w:lineRule="exact"/>
              <w:jc w:val="left"/>
              <w:rPr>
                <w:rFonts w:ascii="方正仿宋_GBK"/>
                <w:kern w:val="0"/>
                <w:sz w:val="21"/>
                <w:szCs w:val="21"/>
              </w:rPr>
            </w:pPr>
            <w:r>
              <w:rPr>
                <w:rFonts w:hint="eastAsia" w:ascii="方正仿宋_GBK"/>
                <w:kern w:val="0"/>
                <w:sz w:val="21"/>
                <w:szCs w:val="21"/>
              </w:rPr>
              <w:t>优化调整禽畜养殖布局，采用清洁养殖模式，建设畜禽粪污等农业有机废弃物收集、转化、利用网络体系，鼓励在养殖密集区域建立粪污集中处理中心等全面进行污染防控，畜禽养殖污水和废弃物实行资源化利用，不直排。</w:t>
            </w:r>
          </w:p>
          <w:p>
            <w:pPr>
              <w:pStyle w:val="9"/>
              <w:widowControl w:val="0"/>
              <w:numPr>
                <w:ilvl w:val="0"/>
                <w:numId w:val="3"/>
              </w:numPr>
              <w:spacing w:line="240" w:lineRule="exact"/>
              <w:ind w:firstLine="0"/>
              <w:jc w:val="left"/>
              <w:rPr>
                <w:rFonts w:ascii="方正仿宋_GBK" w:hAnsi="Times New Roman"/>
                <w:kern w:val="0"/>
                <w:sz w:val="21"/>
                <w:szCs w:val="21"/>
              </w:rPr>
            </w:pPr>
            <w:r>
              <w:rPr>
                <w:rFonts w:hint="eastAsia" w:ascii="方正仿宋_GBK" w:hAnsi="Times New Roman"/>
                <w:kern w:val="0"/>
                <w:sz w:val="21"/>
                <w:szCs w:val="21"/>
              </w:rPr>
              <w:t>加强施工、道路、生产扬尘粉尘控制，减少镇区建设裸露土地，加强交通污染治理。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7"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规模化养殖企业污水处理设施应设置事故池，建立风险防控体系，制订应急预案。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96"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22"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ZH50015220003</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潼南区重点管控单元</w:t>
            </w:r>
            <w:r>
              <w:rPr>
                <w:rFonts w:ascii="方正仿宋_GBK"/>
                <w:kern w:val="0"/>
                <w:sz w:val="21"/>
                <w:szCs w:val="21"/>
              </w:rPr>
              <w:t>-</w:t>
            </w:r>
            <w:r>
              <w:rPr>
                <w:rFonts w:hint="eastAsia" w:ascii="方正仿宋_GBK"/>
                <w:kern w:val="0"/>
                <w:sz w:val="21"/>
                <w:szCs w:val="21"/>
              </w:rPr>
              <w:t>涪江潼南桂林街道</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重点管控单元</w:t>
            </w:r>
            <w:r>
              <w:rPr>
                <w:rFonts w:ascii="方正仿宋_GBK"/>
                <w:kern w:val="0"/>
                <w:sz w:val="21"/>
                <w:szCs w:val="21"/>
              </w:rPr>
              <w:t>3</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包含：水环境工业</w:t>
            </w:r>
            <w:r>
              <w:rPr>
                <w:rFonts w:ascii="方正仿宋_GBK"/>
                <w:kern w:val="0"/>
                <w:sz w:val="21"/>
                <w:szCs w:val="21"/>
              </w:rPr>
              <w:t>-</w:t>
            </w:r>
            <w:r>
              <w:rPr>
                <w:rFonts w:hint="eastAsia" w:ascii="方正仿宋_GBK"/>
                <w:kern w:val="0"/>
                <w:sz w:val="21"/>
                <w:szCs w:val="21"/>
              </w:rPr>
              <w:t>城镇生活重点管控区，大气环境高排放区、受体敏感区、高污染燃料禁燃区</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潼南高新区北区规划区内重点发展产业以现有精细化工产业转型升级、完善产业链项目和技改扩能项目及新能源和绿色建筑建材产业、仓储物流业为主，同时注重弹性，并优先考虑环保型、科技型企业吸纳。</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ascii="方正仿宋_GBK"/>
                <w:kern w:val="0"/>
                <w:sz w:val="21"/>
                <w:szCs w:val="21"/>
              </w:rPr>
              <w:t>1.</w:t>
            </w:r>
            <w:r>
              <w:rPr>
                <w:rFonts w:hint="eastAsia" w:ascii="方正仿宋_GBK"/>
                <w:kern w:val="0"/>
                <w:sz w:val="21"/>
                <w:szCs w:val="21"/>
              </w:rPr>
              <w:t>严控重金属新增产生量。</w:t>
            </w:r>
            <w:r>
              <w:rPr>
                <w:rFonts w:ascii="方正仿宋_GBK"/>
                <w:kern w:val="0"/>
                <w:sz w:val="21"/>
                <w:szCs w:val="21"/>
              </w:rPr>
              <w:t>2.</w:t>
            </w:r>
            <w:r>
              <w:rPr>
                <w:rFonts w:hint="eastAsia" w:ascii="方正仿宋_GBK"/>
                <w:kern w:val="0"/>
                <w:sz w:val="21"/>
                <w:szCs w:val="21"/>
              </w:rPr>
              <w:t>事故池建设有待完善。</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ascii="方正仿宋_GBK"/>
                <w:kern w:val="0"/>
                <w:sz w:val="21"/>
                <w:szCs w:val="21"/>
              </w:rPr>
              <w:t xml:space="preserve"> PM</w:t>
            </w:r>
            <w:r>
              <w:rPr>
                <w:rFonts w:ascii="方正仿宋_GBK"/>
                <w:kern w:val="0"/>
                <w:sz w:val="21"/>
                <w:szCs w:val="21"/>
                <w:vertAlign w:val="subscript"/>
              </w:rPr>
              <w:t>2.5</w:t>
            </w:r>
            <w:r>
              <w:rPr>
                <w:rFonts w:hint="eastAsia" w:ascii="方正仿宋_GBK"/>
                <w:kern w:val="0"/>
                <w:sz w:val="21"/>
                <w:szCs w:val="21"/>
              </w:rPr>
              <w:t>及</w:t>
            </w:r>
            <w:r>
              <w:rPr>
                <w:rFonts w:ascii="方正仿宋_GBK"/>
                <w:kern w:val="0"/>
                <w:sz w:val="21"/>
                <w:szCs w:val="21"/>
              </w:rPr>
              <w:t>O</w:t>
            </w:r>
            <w:r>
              <w:rPr>
                <w:rFonts w:ascii="方正仿宋_GBK"/>
                <w:kern w:val="0"/>
                <w:sz w:val="21"/>
                <w:szCs w:val="21"/>
                <w:vertAlign w:val="subscript"/>
              </w:rPr>
              <w:t>3</w:t>
            </w:r>
            <w:r>
              <w:rPr>
                <w:rFonts w:hint="eastAsia" w:ascii="方正仿宋_GBK"/>
                <w:kern w:val="0"/>
                <w:sz w:val="21"/>
                <w:szCs w:val="21"/>
              </w:rPr>
              <w:t>有超标现象。</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执行水环境工业</w:t>
            </w:r>
            <w:r>
              <w:rPr>
                <w:rFonts w:ascii="方正仿宋_GBK"/>
                <w:kern w:val="0"/>
                <w:sz w:val="21"/>
                <w:szCs w:val="21"/>
              </w:rPr>
              <w:t>-</w:t>
            </w:r>
            <w:r>
              <w:rPr>
                <w:rFonts w:hint="eastAsia" w:ascii="方正仿宋_GBK"/>
                <w:kern w:val="0"/>
                <w:sz w:val="21"/>
                <w:szCs w:val="21"/>
              </w:rPr>
              <w:t>城镇生活重点管控区，大气环境高排放区、受体敏感区、高污染燃料禁燃区市级及主城西片区总体管控要求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2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不得在城区主导风向上风向</w:t>
            </w:r>
            <w:r>
              <w:rPr>
                <w:rFonts w:ascii="方正仿宋_GBK"/>
                <w:kern w:val="0"/>
                <w:sz w:val="21"/>
                <w:szCs w:val="21"/>
              </w:rPr>
              <w:t>5</w:t>
            </w:r>
            <w:r>
              <w:rPr>
                <w:rFonts w:hint="eastAsia" w:ascii="方正仿宋_GBK"/>
                <w:kern w:val="0"/>
                <w:sz w:val="21"/>
                <w:szCs w:val="21"/>
              </w:rPr>
              <w:t>公里范围内新建燃煤电厂、水泥、钢铁冶炼等大气污染严重的项目。</w:t>
            </w:r>
          </w:p>
          <w:p>
            <w:pPr>
              <w:adjustRightInd w:val="0"/>
              <w:snapToGrid w:val="0"/>
              <w:spacing w:line="22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不得在集中式饮用水源取水口上游</w:t>
            </w:r>
            <w:r>
              <w:rPr>
                <w:rFonts w:ascii="方正仿宋_GBK"/>
                <w:kern w:val="0"/>
                <w:sz w:val="21"/>
                <w:szCs w:val="21"/>
              </w:rPr>
              <w:t>20km</w:t>
            </w:r>
            <w:r>
              <w:rPr>
                <w:rFonts w:hint="eastAsia" w:ascii="方正仿宋_GBK"/>
                <w:kern w:val="0"/>
                <w:sz w:val="21"/>
                <w:szCs w:val="21"/>
              </w:rPr>
              <w:t>范围内的沿岸地区（江河</w:t>
            </w:r>
            <w:r>
              <w:rPr>
                <w:rFonts w:ascii="方正仿宋_GBK"/>
                <w:kern w:val="0"/>
                <w:sz w:val="21"/>
                <w:szCs w:val="21"/>
              </w:rPr>
              <w:t>50</w:t>
            </w:r>
            <w:r>
              <w:rPr>
                <w:rFonts w:hint="eastAsia" w:ascii="方正仿宋_GBK"/>
                <w:kern w:val="0"/>
                <w:sz w:val="21"/>
                <w:szCs w:val="21"/>
              </w:rPr>
              <w:t>年一遇洪水位向内陆一侧</w:t>
            </w:r>
            <w:r>
              <w:rPr>
                <w:rFonts w:ascii="方正仿宋_GBK"/>
                <w:kern w:val="0"/>
                <w:sz w:val="21"/>
                <w:szCs w:val="21"/>
              </w:rPr>
              <w:t>1</w:t>
            </w:r>
            <w:r>
              <w:rPr>
                <w:rFonts w:hint="eastAsia" w:ascii="方正仿宋_GBK"/>
                <w:kern w:val="0"/>
                <w:sz w:val="21"/>
                <w:szCs w:val="21"/>
              </w:rPr>
              <w:t>公里范围内）新建、扩建排放重金属、剧毒物质和持久性有机污染物的工业项目。</w:t>
            </w:r>
          </w:p>
          <w:p>
            <w:pPr>
              <w:adjustRightInd w:val="0"/>
              <w:snapToGrid w:val="0"/>
              <w:spacing w:line="220" w:lineRule="exact"/>
              <w:jc w:val="left"/>
              <w:rPr>
                <w:rFonts w:ascii="方正仿宋_GBK"/>
                <w:kern w:val="0"/>
                <w:sz w:val="21"/>
                <w:szCs w:val="21"/>
              </w:rPr>
            </w:pPr>
            <w:r>
              <w:rPr>
                <w:rFonts w:ascii="方正仿宋_GBK"/>
                <w:kern w:val="0"/>
                <w:sz w:val="21"/>
                <w:szCs w:val="21"/>
              </w:rPr>
              <w:t>3.</w:t>
            </w:r>
            <w:r>
              <w:rPr>
                <w:rFonts w:hint="eastAsia" w:ascii="方正仿宋_GBK"/>
                <w:kern w:val="0"/>
                <w:sz w:val="21"/>
                <w:szCs w:val="21"/>
              </w:rPr>
              <w:t>北区应控制发展高污染化工企业。</w:t>
            </w:r>
          </w:p>
          <w:p>
            <w:pPr>
              <w:adjustRightInd w:val="0"/>
              <w:snapToGrid w:val="0"/>
              <w:spacing w:line="220" w:lineRule="exact"/>
              <w:jc w:val="left"/>
              <w:rPr>
                <w:rFonts w:ascii="方正仿宋_GBK"/>
                <w:kern w:val="0"/>
                <w:sz w:val="21"/>
                <w:szCs w:val="21"/>
              </w:rPr>
            </w:pPr>
            <w:r>
              <w:rPr>
                <w:rFonts w:ascii="方正仿宋_GBK"/>
                <w:kern w:val="0"/>
                <w:sz w:val="21"/>
                <w:szCs w:val="21"/>
              </w:rPr>
              <w:t>4.</w:t>
            </w:r>
            <w:r>
              <w:rPr>
                <w:rFonts w:hint="eastAsia" w:ascii="方正仿宋_GBK"/>
                <w:kern w:val="0"/>
                <w:sz w:val="21"/>
                <w:szCs w:val="21"/>
              </w:rPr>
              <w:t>控制新增高耗水的工业项目，造纸业发展应立足于现有企业升级优化。</w:t>
            </w:r>
            <w:r>
              <w:rPr>
                <w:rFonts w:ascii="方正仿宋_GBK"/>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82"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污染物排放管控</w:t>
            </w:r>
          </w:p>
        </w:tc>
        <w:tc>
          <w:tcPr>
            <w:tcW w:w="6749" w:type="dxa"/>
            <w:vAlign w:val="center"/>
          </w:tcPr>
          <w:p>
            <w:pPr>
              <w:adjustRightInd w:val="0"/>
              <w:snapToGrid w:val="0"/>
              <w:spacing w:line="22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对工业产生的废气和大气污染物进行收集处理，确保废气达标排放，严格控制废气无组织排放。新、改、扩建项目若涉及排放挥发性有机物的车间，应安装废气回收、净化装置或采取一定的废气防控措施。</w:t>
            </w:r>
          </w:p>
          <w:p>
            <w:pPr>
              <w:adjustRightInd w:val="0"/>
              <w:snapToGrid w:val="0"/>
              <w:spacing w:line="22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加强施工、道路、生产扬尘粉尘控制，减少城市建设裸露土地，加强交通污染治理。对人口集中居住区易扬尘场所要采取防尘措施，有效控制粉尘污染。</w:t>
            </w:r>
          </w:p>
          <w:p>
            <w:pPr>
              <w:adjustRightInd w:val="0"/>
              <w:snapToGrid w:val="0"/>
              <w:spacing w:line="220" w:lineRule="exact"/>
              <w:jc w:val="left"/>
              <w:rPr>
                <w:rFonts w:ascii="方正仿宋_GBK"/>
                <w:spacing w:val="-6"/>
                <w:kern w:val="0"/>
                <w:sz w:val="21"/>
                <w:szCs w:val="21"/>
              </w:rPr>
            </w:pPr>
            <w:r>
              <w:rPr>
                <w:rFonts w:ascii="方正仿宋_GBK"/>
                <w:spacing w:val="-6"/>
                <w:kern w:val="0"/>
                <w:sz w:val="21"/>
                <w:szCs w:val="21"/>
              </w:rPr>
              <w:t>3.</w:t>
            </w:r>
            <w:r>
              <w:rPr>
                <w:rFonts w:hint="eastAsia" w:ascii="方正仿宋_GBK"/>
                <w:spacing w:val="-6"/>
                <w:kern w:val="0"/>
                <w:sz w:val="21"/>
                <w:szCs w:val="21"/>
              </w:rPr>
              <w:t>潼南区城市污水处理厂提标执行城镇污水处理厂污染物排放标准一级</w:t>
            </w:r>
            <w:r>
              <w:rPr>
                <w:rFonts w:ascii="方正仿宋_GBK"/>
                <w:spacing w:val="-6"/>
                <w:kern w:val="0"/>
                <w:sz w:val="21"/>
                <w:szCs w:val="21"/>
              </w:rPr>
              <w:t>A</w:t>
            </w:r>
            <w:r>
              <w:rPr>
                <w:rFonts w:hint="eastAsia" w:ascii="方正仿宋_GBK"/>
                <w:spacing w:val="-6"/>
                <w:kern w:val="0"/>
                <w:sz w:val="21"/>
                <w:szCs w:val="21"/>
              </w:rPr>
              <w:t>标。</w:t>
            </w:r>
          </w:p>
          <w:p>
            <w:pPr>
              <w:adjustRightInd w:val="0"/>
              <w:snapToGrid w:val="0"/>
              <w:spacing w:line="220" w:lineRule="exact"/>
              <w:jc w:val="left"/>
              <w:rPr>
                <w:rFonts w:ascii="方正仿宋_GBK"/>
                <w:kern w:val="0"/>
                <w:sz w:val="21"/>
                <w:szCs w:val="21"/>
              </w:rPr>
            </w:pPr>
            <w:r>
              <w:rPr>
                <w:rFonts w:ascii="方正仿宋_GBK"/>
                <w:kern w:val="0"/>
                <w:sz w:val="21"/>
                <w:szCs w:val="21"/>
              </w:rPr>
              <w:t>4.</w:t>
            </w:r>
            <w:r>
              <w:rPr>
                <w:rFonts w:hint="eastAsia" w:ascii="方正仿宋_GBK"/>
                <w:kern w:val="0"/>
                <w:sz w:val="21"/>
                <w:szCs w:val="21"/>
              </w:rPr>
              <w:t>禽畜养殖在源头上依法“严格养殖准入”；调整优化布局，建设畜禽粪污等农业有机废弃物收集、转化、利用网络体系，鼓励在养殖密集区域建立粪污集中处理中心等全面进行污染防控，畜禽养殖污水和废弃物实行资源化利用，不直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7"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2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建立健全园区危险化学品运输管理和危险废物管理机制。</w:t>
            </w:r>
          </w:p>
          <w:p>
            <w:pPr>
              <w:adjustRightInd w:val="0"/>
              <w:snapToGrid w:val="0"/>
              <w:spacing w:line="22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建立完善的园区事故污水风险防控体系。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42"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2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ZH50015220004</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潼南区重点管控单元</w:t>
            </w:r>
            <w:r>
              <w:rPr>
                <w:rFonts w:ascii="方正仿宋_GBK"/>
                <w:kern w:val="0"/>
                <w:sz w:val="21"/>
                <w:szCs w:val="21"/>
              </w:rPr>
              <w:t>-</w:t>
            </w:r>
            <w:r>
              <w:rPr>
                <w:rFonts w:hint="eastAsia" w:ascii="方正仿宋_GBK"/>
                <w:kern w:val="0"/>
                <w:sz w:val="21"/>
                <w:szCs w:val="21"/>
              </w:rPr>
              <w:t>涪江太和</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重点管控单元</w:t>
            </w:r>
            <w:r>
              <w:rPr>
                <w:rFonts w:ascii="方正仿宋_GBK"/>
                <w:kern w:val="0"/>
                <w:sz w:val="21"/>
                <w:szCs w:val="21"/>
              </w:rPr>
              <w:t>4</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包含：水环境农业污染重点管控区</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农业及养殖业。</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hint="eastAsia" w:ascii="方正仿宋_GBK"/>
                <w:kern w:val="0"/>
                <w:sz w:val="21"/>
                <w:szCs w:val="21"/>
              </w:rPr>
              <w:t>禽畜养殖管理有待进一步完善，还土还田使用量与耕地不匹配，易产生农业面源污染。</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面源污染，禽畜养殖污染，水土流失。</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执行水环境农业污染重点管控区市级及主城西片区总体管控要求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20" w:lineRule="exact"/>
              <w:jc w:val="left"/>
              <w:rPr>
                <w:rFonts w:ascii="方正仿宋_GBK"/>
                <w:kern w:val="0"/>
                <w:sz w:val="21"/>
                <w:szCs w:val="21"/>
              </w:rPr>
            </w:pPr>
            <w:r>
              <w:rPr>
                <w:rFonts w:hint="eastAsia" w:ascii="方正仿宋_GBK"/>
                <w:kern w:val="0"/>
                <w:sz w:val="21"/>
                <w:szCs w:val="21"/>
              </w:rPr>
              <w:t>合理发展养殖业，在“蔬菜基地”周边发展，“以地定畜”，同时，处理好老养殖场的污染防治。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62"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numPr>
                <w:ilvl w:val="0"/>
                <w:numId w:val="4"/>
              </w:numPr>
              <w:adjustRightInd w:val="0"/>
              <w:snapToGrid w:val="0"/>
              <w:spacing w:line="240" w:lineRule="exact"/>
              <w:jc w:val="left"/>
              <w:rPr>
                <w:rFonts w:ascii="方正仿宋_GBK"/>
                <w:kern w:val="0"/>
                <w:sz w:val="21"/>
                <w:szCs w:val="21"/>
              </w:rPr>
            </w:pPr>
            <w:r>
              <w:rPr>
                <w:rFonts w:hint="eastAsia" w:ascii="方正仿宋_GBK"/>
                <w:kern w:val="0"/>
                <w:sz w:val="21"/>
                <w:szCs w:val="21"/>
              </w:rPr>
              <w:t>加快天然气管网建设，控制生活用煤数量，推动清洁能源使用。</w:t>
            </w:r>
          </w:p>
          <w:p>
            <w:pPr>
              <w:numPr>
                <w:ilvl w:val="0"/>
                <w:numId w:val="4"/>
              </w:numPr>
              <w:adjustRightInd w:val="0"/>
              <w:snapToGrid w:val="0"/>
              <w:spacing w:line="240" w:lineRule="exact"/>
              <w:jc w:val="left"/>
              <w:rPr>
                <w:rFonts w:ascii="方正仿宋_GBK"/>
                <w:kern w:val="0"/>
                <w:sz w:val="21"/>
                <w:szCs w:val="21"/>
              </w:rPr>
            </w:pPr>
            <w:r>
              <w:rPr>
                <w:rFonts w:hint="eastAsia" w:ascii="方正仿宋_GBK"/>
                <w:kern w:val="0"/>
                <w:sz w:val="21"/>
                <w:szCs w:val="21"/>
              </w:rPr>
              <w:t>加强施工、道路、生产扬尘粉尘控制，减少镇区建设裸露土地；加强交通污染治理。</w:t>
            </w:r>
          </w:p>
          <w:p>
            <w:pPr>
              <w:numPr>
                <w:ilvl w:val="0"/>
                <w:numId w:val="4"/>
              </w:numPr>
              <w:adjustRightInd w:val="0"/>
              <w:snapToGrid w:val="0"/>
              <w:spacing w:line="240" w:lineRule="exact"/>
              <w:jc w:val="left"/>
              <w:rPr>
                <w:rFonts w:ascii="方正仿宋_GBK"/>
                <w:kern w:val="0"/>
                <w:sz w:val="21"/>
                <w:szCs w:val="21"/>
              </w:rPr>
            </w:pPr>
            <w:r>
              <w:rPr>
                <w:rFonts w:hint="eastAsia" w:ascii="方正仿宋_GBK"/>
                <w:kern w:val="0"/>
                <w:sz w:val="21"/>
                <w:szCs w:val="21"/>
              </w:rPr>
              <w:t>推广秸秆机械化粉碎还田、秸秆青贮、秸秆气化等综合利用技术，提高秸秆综合利用效率，以利用促禁烧。</w:t>
            </w:r>
          </w:p>
          <w:p>
            <w:pPr>
              <w:numPr>
                <w:ilvl w:val="0"/>
                <w:numId w:val="4"/>
              </w:numPr>
              <w:adjustRightInd w:val="0"/>
              <w:snapToGrid w:val="0"/>
              <w:spacing w:line="240" w:lineRule="exact"/>
              <w:jc w:val="left"/>
              <w:rPr>
                <w:rFonts w:ascii="方正仿宋_GBK"/>
                <w:kern w:val="0"/>
                <w:sz w:val="21"/>
                <w:szCs w:val="21"/>
              </w:rPr>
            </w:pPr>
            <w:r>
              <w:rPr>
                <w:rFonts w:hint="eastAsia" w:ascii="方正仿宋_GBK"/>
                <w:kern w:val="0"/>
                <w:sz w:val="21"/>
                <w:szCs w:val="21"/>
              </w:rPr>
              <w:t>禽畜养殖在源头上依法“严格养殖准入”；调整优化布局，建设畜禽粪污等农业有机废弃物收集、转化、利用网络体系，鼓励在养殖密集区域建立粪污集中处理中心等全面进行污染防控，畜禽养殖污水和废弃物实行资源化利用，不直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8"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ZH50015220004</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潼南区重点管控单元</w:t>
            </w:r>
            <w:r>
              <w:rPr>
                <w:rFonts w:ascii="方正仿宋_GBK"/>
                <w:kern w:val="0"/>
                <w:sz w:val="21"/>
                <w:szCs w:val="21"/>
              </w:rPr>
              <w:t>-</w:t>
            </w:r>
            <w:r>
              <w:rPr>
                <w:rFonts w:hint="eastAsia" w:ascii="方正仿宋_GBK"/>
                <w:kern w:val="0"/>
                <w:sz w:val="21"/>
                <w:szCs w:val="21"/>
              </w:rPr>
              <w:t>涪江太和</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重点管控单元</w:t>
            </w:r>
            <w:r>
              <w:rPr>
                <w:rFonts w:ascii="方正仿宋_GBK"/>
                <w:kern w:val="0"/>
                <w:sz w:val="21"/>
                <w:szCs w:val="21"/>
              </w:rPr>
              <w:t>4</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包含：水环境农业污染重点管控区</w:t>
            </w:r>
          </w:p>
        </w:tc>
        <w:tc>
          <w:tcPr>
            <w:tcW w:w="2421" w:type="dxa"/>
            <w:vMerge w:val="restart"/>
            <w:vAlign w:val="center"/>
          </w:tcPr>
          <w:p>
            <w:pPr>
              <w:adjustRightInd w:val="0"/>
              <w:snapToGrid w:val="0"/>
              <w:spacing w:line="240" w:lineRule="exact"/>
              <w:jc w:val="left"/>
              <w:rPr>
                <w:rFonts w:ascii="方正仿宋_GBK"/>
                <w:spacing w:val="-14"/>
                <w:kern w:val="0"/>
                <w:sz w:val="21"/>
                <w:szCs w:val="21"/>
              </w:rPr>
            </w:pPr>
            <w:r>
              <w:rPr>
                <w:rFonts w:hint="eastAsia" w:ascii="方正仿宋_GBK"/>
                <w:b/>
                <w:spacing w:val="-14"/>
                <w:kern w:val="0"/>
                <w:sz w:val="21"/>
                <w:szCs w:val="21"/>
              </w:rPr>
              <w:t>发展定位或保护要求：</w:t>
            </w:r>
            <w:r>
              <w:rPr>
                <w:rFonts w:hint="eastAsia" w:ascii="方正仿宋_GBK"/>
                <w:spacing w:val="-14"/>
                <w:kern w:val="0"/>
                <w:sz w:val="21"/>
                <w:szCs w:val="21"/>
              </w:rPr>
              <w:t>农业及养殖业。</w:t>
            </w:r>
          </w:p>
          <w:p>
            <w:pPr>
              <w:adjustRightInd w:val="0"/>
              <w:snapToGrid w:val="0"/>
              <w:spacing w:line="240" w:lineRule="exact"/>
              <w:jc w:val="left"/>
              <w:rPr>
                <w:rFonts w:ascii="方正仿宋_GBK"/>
                <w:spacing w:val="-14"/>
                <w:kern w:val="0"/>
                <w:sz w:val="21"/>
                <w:szCs w:val="21"/>
              </w:rPr>
            </w:pPr>
            <w:r>
              <w:rPr>
                <w:rFonts w:hint="eastAsia" w:ascii="方正仿宋_GBK"/>
                <w:b/>
                <w:spacing w:val="-14"/>
                <w:kern w:val="0"/>
                <w:sz w:val="21"/>
                <w:szCs w:val="21"/>
              </w:rPr>
              <w:t>发展现状及问题：</w:t>
            </w:r>
            <w:r>
              <w:rPr>
                <w:rFonts w:hint="eastAsia" w:ascii="方正仿宋_GBK"/>
                <w:spacing w:val="-14"/>
                <w:kern w:val="0"/>
                <w:sz w:val="21"/>
                <w:szCs w:val="21"/>
              </w:rPr>
              <w:t>禽畜养殖管理有待进一步完善，还土还田使用量与耕地不匹配，易产生农业面源污染。</w:t>
            </w:r>
          </w:p>
          <w:p>
            <w:pPr>
              <w:adjustRightInd w:val="0"/>
              <w:snapToGrid w:val="0"/>
              <w:spacing w:line="240" w:lineRule="exact"/>
              <w:jc w:val="left"/>
              <w:rPr>
                <w:rFonts w:ascii="方正仿宋_GBK"/>
                <w:kern w:val="0"/>
                <w:sz w:val="21"/>
                <w:szCs w:val="21"/>
              </w:rPr>
            </w:pPr>
            <w:r>
              <w:rPr>
                <w:rFonts w:hint="eastAsia" w:ascii="方正仿宋_GBK"/>
                <w:b/>
                <w:spacing w:val="-14"/>
                <w:kern w:val="0"/>
                <w:sz w:val="21"/>
                <w:szCs w:val="21"/>
              </w:rPr>
              <w:t>环境要素主要问题：</w:t>
            </w:r>
            <w:r>
              <w:rPr>
                <w:rFonts w:hint="eastAsia" w:ascii="方正仿宋_GBK"/>
                <w:spacing w:val="-14"/>
                <w:kern w:val="0"/>
                <w:sz w:val="21"/>
                <w:szCs w:val="21"/>
              </w:rPr>
              <w:t>面源污染，禽畜养殖污染，水土流失。</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执行水环境农业污染重点管控区市级及主城西片区总体管控要求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规模化养殖企业污水处理设施应设置事故池，建立风险防控体系，制订应急预案。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1"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79"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ZH50015220005</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潼南区重点管控单元</w:t>
            </w:r>
            <w:r>
              <w:rPr>
                <w:rFonts w:ascii="方正仿宋_GBK"/>
                <w:kern w:val="0"/>
                <w:sz w:val="21"/>
                <w:szCs w:val="21"/>
              </w:rPr>
              <w:t>-</w:t>
            </w:r>
            <w:r>
              <w:rPr>
                <w:rFonts w:hint="eastAsia" w:ascii="方正仿宋_GBK"/>
                <w:kern w:val="0"/>
                <w:sz w:val="21"/>
                <w:szCs w:val="21"/>
              </w:rPr>
              <w:t>琼江潼南上游段</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重点管控单元</w:t>
            </w:r>
            <w:r>
              <w:rPr>
                <w:rFonts w:ascii="方正仿宋_GBK"/>
                <w:kern w:val="0"/>
                <w:sz w:val="21"/>
                <w:szCs w:val="21"/>
              </w:rPr>
              <w:t>5</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包含：水环境农业污染重点管控区</w:t>
            </w:r>
          </w:p>
        </w:tc>
        <w:tc>
          <w:tcPr>
            <w:tcW w:w="242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农业，规模化畜禽养殖，柏梓镇发展农副产品加工。</w:t>
            </w:r>
          </w:p>
          <w:p>
            <w:pPr>
              <w:adjustRightInd w:val="0"/>
              <w:snapToGrid w:val="0"/>
              <w:spacing w:line="240" w:lineRule="exact"/>
              <w:jc w:val="center"/>
              <w:rPr>
                <w:rFonts w:ascii="方正仿宋_GBK"/>
                <w:kern w:val="0"/>
                <w:sz w:val="21"/>
                <w:szCs w:val="21"/>
              </w:rPr>
            </w:pPr>
            <w:r>
              <w:rPr>
                <w:rFonts w:hint="eastAsia" w:ascii="方正仿宋_GBK"/>
                <w:b/>
                <w:kern w:val="0"/>
                <w:sz w:val="21"/>
                <w:szCs w:val="21"/>
              </w:rPr>
              <w:t>发展现状及问题：</w:t>
            </w:r>
            <w:r>
              <w:rPr>
                <w:rFonts w:ascii="方正仿宋_GBK"/>
                <w:kern w:val="0"/>
                <w:sz w:val="21"/>
                <w:szCs w:val="21"/>
              </w:rPr>
              <w:t>1.</w:t>
            </w:r>
            <w:r>
              <w:rPr>
                <w:rFonts w:hint="eastAsia" w:ascii="方正仿宋_GBK"/>
                <w:kern w:val="0"/>
                <w:sz w:val="21"/>
                <w:szCs w:val="21"/>
              </w:rPr>
              <w:t>内有规模化养殖企业。</w:t>
            </w:r>
            <w:r>
              <w:rPr>
                <w:rFonts w:ascii="方正仿宋_GBK"/>
                <w:kern w:val="0"/>
                <w:sz w:val="21"/>
                <w:szCs w:val="21"/>
              </w:rPr>
              <w:t>2.</w:t>
            </w:r>
            <w:r>
              <w:rPr>
                <w:rFonts w:hint="eastAsia" w:ascii="方正仿宋_GBK"/>
                <w:kern w:val="0"/>
                <w:sz w:val="21"/>
                <w:szCs w:val="21"/>
              </w:rPr>
              <w:t>禽畜养殖土地承载力养殖容量不足，还土还田使用量与耕地不匹配，易产生农业面源污染，畜禽养殖污染较严重。</w:t>
            </w:r>
            <w:r>
              <w:rPr>
                <w:rFonts w:ascii="方正仿宋_GBK"/>
                <w:kern w:val="0"/>
                <w:sz w:val="21"/>
                <w:szCs w:val="21"/>
              </w:rPr>
              <w:t>3.</w:t>
            </w:r>
            <w:r>
              <w:rPr>
                <w:rFonts w:hint="eastAsia" w:ascii="方正仿宋_GBK"/>
                <w:kern w:val="0"/>
                <w:sz w:val="21"/>
                <w:szCs w:val="21"/>
              </w:rPr>
              <w:t>污水处理厂污水收集管网不完善。</w:t>
            </w:r>
          </w:p>
          <w:p>
            <w:pPr>
              <w:adjustRightInd w:val="0"/>
              <w:snapToGrid w:val="0"/>
              <w:spacing w:line="240" w:lineRule="exact"/>
              <w:jc w:val="center"/>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农业面源污染，琼江水质不满足</w:t>
            </w:r>
            <w:r>
              <w:rPr>
                <w:rFonts w:hint="eastAsia" w:ascii="方正仿宋_GBK" w:hAnsi="宋体" w:cs="宋体"/>
                <w:kern w:val="0"/>
                <w:sz w:val="21"/>
                <w:szCs w:val="21"/>
              </w:rPr>
              <w:t>Ⅲ</w:t>
            </w:r>
            <w:r>
              <w:rPr>
                <w:rFonts w:hint="eastAsia" w:ascii="方正仿宋_GBK"/>
                <w:kern w:val="0"/>
                <w:sz w:val="21"/>
                <w:szCs w:val="21"/>
              </w:rPr>
              <w:t>类水域功能。</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执行水环境农业污染重点管控区市级及主城西片区总体管控要求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1.</w:t>
            </w:r>
            <w:r>
              <w:rPr>
                <w:rFonts w:hint="eastAsia" w:ascii="方正仿宋_GBK"/>
                <w:kern w:val="0"/>
                <w:sz w:val="21"/>
                <w:szCs w:val="21"/>
              </w:rPr>
              <w:t>柏梓镇、崇龛镇和太安镇属于禽畜养殖污染防治重点区域。优化布局，以地定畜，合理布局。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05" w:hRule="atLeast"/>
          <w:jc w:val="center"/>
        </w:trPr>
        <w:tc>
          <w:tcPr>
            <w:tcW w:w="663" w:type="dxa"/>
            <w:vMerge w:val="continue"/>
            <w:vAlign w:val="center"/>
          </w:tcPr>
          <w:p>
            <w:pPr>
              <w:adjustRightInd w:val="0"/>
              <w:snapToGrid w:val="0"/>
              <w:spacing w:line="240" w:lineRule="exact"/>
              <w:jc w:val="center"/>
              <w:rPr>
                <w:rFonts w:ascii="方正仿宋_GBK"/>
                <w:kern w:val="0"/>
                <w:sz w:val="21"/>
                <w:szCs w:val="21"/>
              </w:rPr>
            </w:pPr>
          </w:p>
        </w:tc>
        <w:tc>
          <w:tcPr>
            <w:tcW w:w="741" w:type="dxa"/>
            <w:vMerge w:val="continue"/>
            <w:vAlign w:val="center"/>
          </w:tcPr>
          <w:p>
            <w:pPr>
              <w:adjustRightInd w:val="0"/>
              <w:snapToGrid w:val="0"/>
              <w:spacing w:line="240" w:lineRule="exact"/>
              <w:jc w:val="center"/>
              <w:rPr>
                <w:rFonts w:ascii="方正仿宋_GBK"/>
                <w:kern w:val="0"/>
                <w:sz w:val="21"/>
                <w:szCs w:val="21"/>
              </w:rPr>
            </w:pPr>
          </w:p>
        </w:tc>
        <w:tc>
          <w:tcPr>
            <w:tcW w:w="762" w:type="dxa"/>
            <w:vMerge w:val="continue"/>
            <w:vAlign w:val="center"/>
          </w:tcPr>
          <w:p>
            <w:pPr>
              <w:adjustRightInd w:val="0"/>
              <w:snapToGrid w:val="0"/>
              <w:spacing w:line="240" w:lineRule="exact"/>
              <w:jc w:val="center"/>
              <w:rPr>
                <w:rFonts w:ascii="方正仿宋_GBK"/>
                <w:kern w:val="0"/>
                <w:sz w:val="21"/>
                <w:szCs w:val="21"/>
              </w:rPr>
            </w:pPr>
          </w:p>
        </w:tc>
        <w:tc>
          <w:tcPr>
            <w:tcW w:w="723" w:type="dxa"/>
            <w:vMerge w:val="continue"/>
            <w:vAlign w:val="center"/>
          </w:tcPr>
          <w:p>
            <w:pPr>
              <w:adjustRightInd w:val="0"/>
              <w:snapToGrid w:val="0"/>
              <w:spacing w:line="240" w:lineRule="exact"/>
              <w:jc w:val="center"/>
              <w:rPr>
                <w:rFonts w:ascii="方正仿宋_GBK"/>
                <w:kern w:val="0"/>
                <w:sz w:val="21"/>
                <w:szCs w:val="21"/>
              </w:rPr>
            </w:pPr>
          </w:p>
        </w:tc>
        <w:tc>
          <w:tcPr>
            <w:tcW w:w="2421" w:type="dxa"/>
            <w:vMerge w:val="continue"/>
            <w:vAlign w:val="center"/>
          </w:tcPr>
          <w:p>
            <w:pPr>
              <w:adjustRightInd w:val="0"/>
              <w:snapToGrid w:val="0"/>
              <w:spacing w:line="240" w:lineRule="exact"/>
              <w:jc w:val="center"/>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1.</w:t>
            </w:r>
            <w:r>
              <w:rPr>
                <w:rFonts w:hint="eastAsia" w:ascii="方正仿宋_GBK"/>
                <w:kern w:val="0"/>
                <w:sz w:val="21"/>
                <w:szCs w:val="21"/>
              </w:rPr>
              <w:t>调整优化布局，建设畜禽粪污等农业有机废弃物收集、转化、利用网络体系，鼓励在养殖密集区域建立粪污集中处理中心等全面进行污染防控，畜禽养殖污水和废弃物实行资源化利用，不直排。</w:t>
            </w:r>
          </w:p>
          <w:p>
            <w:pPr>
              <w:adjustRightInd w:val="0"/>
              <w:snapToGrid w:val="0"/>
              <w:spacing w:line="240" w:lineRule="exact"/>
              <w:jc w:val="center"/>
              <w:rPr>
                <w:rFonts w:ascii="方正仿宋_GBK"/>
                <w:kern w:val="0"/>
                <w:sz w:val="21"/>
                <w:szCs w:val="21"/>
              </w:rPr>
            </w:pPr>
            <w:r>
              <w:rPr>
                <w:rFonts w:ascii="方正仿宋_GBK"/>
                <w:kern w:val="0"/>
                <w:sz w:val="21"/>
                <w:szCs w:val="21"/>
              </w:rPr>
              <w:t>2.</w:t>
            </w:r>
            <w:r>
              <w:rPr>
                <w:rFonts w:hint="eastAsia" w:ascii="方正仿宋_GBK"/>
                <w:kern w:val="0"/>
                <w:sz w:val="21"/>
                <w:szCs w:val="21"/>
              </w:rPr>
              <w:t>加强施工、道路、生产扬尘粉尘控制，减少城市建设裸露土地，加强交通污染治理。</w:t>
            </w:r>
          </w:p>
          <w:p>
            <w:pPr>
              <w:adjustRightInd w:val="0"/>
              <w:snapToGrid w:val="0"/>
              <w:spacing w:line="240" w:lineRule="exact"/>
              <w:jc w:val="center"/>
              <w:rPr>
                <w:rFonts w:ascii="方正仿宋_GBK"/>
                <w:kern w:val="0"/>
                <w:sz w:val="21"/>
                <w:szCs w:val="21"/>
              </w:rPr>
            </w:pPr>
            <w:r>
              <w:rPr>
                <w:rFonts w:ascii="方正仿宋_GBK"/>
                <w:kern w:val="0"/>
                <w:sz w:val="21"/>
                <w:szCs w:val="21"/>
              </w:rPr>
              <w:t>3.</w:t>
            </w:r>
            <w:r>
              <w:rPr>
                <w:rFonts w:hint="eastAsia" w:ascii="方正仿宋_GBK"/>
                <w:kern w:val="0"/>
                <w:sz w:val="21"/>
                <w:szCs w:val="21"/>
              </w:rPr>
              <w:t>推广秸秆机械化粉碎还田、秸秆青贮、秸秆气化等综合利用技术，提高秸秆综合利用效率，以利用促禁烧。</w:t>
            </w:r>
          </w:p>
          <w:p>
            <w:pPr>
              <w:adjustRightInd w:val="0"/>
              <w:snapToGrid w:val="0"/>
              <w:spacing w:line="240" w:lineRule="exact"/>
              <w:jc w:val="center"/>
              <w:rPr>
                <w:rFonts w:ascii="方正仿宋_GBK"/>
                <w:kern w:val="0"/>
                <w:sz w:val="21"/>
                <w:szCs w:val="21"/>
              </w:rPr>
            </w:pPr>
            <w:r>
              <w:rPr>
                <w:rFonts w:ascii="方正仿宋_GBK"/>
                <w:kern w:val="0"/>
                <w:sz w:val="21"/>
                <w:szCs w:val="21"/>
              </w:rPr>
              <w:t>4.</w:t>
            </w:r>
            <w:r>
              <w:rPr>
                <w:rFonts w:hint="eastAsia" w:ascii="方正仿宋_GBK"/>
                <w:kern w:val="0"/>
                <w:sz w:val="21"/>
                <w:szCs w:val="21"/>
              </w:rPr>
              <w:t>加快完善太安镇污水处理厂管网建设。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4" w:hRule="atLeast"/>
          <w:jc w:val="center"/>
        </w:trPr>
        <w:tc>
          <w:tcPr>
            <w:tcW w:w="663" w:type="dxa"/>
            <w:vMerge w:val="continue"/>
            <w:vAlign w:val="center"/>
          </w:tcPr>
          <w:p>
            <w:pPr>
              <w:adjustRightInd w:val="0"/>
              <w:snapToGrid w:val="0"/>
              <w:spacing w:line="240" w:lineRule="exact"/>
              <w:jc w:val="center"/>
              <w:rPr>
                <w:rFonts w:ascii="方正仿宋_GBK"/>
                <w:kern w:val="0"/>
                <w:sz w:val="21"/>
                <w:szCs w:val="21"/>
              </w:rPr>
            </w:pPr>
          </w:p>
        </w:tc>
        <w:tc>
          <w:tcPr>
            <w:tcW w:w="741" w:type="dxa"/>
            <w:vMerge w:val="continue"/>
            <w:vAlign w:val="center"/>
          </w:tcPr>
          <w:p>
            <w:pPr>
              <w:adjustRightInd w:val="0"/>
              <w:snapToGrid w:val="0"/>
              <w:spacing w:line="240" w:lineRule="exact"/>
              <w:jc w:val="center"/>
              <w:rPr>
                <w:rFonts w:ascii="方正仿宋_GBK"/>
                <w:kern w:val="0"/>
                <w:sz w:val="21"/>
                <w:szCs w:val="21"/>
              </w:rPr>
            </w:pPr>
          </w:p>
        </w:tc>
        <w:tc>
          <w:tcPr>
            <w:tcW w:w="762" w:type="dxa"/>
            <w:vMerge w:val="continue"/>
            <w:vAlign w:val="center"/>
          </w:tcPr>
          <w:p>
            <w:pPr>
              <w:adjustRightInd w:val="0"/>
              <w:snapToGrid w:val="0"/>
              <w:spacing w:line="240" w:lineRule="exact"/>
              <w:jc w:val="center"/>
              <w:rPr>
                <w:rFonts w:ascii="方正仿宋_GBK"/>
                <w:kern w:val="0"/>
                <w:sz w:val="21"/>
                <w:szCs w:val="21"/>
              </w:rPr>
            </w:pPr>
          </w:p>
        </w:tc>
        <w:tc>
          <w:tcPr>
            <w:tcW w:w="723" w:type="dxa"/>
            <w:vMerge w:val="continue"/>
            <w:vAlign w:val="center"/>
          </w:tcPr>
          <w:p>
            <w:pPr>
              <w:adjustRightInd w:val="0"/>
              <w:snapToGrid w:val="0"/>
              <w:spacing w:line="240" w:lineRule="exact"/>
              <w:jc w:val="center"/>
              <w:rPr>
                <w:rFonts w:ascii="方正仿宋_GBK"/>
                <w:kern w:val="0"/>
                <w:sz w:val="21"/>
                <w:szCs w:val="21"/>
              </w:rPr>
            </w:pPr>
          </w:p>
        </w:tc>
        <w:tc>
          <w:tcPr>
            <w:tcW w:w="2421" w:type="dxa"/>
            <w:vMerge w:val="continue"/>
            <w:vAlign w:val="center"/>
          </w:tcPr>
          <w:p>
            <w:pPr>
              <w:adjustRightInd w:val="0"/>
              <w:snapToGrid w:val="0"/>
              <w:spacing w:line="240" w:lineRule="exact"/>
              <w:jc w:val="center"/>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40" w:lineRule="exact"/>
              <w:ind w:firstLine="210" w:firstLineChars="100"/>
              <w:jc w:val="center"/>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99" w:hRule="atLeast"/>
          <w:jc w:val="center"/>
        </w:trPr>
        <w:tc>
          <w:tcPr>
            <w:tcW w:w="663" w:type="dxa"/>
            <w:vMerge w:val="continue"/>
            <w:vAlign w:val="center"/>
          </w:tcPr>
          <w:p>
            <w:pPr>
              <w:adjustRightInd w:val="0"/>
              <w:snapToGrid w:val="0"/>
              <w:spacing w:line="240" w:lineRule="exact"/>
              <w:jc w:val="center"/>
              <w:rPr>
                <w:rFonts w:ascii="方正仿宋_GBK"/>
                <w:kern w:val="0"/>
                <w:sz w:val="21"/>
                <w:szCs w:val="21"/>
              </w:rPr>
            </w:pPr>
          </w:p>
        </w:tc>
        <w:tc>
          <w:tcPr>
            <w:tcW w:w="741" w:type="dxa"/>
            <w:vMerge w:val="continue"/>
            <w:vAlign w:val="center"/>
          </w:tcPr>
          <w:p>
            <w:pPr>
              <w:adjustRightInd w:val="0"/>
              <w:snapToGrid w:val="0"/>
              <w:spacing w:line="240" w:lineRule="exact"/>
              <w:jc w:val="center"/>
              <w:rPr>
                <w:rFonts w:ascii="方正仿宋_GBK"/>
                <w:kern w:val="0"/>
                <w:sz w:val="21"/>
                <w:szCs w:val="21"/>
              </w:rPr>
            </w:pPr>
          </w:p>
        </w:tc>
        <w:tc>
          <w:tcPr>
            <w:tcW w:w="762" w:type="dxa"/>
            <w:vMerge w:val="continue"/>
            <w:vAlign w:val="center"/>
          </w:tcPr>
          <w:p>
            <w:pPr>
              <w:adjustRightInd w:val="0"/>
              <w:snapToGrid w:val="0"/>
              <w:spacing w:line="240" w:lineRule="exact"/>
              <w:jc w:val="center"/>
              <w:rPr>
                <w:rFonts w:ascii="方正仿宋_GBK"/>
                <w:kern w:val="0"/>
                <w:sz w:val="21"/>
                <w:szCs w:val="21"/>
              </w:rPr>
            </w:pPr>
          </w:p>
        </w:tc>
        <w:tc>
          <w:tcPr>
            <w:tcW w:w="723" w:type="dxa"/>
            <w:vMerge w:val="continue"/>
            <w:vAlign w:val="center"/>
          </w:tcPr>
          <w:p>
            <w:pPr>
              <w:adjustRightInd w:val="0"/>
              <w:snapToGrid w:val="0"/>
              <w:spacing w:line="240" w:lineRule="exact"/>
              <w:jc w:val="center"/>
              <w:rPr>
                <w:rFonts w:ascii="方正仿宋_GBK"/>
                <w:kern w:val="0"/>
                <w:sz w:val="21"/>
                <w:szCs w:val="21"/>
              </w:rPr>
            </w:pPr>
          </w:p>
        </w:tc>
        <w:tc>
          <w:tcPr>
            <w:tcW w:w="2421" w:type="dxa"/>
            <w:vMerge w:val="continue"/>
            <w:vAlign w:val="center"/>
          </w:tcPr>
          <w:p>
            <w:pPr>
              <w:adjustRightInd w:val="0"/>
              <w:snapToGrid w:val="0"/>
              <w:spacing w:line="240" w:lineRule="exact"/>
              <w:jc w:val="center"/>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ind w:firstLine="210" w:firstLineChars="100"/>
              <w:jc w:val="center"/>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2"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ZH50015220006</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潼南区重点管控单元</w:t>
            </w:r>
            <w:r>
              <w:rPr>
                <w:rFonts w:ascii="方正仿宋_GBK"/>
                <w:kern w:val="0"/>
                <w:sz w:val="21"/>
                <w:szCs w:val="21"/>
              </w:rPr>
              <w:t>-</w:t>
            </w:r>
            <w:r>
              <w:rPr>
                <w:rFonts w:hint="eastAsia" w:ascii="方正仿宋_GBK"/>
                <w:kern w:val="0"/>
                <w:sz w:val="21"/>
                <w:szCs w:val="21"/>
              </w:rPr>
              <w:t>涪江潼南中游段</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重点管控单元</w:t>
            </w:r>
            <w:r>
              <w:rPr>
                <w:rFonts w:ascii="方正仿宋_GBK"/>
                <w:kern w:val="0"/>
                <w:sz w:val="21"/>
                <w:szCs w:val="21"/>
              </w:rPr>
              <w:t>6</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包含：水环境工业</w:t>
            </w:r>
            <w:r>
              <w:rPr>
                <w:rFonts w:ascii="方正仿宋_GBK"/>
                <w:kern w:val="0"/>
                <w:sz w:val="21"/>
                <w:szCs w:val="21"/>
              </w:rPr>
              <w:t>-</w:t>
            </w:r>
            <w:r>
              <w:rPr>
                <w:rFonts w:hint="eastAsia" w:ascii="方正仿宋_GBK"/>
                <w:kern w:val="0"/>
                <w:sz w:val="21"/>
                <w:szCs w:val="21"/>
              </w:rPr>
              <w:t>城镇生活重点管控区，大气环境高排放区、受体敏感区、高污染燃料禁燃区</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潼南高新区南区产业定位以农产品加工、电子信息、机械制造、消费品工业、仓储物流等以及产业服务相关配套为主。</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ascii="方正仿宋_GBK"/>
                <w:kern w:val="0"/>
                <w:sz w:val="21"/>
                <w:szCs w:val="21"/>
              </w:rPr>
              <w:t>1</w:t>
            </w:r>
            <w:r>
              <w:rPr>
                <w:rFonts w:hint="eastAsia" w:ascii="方正仿宋_GBK"/>
                <w:kern w:val="0"/>
                <w:sz w:val="21"/>
                <w:szCs w:val="21"/>
              </w:rPr>
              <w:t>、城镇生活污水管网建设不完善，生活污水管网进入污水处理厂的提升环节未建成；</w:t>
            </w:r>
            <w:r>
              <w:rPr>
                <w:rFonts w:ascii="方正仿宋_GBK"/>
                <w:kern w:val="0"/>
                <w:sz w:val="21"/>
                <w:szCs w:val="21"/>
              </w:rPr>
              <w:t>2</w:t>
            </w:r>
            <w:r>
              <w:rPr>
                <w:rFonts w:hint="eastAsia" w:ascii="方正仿宋_GBK"/>
                <w:kern w:val="0"/>
                <w:sz w:val="21"/>
                <w:szCs w:val="21"/>
              </w:rPr>
              <w:t>、目前园区内现状供热采用分散供热，各单位从自身负荷需求考虑，陆续建设小锅炉，能源利用率低，能耗高，运行成本高，环境污染大。</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生活</w:t>
            </w:r>
            <w:r>
              <w:rPr>
                <w:rFonts w:ascii="方正仿宋_GBK"/>
                <w:kern w:val="0"/>
                <w:sz w:val="21"/>
                <w:szCs w:val="21"/>
              </w:rPr>
              <w:t>-</w:t>
            </w:r>
            <w:r>
              <w:rPr>
                <w:rFonts w:hint="eastAsia" w:ascii="方正仿宋_GBK"/>
                <w:kern w:val="0"/>
                <w:sz w:val="21"/>
                <w:szCs w:val="21"/>
              </w:rPr>
              <w:t>工业复合型水环境污染。</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执行水环境工业</w:t>
            </w:r>
            <w:r>
              <w:rPr>
                <w:rFonts w:ascii="方正仿宋_GBK"/>
                <w:kern w:val="0"/>
                <w:sz w:val="21"/>
                <w:szCs w:val="21"/>
              </w:rPr>
              <w:t>-</w:t>
            </w:r>
            <w:r>
              <w:rPr>
                <w:rFonts w:hint="eastAsia" w:ascii="方正仿宋_GBK"/>
                <w:kern w:val="0"/>
                <w:sz w:val="21"/>
                <w:szCs w:val="21"/>
              </w:rPr>
              <w:t>城镇生活重点管控区，大气环境高排放区、受体敏感区、高污染燃料禁燃区市级及主城西片区总体管控要求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工业用地与居住地之间应设置一定的隔离带。</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不得在集中式饮用水源取水口上游</w:t>
            </w:r>
            <w:r>
              <w:rPr>
                <w:rFonts w:ascii="方正仿宋_GBK"/>
                <w:kern w:val="0"/>
                <w:sz w:val="21"/>
                <w:szCs w:val="21"/>
              </w:rPr>
              <w:t>20km</w:t>
            </w:r>
            <w:r>
              <w:rPr>
                <w:rFonts w:hint="eastAsia" w:ascii="方正仿宋_GBK"/>
                <w:kern w:val="0"/>
                <w:sz w:val="21"/>
                <w:szCs w:val="21"/>
              </w:rPr>
              <w:t>范围内的沿岸地区（江河</w:t>
            </w:r>
            <w:r>
              <w:rPr>
                <w:rFonts w:ascii="方正仿宋_GBK"/>
                <w:kern w:val="0"/>
                <w:sz w:val="21"/>
                <w:szCs w:val="21"/>
              </w:rPr>
              <w:t>50</w:t>
            </w:r>
            <w:r>
              <w:rPr>
                <w:rFonts w:hint="eastAsia" w:ascii="方正仿宋_GBK"/>
                <w:kern w:val="0"/>
                <w:sz w:val="21"/>
                <w:szCs w:val="21"/>
              </w:rPr>
              <w:t>年一遇洪水位向内陆一侧</w:t>
            </w:r>
            <w:r>
              <w:rPr>
                <w:rFonts w:ascii="方正仿宋_GBK"/>
                <w:kern w:val="0"/>
                <w:sz w:val="21"/>
                <w:szCs w:val="21"/>
              </w:rPr>
              <w:t>1</w:t>
            </w:r>
            <w:r>
              <w:rPr>
                <w:rFonts w:hint="eastAsia" w:ascii="方正仿宋_GBK"/>
                <w:kern w:val="0"/>
                <w:sz w:val="21"/>
                <w:szCs w:val="21"/>
              </w:rPr>
              <w:t>公里范围内）新建、扩建排放重金属、剧毒物质和持久性有机污染物的工业项目。</w:t>
            </w:r>
          </w:p>
          <w:p>
            <w:pPr>
              <w:adjustRightInd w:val="0"/>
              <w:snapToGrid w:val="0"/>
              <w:spacing w:line="240" w:lineRule="exact"/>
              <w:jc w:val="left"/>
              <w:rPr>
                <w:rFonts w:ascii="方正仿宋_GBK"/>
                <w:kern w:val="0"/>
                <w:sz w:val="21"/>
                <w:szCs w:val="21"/>
              </w:rPr>
            </w:pPr>
            <w:r>
              <w:rPr>
                <w:rFonts w:ascii="方正仿宋_GBK"/>
                <w:kern w:val="0"/>
                <w:sz w:val="21"/>
                <w:szCs w:val="21"/>
              </w:rPr>
              <w:t>3.</w:t>
            </w:r>
            <w:r>
              <w:rPr>
                <w:rFonts w:hint="eastAsia" w:ascii="方正仿宋_GBK"/>
                <w:kern w:val="0"/>
                <w:sz w:val="21"/>
                <w:szCs w:val="21"/>
              </w:rPr>
              <w:t>不得引入含漂洗、印染、制革、化学制浆的项目。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694"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加快城市污水厂建设，城镇污水处理收集率达到</w:t>
            </w:r>
            <w:r>
              <w:rPr>
                <w:rFonts w:ascii="方正仿宋_GBK"/>
                <w:kern w:val="0"/>
                <w:sz w:val="21"/>
                <w:szCs w:val="21"/>
              </w:rPr>
              <w:t>95%</w:t>
            </w:r>
            <w:r>
              <w:rPr>
                <w:rFonts w:hint="eastAsia" w:ascii="方正仿宋_GBK"/>
                <w:kern w:val="0"/>
                <w:sz w:val="21"/>
                <w:szCs w:val="21"/>
              </w:rPr>
              <w:t>。</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对工业产生的废气和大气污染物进行收集处理，确保废气达标排放，严格控制废气无组织排放。新、改、扩建项目若涉及排放挥发性有机物的车间，应安装废气回收、净化装置或采取一定的废气防控措施。</w:t>
            </w:r>
          </w:p>
          <w:p>
            <w:pPr>
              <w:adjustRightInd w:val="0"/>
              <w:snapToGrid w:val="0"/>
              <w:spacing w:line="240" w:lineRule="exact"/>
              <w:jc w:val="left"/>
              <w:rPr>
                <w:rFonts w:ascii="方正仿宋_GBK"/>
                <w:b/>
                <w:bCs/>
                <w:kern w:val="0"/>
                <w:sz w:val="21"/>
                <w:szCs w:val="21"/>
              </w:rPr>
            </w:pPr>
            <w:r>
              <w:rPr>
                <w:rFonts w:ascii="方正仿宋_GBK"/>
                <w:kern w:val="0"/>
                <w:sz w:val="21"/>
                <w:szCs w:val="21"/>
              </w:rPr>
              <w:t>3.</w:t>
            </w:r>
            <w:r>
              <w:rPr>
                <w:rFonts w:hint="eastAsia" w:ascii="方正仿宋_GBK"/>
                <w:kern w:val="0"/>
                <w:sz w:val="21"/>
                <w:szCs w:val="21"/>
              </w:rPr>
              <w:t>加强施工、道路、生产扬尘粉尘控制，减少城市建设裸露土地，加强交通污染治理。对人口集中居住区易扬尘场所要采取防尘措施，有效控制粉尘污染。</w:t>
            </w:r>
          </w:p>
          <w:p>
            <w:pPr>
              <w:adjustRightInd w:val="0"/>
              <w:snapToGrid w:val="0"/>
              <w:spacing w:line="240" w:lineRule="exact"/>
              <w:jc w:val="left"/>
              <w:rPr>
                <w:rFonts w:ascii="方正仿宋_GBK"/>
                <w:kern w:val="0"/>
                <w:sz w:val="21"/>
                <w:szCs w:val="21"/>
              </w:rPr>
            </w:pPr>
            <w:r>
              <w:rPr>
                <w:rFonts w:ascii="方正仿宋_GBK"/>
                <w:kern w:val="0"/>
                <w:sz w:val="21"/>
                <w:szCs w:val="21"/>
              </w:rPr>
              <w:t>4.</w:t>
            </w:r>
            <w:r>
              <w:rPr>
                <w:rFonts w:hint="eastAsia" w:ascii="方正仿宋_GBK"/>
                <w:kern w:val="0"/>
                <w:sz w:val="21"/>
                <w:szCs w:val="21"/>
              </w:rPr>
              <w:t>调整优化布局，建设畜禽粪污等农业有机废弃物收集、转化、利用网络体系，鼓励在养殖密集区域建立粪污集中处理中心等全面进行污染防控，畜禽养殖污水和废弃物实行资源化利用，不直排。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36"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建立健全园区危险化学品运输管理和危险废物管理机制。</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严格控制可能对饮用水源带来安全隐患的化工、化学原料药、危险废物利用和处置以及排放有毒有害物质和重金属的工业项目。</w:t>
            </w:r>
          </w:p>
          <w:p>
            <w:pPr>
              <w:adjustRightInd w:val="0"/>
              <w:snapToGrid w:val="0"/>
              <w:spacing w:line="240" w:lineRule="exact"/>
              <w:jc w:val="left"/>
              <w:rPr>
                <w:rFonts w:ascii="方正仿宋_GBK"/>
                <w:kern w:val="0"/>
                <w:sz w:val="21"/>
                <w:szCs w:val="21"/>
              </w:rPr>
            </w:pPr>
            <w:r>
              <w:rPr>
                <w:rFonts w:ascii="方正仿宋_GBK"/>
                <w:kern w:val="0"/>
                <w:sz w:val="21"/>
                <w:szCs w:val="21"/>
              </w:rPr>
              <w:t>3.</w:t>
            </w:r>
            <w:r>
              <w:rPr>
                <w:rFonts w:hint="eastAsia" w:ascii="方正仿宋_GBK"/>
                <w:kern w:val="0"/>
                <w:sz w:val="21"/>
                <w:szCs w:val="21"/>
              </w:rPr>
              <w:t>园区污水处理设施应设置事故池，并建立完善的风险防控体系。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6"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单位工业增加值能耗应达到全市平均水平。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23"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ZH50015220007</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潼南区城镇开发边界</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重点管控单元</w:t>
            </w:r>
            <w:r>
              <w:rPr>
                <w:rFonts w:ascii="方正仿宋_GBK"/>
                <w:kern w:val="0"/>
                <w:sz w:val="21"/>
                <w:szCs w:val="21"/>
              </w:rPr>
              <w:t>7</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包含：潼南区城镇开发边界</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边界内紧凑布局、集约发展，优化城镇布局。</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执行大气环境受体敏感区市级及主城西片区总体管控要求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新建、扩建工业项目原则应入园或集中加工区。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3"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adjustRightInd w:val="0"/>
              <w:snapToGrid w:val="0"/>
              <w:spacing w:line="240" w:lineRule="exact"/>
              <w:jc w:val="left"/>
              <w:rPr>
                <w:rFonts w:ascii="方正仿宋_GBK"/>
                <w:sz w:val="21"/>
                <w:szCs w:val="21"/>
              </w:rPr>
            </w:pPr>
            <w:r>
              <w:rPr>
                <w:rFonts w:ascii="方正仿宋_GBK"/>
                <w:kern w:val="0"/>
                <w:sz w:val="21"/>
                <w:szCs w:val="21"/>
              </w:rPr>
              <w:t>1.</w:t>
            </w:r>
            <w:r>
              <w:rPr>
                <w:rFonts w:hint="eastAsia" w:ascii="方正仿宋_GBK"/>
                <w:kern w:val="0"/>
                <w:sz w:val="21"/>
                <w:szCs w:val="21"/>
              </w:rPr>
              <w:t>禁止在高污染燃料禁燃区新建、扩建、改建使用高污染燃料设施项目。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6"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强化老集镇等区域污水的截流、收集。现有合流制排水系统应加快实施雨污分流改造，难以改造的应采取截流、调蓄和治理等措施。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6"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9"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ZH50015230001</w:t>
            </w:r>
          </w:p>
        </w:tc>
        <w:tc>
          <w:tcPr>
            <w:tcW w:w="741" w:type="dxa"/>
            <w:vMerge w:val="restart"/>
            <w:vAlign w:val="center"/>
          </w:tcPr>
          <w:p>
            <w:pPr>
              <w:adjustRightInd w:val="0"/>
              <w:snapToGrid w:val="0"/>
              <w:spacing w:line="240" w:lineRule="exact"/>
              <w:rPr>
                <w:rFonts w:ascii="方正仿宋_GBK"/>
                <w:kern w:val="0"/>
                <w:sz w:val="21"/>
                <w:szCs w:val="21"/>
              </w:rPr>
            </w:pPr>
            <w:r>
              <w:rPr>
                <w:rFonts w:hint="eastAsia" w:ascii="方正仿宋_GBK"/>
                <w:kern w:val="0"/>
                <w:sz w:val="21"/>
                <w:szCs w:val="21"/>
              </w:rPr>
              <w:t>潼南区一般管控单元</w:t>
            </w:r>
            <w:r>
              <w:rPr>
                <w:rFonts w:ascii="方正仿宋_GBK"/>
                <w:kern w:val="0"/>
                <w:sz w:val="21"/>
                <w:szCs w:val="21"/>
              </w:rPr>
              <w:t>-</w:t>
            </w:r>
            <w:r>
              <w:rPr>
                <w:rFonts w:hint="eastAsia" w:ascii="方正仿宋_GBK"/>
                <w:kern w:val="0"/>
                <w:sz w:val="21"/>
                <w:szCs w:val="21"/>
              </w:rPr>
              <w:t>琼江复兴河</w:t>
            </w:r>
          </w:p>
        </w:tc>
        <w:tc>
          <w:tcPr>
            <w:tcW w:w="762" w:type="dxa"/>
            <w:vMerge w:val="restart"/>
            <w:vAlign w:val="center"/>
          </w:tcPr>
          <w:p>
            <w:pPr>
              <w:adjustRightInd w:val="0"/>
              <w:snapToGrid w:val="0"/>
              <w:spacing w:line="240" w:lineRule="exact"/>
              <w:rPr>
                <w:rFonts w:ascii="方正仿宋_GBK"/>
                <w:kern w:val="0"/>
                <w:sz w:val="21"/>
                <w:szCs w:val="21"/>
              </w:rPr>
            </w:pPr>
            <w:r>
              <w:rPr>
                <w:rFonts w:hint="eastAsia" w:ascii="方正仿宋_GBK"/>
                <w:kern w:val="0"/>
                <w:sz w:val="21"/>
                <w:szCs w:val="21"/>
              </w:rPr>
              <w:t>一般管控单元</w:t>
            </w:r>
            <w:r>
              <w:rPr>
                <w:rFonts w:ascii="方正仿宋_GBK"/>
                <w:kern w:val="0"/>
                <w:sz w:val="21"/>
                <w:szCs w:val="21"/>
              </w:rPr>
              <w:t>1</w:t>
            </w:r>
          </w:p>
        </w:tc>
        <w:tc>
          <w:tcPr>
            <w:tcW w:w="723" w:type="dxa"/>
            <w:vMerge w:val="restart"/>
            <w:vAlign w:val="center"/>
          </w:tcPr>
          <w:p>
            <w:pPr>
              <w:adjustRightInd w:val="0"/>
              <w:snapToGrid w:val="0"/>
              <w:spacing w:line="240" w:lineRule="exact"/>
              <w:rPr>
                <w:rFonts w:ascii="方正仿宋_GBK"/>
                <w:kern w:val="0"/>
                <w:sz w:val="21"/>
                <w:szCs w:val="21"/>
              </w:rPr>
            </w:pPr>
            <w:r>
              <w:rPr>
                <w:rFonts w:hint="eastAsia" w:ascii="方正仿宋_GBK"/>
                <w:kern w:val="0"/>
                <w:sz w:val="21"/>
                <w:szCs w:val="21"/>
              </w:rPr>
              <w:t>包含：水环境一般管控区，永久基本农田</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农业，畜禽养殖，小渡镇发展纺织、建材与农副产品加工区</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ascii="方正仿宋_GBK"/>
                <w:kern w:val="0"/>
                <w:sz w:val="21"/>
                <w:szCs w:val="21"/>
              </w:rPr>
              <w:t>1.</w:t>
            </w:r>
            <w:r>
              <w:rPr>
                <w:rFonts w:hint="eastAsia" w:ascii="方正仿宋_GBK"/>
                <w:kern w:val="0"/>
                <w:sz w:val="21"/>
                <w:szCs w:val="21"/>
              </w:rPr>
              <w:t>五桂镇污水处理厂和卧佛镇镇污水处理厂不能稳定达标排放。</w:t>
            </w:r>
            <w:r>
              <w:rPr>
                <w:rFonts w:ascii="方正仿宋_GBK"/>
                <w:kern w:val="0"/>
                <w:sz w:val="21"/>
                <w:szCs w:val="21"/>
              </w:rPr>
              <w:t>2.</w:t>
            </w:r>
            <w:r>
              <w:rPr>
                <w:rFonts w:hint="eastAsia" w:ascii="方正仿宋_GBK"/>
                <w:kern w:val="0"/>
                <w:sz w:val="21"/>
                <w:szCs w:val="21"/>
              </w:rPr>
              <w:t>小渡镇还土还田使用量与耕地不匹配，易产生农业面源污染。</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农业面源污染及水土流失</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执行水环境一般管控区市级及主城西片区总体管控要求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不得新建高污染及涉及重金属污染的工业项目，新建、扩建工业项目原则应入园或工业集中加工区。</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小渡镇属于禽畜养殖污染防治重点区域，优化布局，以地定畜，控制规模。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64"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工业企业严格达标排放；控制生活用煤数量，推动清洁能源使用。</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加强施工、道路、生产扬尘粉尘控制，减少城市建设裸露土地，加强交通污染治理。</w:t>
            </w:r>
          </w:p>
          <w:p>
            <w:pPr>
              <w:adjustRightInd w:val="0"/>
              <w:snapToGrid w:val="0"/>
              <w:spacing w:line="240" w:lineRule="exact"/>
              <w:jc w:val="left"/>
              <w:rPr>
                <w:rFonts w:ascii="方正仿宋_GBK"/>
                <w:kern w:val="0"/>
                <w:sz w:val="21"/>
                <w:szCs w:val="21"/>
              </w:rPr>
            </w:pPr>
            <w:r>
              <w:rPr>
                <w:rFonts w:ascii="方正仿宋_GBK"/>
                <w:kern w:val="0"/>
                <w:sz w:val="21"/>
                <w:szCs w:val="21"/>
              </w:rPr>
              <w:t>3.</w:t>
            </w:r>
            <w:r>
              <w:rPr>
                <w:rFonts w:hint="eastAsia" w:ascii="方正仿宋_GBK"/>
                <w:kern w:val="0"/>
                <w:sz w:val="21"/>
                <w:szCs w:val="21"/>
              </w:rPr>
              <w:t>加强农业面源污染治理。严格执行畜禽养殖、水产养殖“三区”划定要求。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6"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9"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卧佛镇和寿桥镇尚有剩余消纳耕地容量，可适当发展养殖业，但应确保养殖污水的收集处理。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79"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ZH50015230002</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潼南区一般管控单元</w:t>
            </w:r>
            <w:r>
              <w:rPr>
                <w:rFonts w:ascii="方正仿宋_GBK"/>
                <w:kern w:val="0"/>
                <w:sz w:val="21"/>
                <w:szCs w:val="21"/>
              </w:rPr>
              <w:t>-</w:t>
            </w:r>
            <w:r>
              <w:rPr>
                <w:rFonts w:hint="eastAsia" w:ascii="方正仿宋_GBK"/>
                <w:kern w:val="0"/>
                <w:sz w:val="21"/>
                <w:szCs w:val="21"/>
              </w:rPr>
              <w:t>琼江塘坝河</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一般管控单元</w:t>
            </w:r>
            <w:r>
              <w:rPr>
                <w:rFonts w:ascii="方正仿宋_GBK"/>
                <w:kern w:val="0"/>
                <w:sz w:val="21"/>
                <w:szCs w:val="21"/>
              </w:rPr>
              <w:t>2</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包含：水环境一般管控区，大气环境弱扩散区</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农业，被规划为塘坝农特－机械加工区</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hint="eastAsia" w:ascii="方正仿宋_GBK"/>
                <w:kern w:val="0"/>
                <w:sz w:val="21"/>
                <w:szCs w:val="21"/>
              </w:rPr>
              <w:t>污水处理厂水质的稳定达标排放。</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农业面源污染，水土流失</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执行水环境一般管控区、大气环境弱扩散区市级及主城西片区总体管控要求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不得新建高污染及涉及重金属污染的工业项目，新建、扩建工业项目原则应入园或工业集中加工区。</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控制农业面源污染，畜禽养殖污水和废弃物实行资源化利用，不直排。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92"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工业企业严格达标排放；控制生活用煤数量，推动清洁能源使用。</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加强施工、道路、生产扬尘粉尘控制，减少城市建设裸露土地，加强交通污染治理。</w:t>
            </w:r>
          </w:p>
          <w:p>
            <w:pPr>
              <w:adjustRightInd w:val="0"/>
              <w:snapToGrid w:val="0"/>
              <w:spacing w:line="240" w:lineRule="exact"/>
              <w:jc w:val="left"/>
              <w:rPr>
                <w:rFonts w:ascii="方正仿宋_GBK"/>
                <w:kern w:val="0"/>
                <w:sz w:val="21"/>
                <w:szCs w:val="21"/>
              </w:rPr>
            </w:pPr>
            <w:r>
              <w:rPr>
                <w:rFonts w:ascii="方正仿宋_GBK"/>
                <w:kern w:val="0"/>
                <w:sz w:val="21"/>
                <w:szCs w:val="21"/>
              </w:rPr>
              <w:t>3.</w:t>
            </w:r>
            <w:r>
              <w:rPr>
                <w:rFonts w:hint="eastAsia" w:ascii="方正仿宋_GBK"/>
                <w:kern w:val="0"/>
                <w:sz w:val="21"/>
                <w:szCs w:val="21"/>
              </w:rPr>
              <w:t>推广秸秆机械化粉碎还田、秸秆青贮、秸秆气化等综合利用技术，提高秸秆综合利用效率，以利用促禁烧。</w:t>
            </w:r>
          </w:p>
          <w:p>
            <w:pPr>
              <w:adjustRightInd w:val="0"/>
              <w:snapToGrid w:val="0"/>
              <w:spacing w:line="240" w:lineRule="exact"/>
              <w:jc w:val="left"/>
              <w:rPr>
                <w:rFonts w:ascii="方正仿宋_GBK"/>
                <w:kern w:val="0"/>
                <w:sz w:val="21"/>
                <w:szCs w:val="21"/>
              </w:rPr>
            </w:pPr>
            <w:r>
              <w:rPr>
                <w:rFonts w:ascii="方正仿宋_GBK"/>
                <w:kern w:val="0"/>
                <w:sz w:val="21"/>
                <w:szCs w:val="21"/>
              </w:rPr>
              <w:t>4.</w:t>
            </w:r>
            <w:r>
              <w:rPr>
                <w:rFonts w:hint="eastAsia" w:ascii="方正仿宋_GBK"/>
                <w:kern w:val="0"/>
                <w:sz w:val="21"/>
                <w:szCs w:val="21"/>
              </w:rPr>
              <w:t>严格执行畜禽养殖、水产养殖“三区”划定要求。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4"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6"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90"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ZH50015230003</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潼南区一般管控单元</w:t>
            </w:r>
            <w:r>
              <w:rPr>
                <w:rFonts w:ascii="方正仿宋_GBK"/>
                <w:kern w:val="0"/>
                <w:sz w:val="21"/>
                <w:szCs w:val="21"/>
              </w:rPr>
              <w:t>-</w:t>
            </w:r>
            <w:r>
              <w:rPr>
                <w:rFonts w:hint="eastAsia" w:ascii="方正仿宋_GBK"/>
                <w:kern w:val="0"/>
                <w:sz w:val="21"/>
                <w:szCs w:val="21"/>
              </w:rPr>
              <w:t>涪江古溪河</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一般管控单元</w:t>
            </w:r>
            <w:r>
              <w:rPr>
                <w:rFonts w:ascii="方正仿宋_GBK"/>
                <w:kern w:val="0"/>
                <w:sz w:val="21"/>
                <w:szCs w:val="21"/>
              </w:rPr>
              <w:t>3</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包含：水环境一般管控区</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特色农业及古溪农业－建材加工区。</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ascii="方正仿宋_GBK"/>
                <w:b/>
                <w:kern w:val="0"/>
                <w:sz w:val="21"/>
                <w:szCs w:val="21"/>
              </w:rPr>
              <w:t xml:space="preserve"> </w:t>
            </w:r>
            <w:r>
              <w:rPr>
                <w:rFonts w:ascii="方正仿宋_GBK"/>
                <w:kern w:val="0"/>
                <w:sz w:val="21"/>
                <w:szCs w:val="21"/>
              </w:rPr>
              <w:t>1.</w:t>
            </w:r>
            <w:r>
              <w:rPr>
                <w:rFonts w:hint="eastAsia" w:ascii="方正仿宋_GBK"/>
                <w:kern w:val="0"/>
                <w:sz w:val="21"/>
                <w:szCs w:val="21"/>
              </w:rPr>
              <w:t>群力镇污水处理厂不能稳定达标排放。</w:t>
            </w:r>
            <w:r>
              <w:rPr>
                <w:rFonts w:ascii="方正仿宋_GBK"/>
                <w:kern w:val="0"/>
                <w:sz w:val="21"/>
                <w:szCs w:val="21"/>
              </w:rPr>
              <w:t>2.</w:t>
            </w:r>
            <w:r>
              <w:rPr>
                <w:rFonts w:hint="eastAsia" w:ascii="方正仿宋_GBK"/>
                <w:kern w:val="0"/>
                <w:sz w:val="21"/>
                <w:szCs w:val="21"/>
              </w:rPr>
              <w:t>禽畜养殖管理有待进一步加强，还土还田使用量与耕地不匹配，易产生农业面源污染。</w:t>
            </w:r>
            <w:r>
              <w:rPr>
                <w:rFonts w:ascii="方正仿宋_GBK"/>
                <w:kern w:val="0"/>
                <w:sz w:val="21"/>
                <w:szCs w:val="21"/>
              </w:rPr>
              <w:t>3.</w:t>
            </w:r>
            <w:r>
              <w:rPr>
                <w:rFonts w:hint="eastAsia" w:ascii="方正仿宋_GBK"/>
                <w:kern w:val="0"/>
                <w:sz w:val="21"/>
                <w:szCs w:val="21"/>
              </w:rPr>
              <w:t>分布有群力镇双堰村地下水群力供水站水源地，应关注土壤及地下水污染风险；</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农业面源污染</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执行水环境一般管控区市级及主城西片区总体管控要求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严格控制新建高污染及涉及重金属污染的工业项目，新建、扩建工业项目原则应入园或工业集中加工区。</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古溪镇、宝龙镇和群力镇属于禽畜养殖污染防治重点区域，优化布局，控制规模。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77"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污水处理厂实现稳定达标排放。</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加强施工、道路、生产扬尘粉尘控制，减少城市建设裸露土地，加强交通污染治理。</w:t>
            </w:r>
          </w:p>
          <w:p>
            <w:pPr>
              <w:adjustRightInd w:val="0"/>
              <w:snapToGrid w:val="0"/>
              <w:spacing w:line="240" w:lineRule="exact"/>
              <w:jc w:val="left"/>
              <w:rPr>
                <w:rFonts w:ascii="方正仿宋_GBK"/>
                <w:kern w:val="0"/>
                <w:sz w:val="21"/>
                <w:szCs w:val="21"/>
              </w:rPr>
            </w:pPr>
            <w:r>
              <w:rPr>
                <w:rFonts w:ascii="方正仿宋_GBK"/>
                <w:kern w:val="0"/>
                <w:sz w:val="21"/>
                <w:szCs w:val="21"/>
              </w:rPr>
              <w:t>3.</w:t>
            </w:r>
            <w:r>
              <w:rPr>
                <w:rFonts w:hint="eastAsia" w:ascii="方正仿宋_GBK"/>
                <w:kern w:val="0"/>
                <w:sz w:val="21"/>
                <w:szCs w:val="21"/>
              </w:rPr>
              <w:t>推广秸秆机械化粉碎还田、秸秆青贮、秸秆气化等综合利用技术，提高秸秆综合利用效率，以利用促禁烧。</w:t>
            </w:r>
          </w:p>
          <w:p>
            <w:pPr>
              <w:adjustRightInd w:val="0"/>
              <w:snapToGrid w:val="0"/>
              <w:spacing w:line="240" w:lineRule="exact"/>
              <w:jc w:val="left"/>
              <w:rPr>
                <w:rFonts w:ascii="方正仿宋_GBK"/>
                <w:kern w:val="0"/>
                <w:sz w:val="21"/>
                <w:szCs w:val="21"/>
              </w:rPr>
            </w:pPr>
            <w:r>
              <w:rPr>
                <w:rFonts w:ascii="方正仿宋_GBK"/>
                <w:kern w:val="0"/>
                <w:sz w:val="21"/>
                <w:szCs w:val="21"/>
              </w:rPr>
              <w:t>4.</w:t>
            </w:r>
            <w:r>
              <w:rPr>
                <w:rFonts w:hint="eastAsia" w:ascii="方正仿宋_GBK"/>
                <w:kern w:val="0"/>
                <w:sz w:val="21"/>
                <w:szCs w:val="21"/>
              </w:rPr>
              <w:t>严格执行畜禽养殖、水产养殖“三区”划定要求。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4"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加强供水站水源地规范化建设，加强土壤及地下水污染风险防控。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80" w:hRule="atLeast"/>
          <w:jc w:val="center"/>
        </w:trPr>
        <w:tc>
          <w:tcPr>
            <w:tcW w:w="663" w:type="dxa"/>
            <w:vMerge w:val="restart"/>
            <w:vAlign w:val="center"/>
          </w:tcPr>
          <w:p>
            <w:pPr>
              <w:adjustRightInd w:val="0"/>
              <w:snapToGrid w:val="0"/>
              <w:spacing w:line="240" w:lineRule="exact"/>
              <w:jc w:val="center"/>
              <w:rPr>
                <w:rFonts w:ascii="方正仿宋_GBK"/>
                <w:kern w:val="0"/>
                <w:sz w:val="21"/>
                <w:szCs w:val="21"/>
              </w:rPr>
            </w:pPr>
            <w:r>
              <w:rPr>
                <w:rFonts w:ascii="方正仿宋_GBK"/>
                <w:kern w:val="0"/>
                <w:sz w:val="21"/>
                <w:szCs w:val="21"/>
              </w:rPr>
              <w:t>ZH50015230004</w:t>
            </w:r>
          </w:p>
        </w:tc>
        <w:tc>
          <w:tcPr>
            <w:tcW w:w="74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潼南区一般管控单元</w:t>
            </w:r>
            <w:r>
              <w:rPr>
                <w:rFonts w:ascii="方正仿宋_GBK"/>
                <w:kern w:val="0"/>
                <w:sz w:val="21"/>
                <w:szCs w:val="21"/>
              </w:rPr>
              <w:t>-</w:t>
            </w:r>
            <w:r>
              <w:rPr>
                <w:rFonts w:hint="eastAsia" w:ascii="方正仿宋_GBK"/>
                <w:kern w:val="0"/>
                <w:sz w:val="21"/>
                <w:szCs w:val="21"/>
              </w:rPr>
              <w:t>涪江潼南上游段</w:t>
            </w:r>
          </w:p>
        </w:tc>
        <w:tc>
          <w:tcPr>
            <w:tcW w:w="762"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一般管控单元</w:t>
            </w:r>
            <w:r>
              <w:rPr>
                <w:rFonts w:ascii="方正仿宋_GBK"/>
                <w:kern w:val="0"/>
                <w:sz w:val="21"/>
                <w:szCs w:val="21"/>
              </w:rPr>
              <w:t>4</w:t>
            </w:r>
          </w:p>
        </w:tc>
        <w:tc>
          <w:tcPr>
            <w:tcW w:w="723"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包含：水环境一般管控区，永久基本农田</w:t>
            </w:r>
          </w:p>
        </w:tc>
        <w:tc>
          <w:tcPr>
            <w:tcW w:w="2421" w:type="dxa"/>
            <w:vMerge w:val="restart"/>
            <w:vAlign w:val="center"/>
          </w:tcPr>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发展定位或保护要求：</w:t>
            </w:r>
            <w:r>
              <w:rPr>
                <w:rFonts w:hint="eastAsia" w:ascii="方正仿宋_GBK"/>
                <w:kern w:val="0"/>
                <w:sz w:val="21"/>
                <w:szCs w:val="21"/>
              </w:rPr>
              <w:t>特色农业，畜禽养殖</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发展现状及问题：</w:t>
            </w:r>
            <w:r>
              <w:rPr>
                <w:rFonts w:ascii="方正仿宋_GBK"/>
                <w:kern w:val="0"/>
                <w:sz w:val="21"/>
                <w:szCs w:val="21"/>
              </w:rPr>
              <w:t>1.</w:t>
            </w:r>
            <w:r>
              <w:rPr>
                <w:rFonts w:hint="eastAsia" w:ascii="方正仿宋_GBK"/>
                <w:kern w:val="0"/>
                <w:sz w:val="21"/>
                <w:szCs w:val="21"/>
              </w:rPr>
              <w:t>位于潼南城区饮用水源上游，对水质保护提出了较高要求；</w:t>
            </w:r>
            <w:r>
              <w:rPr>
                <w:rFonts w:ascii="方正仿宋_GBK"/>
                <w:kern w:val="0"/>
                <w:sz w:val="21"/>
                <w:szCs w:val="21"/>
              </w:rPr>
              <w:t>2.</w:t>
            </w:r>
            <w:r>
              <w:rPr>
                <w:rFonts w:hint="eastAsia" w:ascii="方正仿宋_GBK"/>
                <w:kern w:val="0"/>
                <w:sz w:val="21"/>
                <w:szCs w:val="21"/>
              </w:rPr>
              <w:t>禁养区内养殖场未关闭。</w:t>
            </w:r>
          </w:p>
          <w:p>
            <w:pPr>
              <w:adjustRightInd w:val="0"/>
              <w:snapToGrid w:val="0"/>
              <w:spacing w:line="240" w:lineRule="exact"/>
              <w:jc w:val="left"/>
              <w:rPr>
                <w:rFonts w:ascii="方正仿宋_GBK"/>
                <w:kern w:val="0"/>
                <w:sz w:val="21"/>
                <w:szCs w:val="21"/>
              </w:rPr>
            </w:pPr>
            <w:r>
              <w:rPr>
                <w:rFonts w:hint="eastAsia" w:ascii="方正仿宋_GBK"/>
                <w:b/>
                <w:kern w:val="0"/>
                <w:sz w:val="21"/>
                <w:szCs w:val="21"/>
              </w:rPr>
              <w:t>环境要素主要问题：</w:t>
            </w:r>
            <w:r>
              <w:rPr>
                <w:rFonts w:hint="eastAsia" w:ascii="方正仿宋_GBK"/>
                <w:kern w:val="0"/>
                <w:sz w:val="21"/>
                <w:szCs w:val="21"/>
              </w:rPr>
              <w:t>农业面源污染</w:t>
            </w:r>
          </w:p>
        </w:tc>
        <w:tc>
          <w:tcPr>
            <w:tcW w:w="1381" w:type="dxa"/>
            <w:vMerge w:val="restart"/>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执行水环境一般管控区市级及主城西片区总体管控要求</w:t>
            </w: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空间布局约束</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1.</w:t>
            </w:r>
            <w:r>
              <w:rPr>
                <w:rFonts w:hint="eastAsia" w:ascii="方正仿宋_GBK"/>
                <w:kern w:val="0"/>
                <w:sz w:val="21"/>
                <w:szCs w:val="21"/>
              </w:rPr>
              <w:t>严格控制新建高污染及涉及重金属污染的工业项目。</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实现禽畜养殖污水的高效处理。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339"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污染物排放</w:t>
            </w:r>
          </w:p>
          <w:p>
            <w:pPr>
              <w:adjustRightInd w:val="0"/>
              <w:snapToGrid w:val="0"/>
              <w:spacing w:line="240" w:lineRule="exact"/>
              <w:jc w:val="center"/>
              <w:rPr>
                <w:rFonts w:ascii="方正仿宋_GBK"/>
                <w:kern w:val="0"/>
                <w:sz w:val="21"/>
                <w:szCs w:val="21"/>
              </w:rPr>
            </w:pPr>
            <w:r>
              <w:rPr>
                <w:rFonts w:hint="eastAsia" w:ascii="方正仿宋_GBK"/>
                <w:kern w:val="0"/>
                <w:sz w:val="21"/>
                <w:szCs w:val="21"/>
              </w:rPr>
              <w:t>管控</w:t>
            </w:r>
          </w:p>
        </w:tc>
        <w:tc>
          <w:tcPr>
            <w:tcW w:w="6749" w:type="dxa"/>
            <w:vAlign w:val="center"/>
          </w:tcPr>
          <w:p>
            <w:pPr>
              <w:adjustRightInd w:val="0"/>
              <w:snapToGrid w:val="0"/>
              <w:spacing w:line="240" w:lineRule="exact"/>
              <w:jc w:val="left"/>
              <w:rPr>
                <w:rFonts w:ascii="方正仿宋_GBK"/>
                <w:kern w:val="0"/>
                <w:sz w:val="21"/>
                <w:szCs w:val="21"/>
              </w:rPr>
            </w:pPr>
            <w:r>
              <w:rPr>
                <w:rFonts w:ascii="方正仿宋_GBK"/>
                <w:kern w:val="0"/>
                <w:sz w:val="21"/>
                <w:szCs w:val="21"/>
              </w:rPr>
              <w:t xml:space="preserve">1. </w:t>
            </w:r>
            <w:r>
              <w:rPr>
                <w:rFonts w:hint="eastAsia" w:ascii="方正仿宋_GBK"/>
                <w:kern w:val="0"/>
                <w:sz w:val="21"/>
                <w:szCs w:val="21"/>
              </w:rPr>
              <w:t>对畜禽养殖污水和废弃物实行资源化利用，不直排。</w:t>
            </w:r>
          </w:p>
          <w:p>
            <w:pPr>
              <w:adjustRightInd w:val="0"/>
              <w:snapToGrid w:val="0"/>
              <w:spacing w:line="240" w:lineRule="exact"/>
              <w:jc w:val="left"/>
              <w:rPr>
                <w:rFonts w:ascii="方正仿宋_GBK"/>
                <w:kern w:val="0"/>
                <w:sz w:val="21"/>
                <w:szCs w:val="21"/>
              </w:rPr>
            </w:pPr>
            <w:r>
              <w:rPr>
                <w:rFonts w:ascii="方正仿宋_GBK"/>
                <w:kern w:val="0"/>
                <w:sz w:val="21"/>
                <w:szCs w:val="21"/>
              </w:rPr>
              <w:t>2.</w:t>
            </w:r>
            <w:r>
              <w:rPr>
                <w:rFonts w:hint="eastAsia" w:ascii="方正仿宋_GBK"/>
                <w:kern w:val="0"/>
                <w:sz w:val="21"/>
                <w:szCs w:val="21"/>
              </w:rPr>
              <w:t>工业企业严格达标排放；控制生活用煤数量，推动清洁能源使用。</w:t>
            </w:r>
          </w:p>
          <w:p>
            <w:pPr>
              <w:adjustRightInd w:val="0"/>
              <w:snapToGrid w:val="0"/>
              <w:spacing w:line="240" w:lineRule="exact"/>
              <w:jc w:val="left"/>
              <w:rPr>
                <w:rFonts w:ascii="方正仿宋_GBK"/>
                <w:kern w:val="0"/>
                <w:sz w:val="21"/>
                <w:szCs w:val="21"/>
              </w:rPr>
            </w:pPr>
            <w:r>
              <w:rPr>
                <w:rFonts w:ascii="方正仿宋_GBK"/>
                <w:kern w:val="0"/>
                <w:sz w:val="21"/>
                <w:szCs w:val="21"/>
              </w:rPr>
              <w:t>3.</w:t>
            </w:r>
            <w:r>
              <w:rPr>
                <w:rFonts w:hint="eastAsia" w:ascii="方正仿宋_GBK"/>
                <w:kern w:val="0"/>
                <w:sz w:val="21"/>
                <w:szCs w:val="21"/>
              </w:rPr>
              <w:t>加强施工、道路、生产扬尘粉尘控制，减少城市建设裸露土地，加强交通污染治理。</w:t>
            </w:r>
          </w:p>
          <w:p>
            <w:pPr>
              <w:adjustRightInd w:val="0"/>
              <w:snapToGrid w:val="0"/>
              <w:spacing w:line="240" w:lineRule="exact"/>
              <w:jc w:val="left"/>
              <w:rPr>
                <w:rFonts w:ascii="方正仿宋_GBK"/>
                <w:kern w:val="0"/>
                <w:sz w:val="21"/>
                <w:szCs w:val="21"/>
              </w:rPr>
            </w:pPr>
            <w:r>
              <w:rPr>
                <w:rFonts w:ascii="方正仿宋_GBK"/>
                <w:kern w:val="0"/>
                <w:sz w:val="21"/>
                <w:szCs w:val="21"/>
              </w:rPr>
              <w:t>4.</w:t>
            </w:r>
            <w:r>
              <w:rPr>
                <w:rFonts w:hint="eastAsia" w:ascii="方正仿宋_GBK"/>
                <w:kern w:val="0"/>
                <w:sz w:val="21"/>
                <w:szCs w:val="21"/>
              </w:rPr>
              <w:t>推广秸秆机械化粉碎还田、秸秆青贮、秸秆气化等综合利用技术，提高秸秆综合利用效率，以利用促禁烧。</w:t>
            </w:r>
          </w:p>
          <w:p>
            <w:pPr>
              <w:adjustRightInd w:val="0"/>
              <w:snapToGrid w:val="0"/>
              <w:spacing w:line="240" w:lineRule="exact"/>
              <w:jc w:val="left"/>
              <w:rPr>
                <w:rFonts w:ascii="方正仿宋_GBK"/>
                <w:kern w:val="0"/>
                <w:sz w:val="21"/>
                <w:szCs w:val="21"/>
              </w:rPr>
            </w:pPr>
            <w:r>
              <w:rPr>
                <w:rFonts w:ascii="方正仿宋_GBK"/>
                <w:kern w:val="0"/>
                <w:sz w:val="21"/>
                <w:szCs w:val="21"/>
              </w:rPr>
              <w:t>5.</w:t>
            </w:r>
            <w:r>
              <w:rPr>
                <w:rFonts w:hint="eastAsia" w:ascii="方正仿宋_GBK"/>
                <w:kern w:val="0"/>
                <w:sz w:val="21"/>
                <w:szCs w:val="21"/>
              </w:rPr>
              <w:t>严格执行畜禽养殖、水产养殖“三区”划定要求。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8"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环境风险防控</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72" w:hRule="atLeast"/>
          <w:jc w:val="center"/>
        </w:trPr>
        <w:tc>
          <w:tcPr>
            <w:tcW w:w="663" w:type="dxa"/>
            <w:vMerge w:val="continue"/>
            <w:vAlign w:val="center"/>
          </w:tcPr>
          <w:p>
            <w:pPr>
              <w:adjustRightInd w:val="0"/>
              <w:snapToGrid w:val="0"/>
              <w:spacing w:line="240" w:lineRule="exact"/>
              <w:rPr>
                <w:rFonts w:ascii="方正仿宋_GBK"/>
                <w:kern w:val="0"/>
                <w:sz w:val="21"/>
                <w:szCs w:val="21"/>
              </w:rPr>
            </w:pPr>
          </w:p>
        </w:tc>
        <w:tc>
          <w:tcPr>
            <w:tcW w:w="741" w:type="dxa"/>
            <w:vMerge w:val="continue"/>
            <w:vAlign w:val="center"/>
          </w:tcPr>
          <w:p>
            <w:pPr>
              <w:adjustRightInd w:val="0"/>
              <w:snapToGrid w:val="0"/>
              <w:spacing w:line="240" w:lineRule="exact"/>
              <w:rPr>
                <w:rFonts w:ascii="方正仿宋_GBK"/>
                <w:kern w:val="0"/>
                <w:sz w:val="21"/>
                <w:szCs w:val="21"/>
              </w:rPr>
            </w:pPr>
          </w:p>
        </w:tc>
        <w:tc>
          <w:tcPr>
            <w:tcW w:w="762" w:type="dxa"/>
            <w:vMerge w:val="continue"/>
            <w:vAlign w:val="center"/>
          </w:tcPr>
          <w:p>
            <w:pPr>
              <w:adjustRightInd w:val="0"/>
              <w:snapToGrid w:val="0"/>
              <w:spacing w:line="240" w:lineRule="exact"/>
              <w:rPr>
                <w:rFonts w:ascii="方正仿宋_GBK"/>
                <w:kern w:val="0"/>
                <w:sz w:val="21"/>
                <w:szCs w:val="21"/>
              </w:rPr>
            </w:pPr>
          </w:p>
        </w:tc>
        <w:tc>
          <w:tcPr>
            <w:tcW w:w="723" w:type="dxa"/>
            <w:vMerge w:val="continue"/>
            <w:vAlign w:val="center"/>
          </w:tcPr>
          <w:p>
            <w:pPr>
              <w:adjustRightInd w:val="0"/>
              <w:snapToGrid w:val="0"/>
              <w:spacing w:line="240" w:lineRule="exact"/>
              <w:rPr>
                <w:rFonts w:ascii="方正仿宋_GBK"/>
                <w:kern w:val="0"/>
                <w:sz w:val="21"/>
                <w:szCs w:val="21"/>
              </w:rPr>
            </w:pPr>
          </w:p>
        </w:tc>
        <w:tc>
          <w:tcPr>
            <w:tcW w:w="2421" w:type="dxa"/>
            <w:vMerge w:val="continue"/>
            <w:vAlign w:val="center"/>
          </w:tcPr>
          <w:p>
            <w:pPr>
              <w:adjustRightInd w:val="0"/>
              <w:snapToGrid w:val="0"/>
              <w:spacing w:line="240" w:lineRule="exact"/>
              <w:jc w:val="left"/>
              <w:rPr>
                <w:rFonts w:ascii="方正仿宋_GBK"/>
                <w:kern w:val="0"/>
                <w:sz w:val="21"/>
                <w:szCs w:val="21"/>
              </w:rPr>
            </w:pPr>
          </w:p>
        </w:tc>
        <w:tc>
          <w:tcPr>
            <w:tcW w:w="1381" w:type="dxa"/>
            <w:vMerge w:val="continue"/>
            <w:vAlign w:val="center"/>
          </w:tcPr>
          <w:p>
            <w:pPr>
              <w:adjustRightInd w:val="0"/>
              <w:snapToGrid w:val="0"/>
              <w:spacing w:line="240" w:lineRule="exact"/>
              <w:jc w:val="center"/>
              <w:rPr>
                <w:rFonts w:ascii="方正仿宋_GBK"/>
                <w:kern w:val="0"/>
                <w:sz w:val="21"/>
                <w:szCs w:val="21"/>
              </w:rPr>
            </w:pPr>
          </w:p>
        </w:tc>
        <w:tc>
          <w:tcPr>
            <w:tcW w:w="1395" w:type="dxa"/>
            <w:vAlign w:val="center"/>
          </w:tcPr>
          <w:p>
            <w:pPr>
              <w:adjustRightInd w:val="0"/>
              <w:snapToGrid w:val="0"/>
              <w:spacing w:line="240" w:lineRule="exact"/>
              <w:jc w:val="center"/>
              <w:rPr>
                <w:rFonts w:ascii="方正仿宋_GBK"/>
                <w:kern w:val="0"/>
                <w:sz w:val="21"/>
                <w:szCs w:val="21"/>
              </w:rPr>
            </w:pPr>
            <w:r>
              <w:rPr>
                <w:rFonts w:hint="eastAsia" w:ascii="方正仿宋_GBK"/>
                <w:kern w:val="0"/>
                <w:sz w:val="21"/>
                <w:szCs w:val="21"/>
              </w:rPr>
              <w:t>资源开发效率要求</w:t>
            </w:r>
          </w:p>
        </w:tc>
        <w:tc>
          <w:tcPr>
            <w:tcW w:w="6749" w:type="dxa"/>
            <w:vAlign w:val="center"/>
          </w:tcPr>
          <w:p>
            <w:pPr>
              <w:adjustRightInd w:val="0"/>
              <w:snapToGrid w:val="0"/>
              <w:spacing w:line="240" w:lineRule="exact"/>
              <w:ind w:firstLine="210" w:firstLineChars="100"/>
              <w:jc w:val="left"/>
              <w:rPr>
                <w:rFonts w:ascii="方正仿宋_GBK"/>
                <w:kern w:val="0"/>
                <w:sz w:val="21"/>
                <w:szCs w:val="21"/>
              </w:rPr>
            </w:pPr>
            <w:r>
              <w:rPr>
                <w:rFonts w:ascii="方正仿宋_GBK"/>
                <w:kern w:val="0"/>
                <w:sz w:val="21"/>
                <w:szCs w:val="21"/>
              </w:rPr>
              <w:t>/</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51B"/>
    <w:multiLevelType w:val="multilevel"/>
    <w:tmpl w:val="0BCB151B"/>
    <w:lvl w:ilvl="0" w:tentative="0">
      <w:start w:val="1"/>
      <w:numFmt w:val="decimal"/>
      <w:suff w:val="nothing"/>
      <w:lvlText w:val="%1."/>
      <w:lvlJc w:val="left"/>
      <w:rPr>
        <w:rFonts w:hint="eastAsia"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1">
    <w:nsid w:val="4F3A215B"/>
    <w:multiLevelType w:val="multilevel"/>
    <w:tmpl w:val="4F3A215B"/>
    <w:lvl w:ilvl="0" w:tentative="0">
      <w:start w:val="1"/>
      <w:numFmt w:val="decimal"/>
      <w:suff w:val="nothing"/>
      <w:lvlText w:val="%1."/>
      <w:lvlJc w:val="left"/>
      <w:rPr>
        <w:rFonts w:hint="eastAsia"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
    <w:nsid w:val="58575A0A"/>
    <w:multiLevelType w:val="multilevel"/>
    <w:tmpl w:val="58575A0A"/>
    <w:lvl w:ilvl="0" w:tentative="0">
      <w:start w:val="1"/>
      <w:numFmt w:val="decimal"/>
      <w:suff w:val="nothing"/>
      <w:lvlText w:val="%1."/>
      <w:lvlJc w:val="left"/>
      <w:rPr>
        <w:rFonts w:hint="eastAsia"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3">
    <w:nsid w:val="6F9C7079"/>
    <w:multiLevelType w:val="multilevel"/>
    <w:tmpl w:val="6F9C7079"/>
    <w:lvl w:ilvl="0" w:tentative="0">
      <w:start w:val="1"/>
      <w:numFmt w:val="decimal"/>
      <w:suff w:val="nothing"/>
      <w:lvlText w:val="%1."/>
      <w:lvlJc w:val="left"/>
      <w:rPr>
        <w:rFonts w:hint="eastAsia" w:cs="Times New Roman"/>
      </w:rPr>
    </w:lvl>
    <w:lvl w:ilvl="1" w:tentative="0">
      <w:start w:val="1"/>
      <w:numFmt w:val="lowerLetter"/>
      <w:lvlText w:val="%2)"/>
      <w:lvlJc w:val="left"/>
      <w:pPr>
        <w:ind w:left="840" w:hanging="420"/>
      </w:pPr>
      <w:rPr>
        <w:rFonts w:hint="eastAsia" w:cs="Times New Roman"/>
      </w:rPr>
    </w:lvl>
    <w:lvl w:ilvl="2" w:tentative="0">
      <w:start w:val="1"/>
      <w:numFmt w:val="lowerRoman"/>
      <w:lvlText w:val="%3."/>
      <w:lvlJc w:val="right"/>
      <w:pPr>
        <w:ind w:left="1260" w:hanging="420"/>
      </w:pPr>
      <w:rPr>
        <w:rFonts w:hint="eastAsia" w:cs="Times New Roman"/>
      </w:rPr>
    </w:lvl>
    <w:lvl w:ilvl="3" w:tentative="0">
      <w:start w:val="1"/>
      <w:numFmt w:val="decimal"/>
      <w:lvlText w:val="%4."/>
      <w:lvlJc w:val="left"/>
      <w:pPr>
        <w:ind w:left="1680" w:hanging="420"/>
      </w:pPr>
      <w:rPr>
        <w:rFonts w:hint="eastAsia" w:cs="Times New Roman"/>
      </w:rPr>
    </w:lvl>
    <w:lvl w:ilvl="4" w:tentative="0">
      <w:start w:val="1"/>
      <w:numFmt w:val="lowerLetter"/>
      <w:lvlText w:val="%5)"/>
      <w:lvlJc w:val="left"/>
      <w:pPr>
        <w:ind w:left="2100" w:hanging="420"/>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D43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3">
    <w:name w:val="heading 2"/>
    <w:basedOn w:val="1"/>
    <w:next w:val="1"/>
    <w:qFormat/>
    <w:uiPriority w:val="99"/>
    <w:pPr>
      <w:keepNext/>
      <w:keepLines/>
      <w:spacing w:before="260" w:after="260" w:line="416" w:lineRule="auto"/>
      <w:outlineLvl w:val="1"/>
    </w:pPr>
    <w:rPr>
      <w:rFonts w:ascii="Calibri Light" w:hAnsi="Calibri Light" w:eastAsia="宋体"/>
      <w:b/>
      <w:bCs/>
      <w:szCs w:val="32"/>
    </w:rPr>
  </w:style>
  <w:style w:type="paragraph" w:styleId="2">
    <w:name w:val="heading 4"/>
    <w:basedOn w:val="3"/>
    <w:next w:val="1"/>
    <w:qFormat/>
    <w:uiPriority w:val="99"/>
    <w:pPr>
      <w:outlineLvl w:val="3"/>
    </w:p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footer"/>
    <w:basedOn w:val="1"/>
    <w:uiPriority w:val="99"/>
    <w:pPr>
      <w:tabs>
        <w:tab w:val="center" w:pos="4153"/>
        <w:tab w:val="right" w:pos="8306"/>
      </w:tabs>
      <w:snapToGrid w:val="0"/>
      <w:jc w:val="left"/>
    </w:pPr>
    <w:rPr>
      <w:sz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rPr>
  </w:style>
  <w:style w:type="character" w:styleId="8">
    <w:name w:val="page number"/>
    <w:basedOn w:val="7"/>
    <w:uiPriority w:val="99"/>
    <w:rPr>
      <w:rFonts w:cs="Times New Roman"/>
    </w:rPr>
  </w:style>
  <w:style w:type="paragraph" w:styleId="9">
    <w:name w:val="List Paragraph"/>
    <w:basedOn w:val="1"/>
    <w:qFormat/>
    <w:uiPriority w:val="99"/>
    <w:pPr>
      <w:widowControl/>
      <w:adjustRightInd w:val="0"/>
      <w:snapToGrid w:val="0"/>
      <w:ind w:firstLine="42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HP3</dc:creator>
  <cp:lastModifiedBy>HP3</cp:lastModifiedBy>
  <dcterms:modified xsi:type="dcterms:W3CDTF">2021-01-19T06:38:31Z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