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/>
        <w:contextualSpacing/>
        <w:jc w:val="center"/>
        <w:textAlignment w:val="auto"/>
        <w:outlineLvl w:val="0"/>
        <w:rPr>
          <w:rFonts w:ascii="Times New Roman" w:hAnsi="Times New Roman" w:eastAsia="方正小标宋_GBK" w:cs="方正小标宋_GBK"/>
          <w:bCs/>
          <w:color w:val="FF0000"/>
          <w:kern w:val="2"/>
          <w:sz w:val="40"/>
          <w:szCs w:val="40"/>
          <w:lang w:eastAsia="zh-CN"/>
        </w:rPr>
      </w:pPr>
      <w:bookmarkStart w:id="0" w:name="_Toc10311"/>
    </w:p>
    <w:p>
      <w:pPr>
        <w:widowControl w:val="0"/>
        <w:wordWrap/>
        <w:adjustRightInd/>
        <w:snapToGrid/>
        <w:spacing w:line="600" w:lineRule="exact"/>
        <w:ind w:left="0" w:leftChars="0" w:right="0"/>
        <w:contextualSpacing/>
        <w:jc w:val="center"/>
        <w:textAlignment w:val="auto"/>
        <w:outlineLvl w:val="0"/>
        <w:rPr>
          <w:rFonts w:ascii="Times New Roman" w:hAnsi="Times New Roman" w:eastAsia="方正小标宋_GBK" w:cs="方正小标宋_GBK"/>
          <w:bCs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contextualSpacing/>
        <w:jc w:val="center"/>
        <w:textAlignment w:val="auto"/>
        <w:outlineLvl w:val="0"/>
        <w:rPr>
          <w:rFonts w:ascii="Times New Roman" w:hAnsi="Times New Roman" w:eastAsia="方正小标宋_GBK" w:cs="方正小标宋_GBK"/>
          <w:bCs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contextualSpacing/>
        <w:jc w:val="center"/>
        <w:textAlignment w:val="auto"/>
        <w:outlineLvl w:val="0"/>
        <w:rPr>
          <w:rFonts w:ascii="Times New Roman" w:hAnsi="Times New Roman" w:eastAsia="方正小标宋_GBK" w:cs="方正小标宋_GBK"/>
          <w:bCs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  <w:lang w:eastAsia="zh-CN"/>
        </w:rPr>
        <w:t>重庆市潼南区民政局准予行政许可决定书</w:t>
      </w:r>
      <w:bookmarkEnd w:id="0"/>
    </w:p>
    <w:p>
      <w:pPr>
        <w:widowControl w:val="0"/>
        <w:wordWrap/>
        <w:overflowPunct w:val="0"/>
        <w:adjustRightInd/>
        <w:snapToGrid/>
        <w:spacing w:line="600" w:lineRule="exact"/>
        <w:ind w:left="0" w:leftChars="0" w:right="0"/>
        <w:contextualSpacing/>
        <w:jc w:val="left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eastAsia="zh-CN"/>
        </w:rPr>
      </w:pPr>
    </w:p>
    <w:p>
      <w:pPr>
        <w:widowControl w:val="0"/>
        <w:wordWrap/>
        <w:overflowPunct w:val="0"/>
        <w:adjustRightInd/>
        <w:snapToGrid/>
        <w:spacing w:line="600" w:lineRule="exact"/>
        <w:ind w:left="0" w:leftChars="0" w:right="0"/>
        <w:contextualSpacing/>
        <w:jc w:val="right"/>
        <w:textAlignment w:val="auto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eastAsia="zh-CN"/>
        </w:rPr>
        <w:t>潼民许准字〔202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eastAsia="zh-CN"/>
        </w:rPr>
        <w:t>号</w:t>
      </w:r>
    </w:p>
    <w:p>
      <w:pPr>
        <w:wordWrap/>
        <w:adjustRightInd/>
        <w:spacing w:line="600" w:lineRule="exact"/>
        <w:ind w:left="0" w:leftChars="0" w:right="0"/>
        <w:jc w:val="left"/>
        <w:textAlignment w:val="auto"/>
        <w:outlineLvl w:val="9"/>
        <w:rPr>
          <w:rFonts w:ascii="Times New Roman" w:hAnsi="Times New Roman" w:eastAsia="方正仿宋_GBK"/>
          <w:spacing w:val="0"/>
          <w:position w:val="0"/>
          <w:sz w:val="21"/>
        </w:rPr>
      </w:pPr>
    </w:p>
    <w:p>
      <w:pPr>
        <w:overflowPunct w:val="0"/>
        <w:snapToGrid w:val="0"/>
        <w:spacing w:line="579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重庆市潼南区金苹果幼儿园： </w:t>
      </w:r>
    </w:p>
    <w:p>
      <w:pPr>
        <w:overflowPunct w:val="0"/>
        <w:snapToGrid w:val="0"/>
        <w:spacing w:line="579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你单位业务范围变更的登记申请及有关材料已收悉。变更登记所需材料齐全，已经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业务主管单位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重庆市潼南区教育委员会、行业管理部门重庆市潼南区卫生健康委员会审查同意；原登记证书已上缴我局。经我局审核，变更登记符合《民办非企业单位登记管理暂行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条例》等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法规和有关政策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，现依法准予变更登记。</w:t>
      </w:r>
    </w:p>
    <w:p>
      <w:pPr>
        <w:overflowPunct w:val="0"/>
        <w:snapToGrid w:val="0"/>
        <w:spacing w:line="579" w:lineRule="exact"/>
        <w:ind w:firstLine="601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应当严格遵守宪法、法律、法规和有关政策，依照我局核准的章程开展活动，自觉接受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业务主管单位、行业主管部门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、登记管理机关及有关部门的指导和监督管理，为我区精神文明建设和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儿童身心健康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做出应有的贡献。</w:t>
      </w:r>
    </w:p>
    <w:p>
      <w:pPr>
        <w:overflowPunct w:val="0"/>
        <w:snapToGrid w:val="0"/>
        <w:spacing w:line="579" w:lineRule="exact"/>
        <w:ind w:firstLine="601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应于每年5月31日前向我局报送上一年度工作报告，接受年度检查。</w:t>
      </w:r>
    </w:p>
    <w:p>
      <w:pPr>
        <w:ind w:firstLine="640" w:firstLineChars="200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特此批复。</w:t>
      </w: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wordWrap w:val="0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重庆市潼南区民政局    </w:t>
      </w:r>
    </w:p>
    <w:p>
      <w:pPr>
        <w:wordWrap w:val="0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2024年6月4日     </w:t>
      </w:r>
    </w:p>
    <w:p>
      <w:pPr>
        <w:pStyle w:val="6"/>
        <w:widowControl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6"/>
        <w:widowControl/>
        <w:wordWrap/>
        <w:adjustRightInd/>
        <w:snapToGrid/>
        <w:spacing w:line="61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jc w:val="left"/>
        <w:textAlignment w:val="auto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jc w:val="left"/>
        <w:textAlignment w:val="auto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jc w:val="left"/>
        <w:textAlignment w:val="auto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jc w:val="left"/>
        <w:textAlignment w:val="auto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61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Style w:val="6"/>
        <w:widowControl/>
        <w:wordWrap/>
        <w:adjustRightInd/>
        <w:snapToGrid/>
        <w:spacing w:line="59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wordWrap w:val="0"/>
        <w:spacing w:line="600" w:lineRule="exact"/>
        <w:ind w:firstLine="280" w:firstLineChars="100"/>
        <w:textAlignment w:val="center"/>
      </w:pPr>
      <w:r>
        <w:rPr>
          <w:rFonts w:ascii="Times New Roman" w:hAnsi="Times New Roman" w:eastAsia="方正仿宋_GBK"/>
          <w:spacing w:val="0"/>
          <w:sz w:val="28"/>
          <w:szCs w:val="28"/>
        </w:rPr>
        <w:t xml:space="preserve">重庆市潼南区民政局     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spacing w:val="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pacing w:val="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2024</w:t>
      </w:r>
      <w:r>
        <w:rPr>
          <w:rFonts w:ascii="Times New Roman" w:hAnsi="Times New Roman" w:eastAsia="方正仿宋_GBK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pacing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oto Sans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2NmY1MWQyNzA5ZmRhMWFkNDIwNzQxZjZiMDkyMmYifQ=="/>
  </w:docVars>
  <w:rsids>
    <w:rsidRoot w:val="65E113CF"/>
    <w:rsid w:val="00981DAC"/>
    <w:rsid w:val="01C14B70"/>
    <w:rsid w:val="04827F56"/>
    <w:rsid w:val="14A6792B"/>
    <w:rsid w:val="18101208"/>
    <w:rsid w:val="2326306A"/>
    <w:rsid w:val="2A68535D"/>
    <w:rsid w:val="2A6D37AC"/>
    <w:rsid w:val="2B7B4862"/>
    <w:rsid w:val="2D223C99"/>
    <w:rsid w:val="2E285018"/>
    <w:rsid w:val="306346B9"/>
    <w:rsid w:val="37EF5E1E"/>
    <w:rsid w:val="469F3D5F"/>
    <w:rsid w:val="4C4D2244"/>
    <w:rsid w:val="4DEA4643"/>
    <w:rsid w:val="4F0F062D"/>
    <w:rsid w:val="51C82A3A"/>
    <w:rsid w:val="563A051A"/>
    <w:rsid w:val="59766ED3"/>
    <w:rsid w:val="5D780D0B"/>
    <w:rsid w:val="5DEC7F76"/>
    <w:rsid w:val="626C6DAA"/>
    <w:rsid w:val="65E113CF"/>
    <w:rsid w:val="66F7002A"/>
    <w:rsid w:val="67C011AB"/>
    <w:rsid w:val="69E7734D"/>
    <w:rsid w:val="6BBC5FCE"/>
    <w:rsid w:val="6BD31477"/>
    <w:rsid w:val="6C6509E5"/>
    <w:rsid w:val="6CE56D35"/>
    <w:rsid w:val="6D116BE8"/>
    <w:rsid w:val="724D5513"/>
    <w:rsid w:val="72A72D80"/>
    <w:rsid w:val="77493B90"/>
    <w:rsid w:val="788A40D3"/>
    <w:rsid w:val="79633DB7"/>
    <w:rsid w:val="7A779F7C"/>
    <w:rsid w:val="7A923A02"/>
    <w:rsid w:val="7BCA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默认"/>
    <w:qFormat/>
    <w:uiPriority w:val="0"/>
    <w:rPr>
      <w:rFonts w:ascii="Helvetica" w:hAnsi="Helvetica" w:eastAsia="Times New Roman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341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2021-04-15T14:33:00Z</dcterms:created>
  <dc:creator>随遇而安1418636155</dc:creator>
  <cp:lastModifiedBy>TYKJ</cp:lastModifiedBy>
  <cp:lastPrinted>2021-08-19T09:44:00Z</cp:lastPrinted>
  <dcterms:modified xsi:type="dcterms:W3CDTF">2024-12-12T12:03:18Z</dcterms:modified>
  <dc:title>重庆市潼南区民政局准予行政许可决定书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181F7956E97C4FAA8D84C0A911AEBF1E_13</vt:lpwstr>
  </property>
  <property fmtid="{D5CDD505-2E9C-101B-9397-08002B2CF9AE}" pid="4" name="KSOSaveFontToCloudKey">
    <vt:lpwstr>26881701_cloud</vt:lpwstr>
  </property>
</Properties>
</file>