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"/>
        </w:rPr>
        <w:t>2024年“企业出题·高校院所答题”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"/>
        </w:rPr>
        <w:t>企业技术创新需求征集表</w:t>
      </w:r>
      <w:bookmarkEnd w:id="0"/>
    </w:p>
    <w:tbl>
      <w:tblPr>
        <w:tblStyle w:val="2"/>
        <w:tblW w:w="9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874"/>
        <w:gridCol w:w="340"/>
        <w:gridCol w:w="1574"/>
        <w:gridCol w:w="114"/>
        <w:gridCol w:w="1600"/>
        <w:gridCol w:w="3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需求填报单位</w:t>
            </w:r>
          </w:p>
        </w:tc>
        <w:tc>
          <w:tcPr>
            <w:tcW w:w="7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填报联系人</w:t>
            </w: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单位所在地</w:t>
            </w:r>
          </w:p>
        </w:tc>
        <w:tc>
          <w:tcPr>
            <w:tcW w:w="7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需求名称</w:t>
            </w:r>
          </w:p>
        </w:tc>
        <w:tc>
          <w:tcPr>
            <w:tcW w:w="7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需求联系人</w:t>
            </w: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支撑产业领域</w:t>
            </w:r>
          </w:p>
        </w:tc>
        <w:tc>
          <w:tcPr>
            <w:tcW w:w="7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汽车再制造及智能网联新能源汽车零部件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生物医药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新能源及新型储能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化工新材料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食品及农产品加工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电子信息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智能（农机）装备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数智科技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太空产业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其他</w:t>
            </w:r>
            <w:r>
              <w:rPr>
                <w:rFonts w:hint="eastAsia" w:cs="Times New Roman"/>
                <w:kern w:val="2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需求主要内容</w:t>
            </w:r>
          </w:p>
        </w:tc>
        <w:tc>
          <w:tcPr>
            <w:tcW w:w="7361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18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研究成果潜在的应用主体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0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应用说明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具备相应领域优势研发能力的高校、机构、平台、人才（团队）推荐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平台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人才（团队）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优势描述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3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cs="Times New Roman"/>
          <w:kern w:val="2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ABF967"/>
    <w:rsid w:val="E6ABF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方正楷体_GBK" w:hAnsi="方正楷体_GBK" w:eastAsia="方正楷体_GBK" w:cs="方正楷体_GBK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2024-03-25T17:21:00Z</dcterms:created>
  <dc:creator>guest</dc:creator>
  <cp:lastModifiedBy>guest</cp:lastModifiedBy>
  <dcterms:modified xsi:type="dcterms:W3CDTF">2024-03-25T17:22:20Z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